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72E6" w:rsidRDefault="00D34156" w:rsidP="00D34156">
      <w:pPr>
        <w:spacing w:after="0" w:line="240" w:lineRule="auto"/>
        <w:jc w:val="center"/>
        <w:rPr>
          <w:rFonts w:ascii="Arial" w:eastAsia="Times New Roman" w:hAnsi="Arial" w:cs="Arial"/>
          <w:b/>
          <w:sz w:val="24"/>
          <w:szCs w:val="24"/>
          <w:lang w:eastAsia="pt-BR"/>
        </w:rPr>
      </w:pPr>
      <w:bookmarkStart w:id="0" w:name="_GoBack"/>
      <w:r w:rsidRPr="00D34156">
        <w:rPr>
          <w:rFonts w:ascii="Arial" w:eastAsia="Times New Roman" w:hAnsi="Arial" w:cs="Arial"/>
          <w:b/>
          <w:sz w:val="24"/>
          <w:szCs w:val="24"/>
          <w:lang w:eastAsia="pt-BR"/>
        </w:rPr>
        <w:t>MÉTODO COLORIMÉTRICO PARA IDENTIFICAÇÃO DE FORMAS NITROGENADAS</w:t>
      </w:r>
      <w:bookmarkEnd w:id="0"/>
      <w:r w:rsidRPr="00D34156">
        <w:rPr>
          <w:rFonts w:ascii="Arial" w:eastAsia="Times New Roman" w:hAnsi="Arial" w:cs="Arial"/>
          <w:b/>
          <w:sz w:val="24"/>
          <w:szCs w:val="24"/>
          <w:lang w:eastAsia="pt-BR"/>
        </w:rPr>
        <w:t xml:space="preserve"> EM ÁGUAS DE RESERVATÓRIOS DESTINADOS AO CONSUMO HUMANO NO ESTADO DA PARAÍBA</w:t>
      </w:r>
    </w:p>
    <w:p w:rsidR="00D34156" w:rsidRPr="00D34156" w:rsidRDefault="00D34156" w:rsidP="00D34156">
      <w:pPr>
        <w:spacing w:after="0" w:line="240" w:lineRule="auto"/>
        <w:jc w:val="center"/>
        <w:rPr>
          <w:rFonts w:ascii="Arial" w:eastAsia="Times New Roman" w:hAnsi="Arial" w:cs="Arial"/>
          <w:b/>
          <w:sz w:val="24"/>
          <w:szCs w:val="24"/>
          <w:lang w:eastAsia="pt-BR"/>
        </w:rPr>
      </w:pPr>
    </w:p>
    <w:p w:rsidR="00D34156" w:rsidRPr="00D34156" w:rsidRDefault="00D34156" w:rsidP="00D34156">
      <w:pPr>
        <w:pStyle w:val="Pr-formataoHTML"/>
        <w:shd w:val="clear" w:color="auto" w:fill="FFFFFF"/>
        <w:jc w:val="center"/>
        <w:rPr>
          <w:rFonts w:ascii="Arial" w:hAnsi="Arial" w:cs="Arial"/>
          <w:b/>
          <w:color w:val="212121"/>
          <w:sz w:val="24"/>
          <w:szCs w:val="24"/>
        </w:rPr>
      </w:pPr>
      <w:r w:rsidRPr="00D34156">
        <w:rPr>
          <w:rFonts w:ascii="Arial" w:hAnsi="Arial" w:cs="Arial"/>
          <w:b/>
          <w:color w:val="212121"/>
          <w:sz w:val="24"/>
          <w:szCs w:val="24"/>
          <w:lang w:val="en"/>
        </w:rPr>
        <w:t>C</w:t>
      </w:r>
      <w:r w:rsidRPr="00D34156">
        <w:rPr>
          <w:rFonts w:ascii="Arial" w:hAnsi="Arial" w:cs="Arial"/>
          <w:b/>
          <w:color w:val="212121"/>
          <w:sz w:val="24"/>
          <w:szCs w:val="24"/>
          <w:lang w:val="en"/>
        </w:rPr>
        <w:t>OLORIMETRIC METHOD FOR IDENTIFICATION OF NITROGENATED WAYS IN WATERS OF RESERVOIRS INTENDED FOR HUMAN CONSUMPTION IN THE STATE OF PARAÍBA</w:t>
      </w:r>
    </w:p>
    <w:p w:rsidR="009372E6" w:rsidRDefault="009372E6" w:rsidP="001D792F">
      <w:pPr>
        <w:spacing w:after="0"/>
        <w:jc w:val="center"/>
        <w:rPr>
          <w:rFonts w:ascii="Arial" w:eastAsia="Times New Roman" w:hAnsi="Arial" w:cs="Arial"/>
          <w:color w:val="000000"/>
          <w:sz w:val="24"/>
          <w:szCs w:val="24"/>
          <w:lang w:eastAsia="pt-BR"/>
        </w:rPr>
      </w:pPr>
      <w:r w:rsidRPr="00701CE6">
        <w:rPr>
          <w:rFonts w:ascii="Times New Roman" w:eastAsia="Times New Roman" w:hAnsi="Times New Roman" w:cs="Times New Roman"/>
          <w:sz w:val="24"/>
          <w:szCs w:val="24"/>
          <w:lang w:eastAsia="pt-BR"/>
        </w:rPr>
        <w:br/>
      </w:r>
      <w:r w:rsidR="009F7305" w:rsidRPr="009372E6">
        <w:rPr>
          <w:rFonts w:ascii="Arial" w:eastAsia="Times New Roman" w:hAnsi="Arial" w:cs="Arial"/>
          <w:color w:val="000000"/>
          <w:sz w:val="24"/>
          <w:szCs w:val="24"/>
          <w:lang w:eastAsia="pt-BR"/>
        </w:rPr>
        <w:t>BATISTA, Fábio Giovanni de Araújo</w:t>
      </w:r>
      <w:r w:rsidR="009F7305" w:rsidRPr="009F7305">
        <w:rPr>
          <w:rFonts w:ascii="Arial" w:eastAsia="Times New Roman" w:hAnsi="Arial" w:cs="Arial"/>
          <w:color w:val="000000"/>
          <w:sz w:val="24"/>
          <w:szCs w:val="24"/>
          <w:vertAlign w:val="superscript"/>
          <w:lang w:eastAsia="pt-BR"/>
        </w:rPr>
        <w:t>1</w:t>
      </w:r>
      <w:r w:rsidR="009F7305">
        <w:rPr>
          <w:rFonts w:ascii="Arial" w:eastAsia="Times New Roman" w:hAnsi="Arial" w:cs="Arial"/>
          <w:color w:val="000000"/>
          <w:sz w:val="24"/>
          <w:szCs w:val="24"/>
          <w:lang w:eastAsia="pt-BR"/>
        </w:rPr>
        <w:t>,</w:t>
      </w:r>
      <w:r w:rsidR="009F7305" w:rsidRPr="009372E6">
        <w:rPr>
          <w:rFonts w:ascii="Arial" w:eastAsia="Times New Roman" w:hAnsi="Arial" w:cs="Arial"/>
          <w:color w:val="000000"/>
          <w:sz w:val="24"/>
          <w:szCs w:val="24"/>
          <w:lang w:eastAsia="pt-BR"/>
        </w:rPr>
        <w:t xml:space="preserve"> </w:t>
      </w:r>
      <w:r w:rsidRPr="009372E6">
        <w:rPr>
          <w:rFonts w:ascii="Arial" w:eastAsia="Times New Roman" w:hAnsi="Arial" w:cs="Arial"/>
          <w:color w:val="000000"/>
          <w:sz w:val="24"/>
          <w:szCs w:val="24"/>
          <w:lang w:eastAsia="pt-BR"/>
        </w:rPr>
        <w:t>FEITOSA, Alex Felipe Barbosa</w:t>
      </w:r>
      <w:r w:rsidR="009F7305" w:rsidRPr="009F7305">
        <w:rPr>
          <w:rFonts w:ascii="Arial" w:eastAsia="Times New Roman" w:hAnsi="Arial" w:cs="Arial"/>
          <w:color w:val="000000"/>
          <w:sz w:val="24"/>
          <w:szCs w:val="24"/>
          <w:vertAlign w:val="superscript"/>
          <w:lang w:eastAsia="pt-BR"/>
        </w:rPr>
        <w:t>2</w:t>
      </w:r>
      <w:r w:rsidRPr="009372E6">
        <w:rPr>
          <w:rFonts w:ascii="Arial" w:eastAsia="Times New Roman" w:hAnsi="Arial" w:cs="Arial"/>
          <w:color w:val="000000"/>
          <w:sz w:val="24"/>
          <w:szCs w:val="24"/>
          <w:lang w:eastAsia="pt-BR"/>
        </w:rPr>
        <w:t>; SILVA, Rafaela Gomes da</w:t>
      </w:r>
      <w:r w:rsidR="009F7305">
        <w:rPr>
          <w:rFonts w:ascii="Arial" w:eastAsia="Times New Roman" w:hAnsi="Arial" w:cs="Arial"/>
          <w:color w:val="000000"/>
          <w:sz w:val="24"/>
          <w:szCs w:val="24"/>
          <w:vertAlign w:val="superscript"/>
          <w:lang w:eastAsia="pt-BR"/>
        </w:rPr>
        <w:t>3</w:t>
      </w:r>
      <w:r w:rsidR="009F7305">
        <w:rPr>
          <w:rFonts w:ascii="Arial" w:eastAsia="Times New Roman" w:hAnsi="Arial" w:cs="Arial"/>
          <w:color w:val="000000"/>
          <w:sz w:val="24"/>
          <w:szCs w:val="24"/>
          <w:lang w:eastAsia="pt-BR"/>
        </w:rPr>
        <w:t>.</w:t>
      </w:r>
    </w:p>
    <w:p w:rsidR="001D792F" w:rsidRDefault="001D792F" w:rsidP="001D792F">
      <w:pPr>
        <w:spacing w:after="0"/>
        <w:jc w:val="both"/>
        <w:rPr>
          <w:rFonts w:ascii="Arial" w:hAnsi="Arial" w:cs="Arial"/>
          <w:b/>
          <w:sz w:val="24"/>
          <w:szCs w:val="24"/>
        </w:rPr>
      </w:pPr>
    </w:p>
    <w:p w:rsidR="008D0FEA" w:rsidRDefault="006A1555" w:rsidP="001D792F">
      <w:pPr>
        <w:spacing w:after="0"/>
        <w:jc w:val="both"/>
        <w:rPr>
          <w:rFonts w:ascii="Arial" w:hAnsi="Arial" w:cs="Arial"/>
          <w:b/>
          <w:sz w:val="24"/>
          <w:szCs w:val="24"/>
        </w:rPr>
      </w:pPr>
      <w:r w:rsidRPr="000F076E">
        <w:rPr>
          <w:rFonts w:ascii="Arial" w:hAnsi="Arial" w:cs="Arial"/>
          <w:b/>
          <w:sz w:val="24"/>
          <w:szCs w:val="24"/>
        </w:rPr>
        <w:t>RESUMO</w:t>
      </w:r>
    </w:p>
    <w:p w:rsidR="001D792F" w:rsidRPr="000F076E" w:rsidRDefault="001D792F" w:rsidP="001D792F">
      <w:pPr>
        <w:spacing w:after="0"/>
        <w:jc w:val="both"/>
        <w:rPr>
          <w:rFonts w:ascii="Arial" w:hAnsi="Arial" w:cs="Arial"/>
          <w:b/>
          <w:sz w:val="24"/>
          <w:szCs w:val="24"/>
        </w:rPr>
      </w:pPr>
    </w:p>
    <w:p w:rsidR="00420439" w:rsidRPr="00850CCC" w:rsidRDefault="00420439" w:rsidP="001D792F">
      <w:pPr>
        <w:spacing w:after="0" w:line="240" w:lineRule="auto"/>
        <w:jc w:val="both"/>
        <w:rPr>
          <w:rFonts w:ascii="Times New Roman" w:eastAsia="Times New Roman" w:hAnsi="Times New Roman" w:cs="Times New Roman"/>
          <w:sz w:val="20"/>
          <w:szCs w:val="20"/>
          <w:lang w:eastAsia="pt-BR"/>
        </w:rPr>
      </w:pPr>
      <w:r w:rsidRPr="00850CCC">
        <w:rPr>
          <w:rFonts w:ascii="Arial" w:eastAsia="Times New Roman" w:hAnsi="Arial" w:cs="Arial"/>
          <w:bCs/>
          <w:color w:val="000000"/>
          <w:sz w:val="20"/>
          <w:szCs w:val="20"/>
          <w:lang w:eastAsia="pt-BR"/>
        </w:rPr>
        <w:t>O presente trabalho teve por objetivo constatar, mediante o reagente produzido, a eficácia deste em curva de concentração de nitrogênio amoniacal pré-estabelecida e em amostras de água bruta, a fim de avaliar a qualidade de água dos reservatórios quanto à eutrofização e, portanto, o risco oferecido pelo consumo dessas águas. Para isso, foi realizado um ensaio de caráter semiquantitativo, direcionado à avaliação da qualidade de água, através da utilização de um padrão de concentrações por escala colorimétrica de nitrogênio amoniacal como indicador trófico. Com isso obtivemos o perfil de dos mananciais dos açudes de Bodocongó, Manancial Epitácio Pessoa e do centro universitário Unifacisa, referentes às classes de água doce propostas pelo CONAMA. Dessa forma, os resultados obtidos através da curva colorimétrica demonstraram a eficiência do reagente, havendo variação da intensidade da cor gerada a partir das variações de concentração da substância utilizada para construção da curva.</w:t>
      </w:r>
      <w:r w:rsidRPr="00850CCC">
        <w:rPr>
          <w:rFonts w:ascii="Arial" w:eastAsia="Times New Roman" w:hAnsi="Arial" w:cs="Arial"/>
          <w:color w:val="000000"/>
          <w:sz w:val="20"/>
          <w:szCs w:val="20"/>
          <w:lang w:eastAsia="pt-BR"/>
        </w:rPr>
        <w:t xml:space="preserve"> </w:t>
      </w:r>
      <w:r w:rsidRPr="00850CCC">
        <w:rPr>
          <w:rFonts w:ascii="Arial" w:eastAsia="Times New Roman" w:hAnsi="Arial" w:cs="Arial"/>
          <w:bCs/>
          <w:color w:val="000000"/>
          <w:sz w:val="20"/>
          <w:szCs w:val="20"/>
          <w:lang w:eastAsia="pt-BR"/>
        </w:rPr>
        <w:t>Por conseguinte, verificou-se a inadequação das águas dos reservatórios para ingestão humana direta, ou seja, antes da realização de tratamentos adequados. O presente estudo pôde sugerir a situação na qual cada ambiente lêntico em estudo se apresenta na realidade, com exceção do açude do centro universitário, que necessita da realização de mais testes para se traçar o perfil do mesmo.</w:t>
      </w:r>
    </w:p>
    <w:p w:rsidR="00420439" w:rsidRPr="00850CCC" w:rsidRDefault="00420439" w:rsidP="001D792F">
      <w:pPr>
        <w:spacing w:after="0" w:line="240" w:lineRule="auto"/>
        <w:jc w:val="both"/>
        <w:rPr>
          <w:rFonts w:ascii="Times New Roman" w:eastAsia="Times New Roman" w:hAnsi="Times New Roman" w:cs="Times New Roman"/>
          <w:sz w:val="24"/>
          <w:szCs w:val="24"/>
          <w:lang w:eastAsia="pt-BR"/>
        </w:rPr>
      </w:pPr>
      <w:r w:rsidRPr="00850CCC">
        <w:rPr>
          <w:rFonts w:ascii="Arial" w:eastAsia="Times New Roman" w:hAnsi="Arial" w:cs="Arial"/>
          <w:bCs/>
          <w:color w:val="000000"/>
          <w:sz w:val="20"/>
          <w:szCs w:val="20"/>
          <w:lang w:eastAsia="pt-BR"/>
        </w:rPr>
        <w:t>Palavras-chave: Nitrogênio amoniacal; Colorimetria; Eutrofização; Manancial Epitácio Pessoa.</w:t>
      </w:r>
    </w:p>
    <w:p w:rsidR="001D792F" w:rsidRDefault="001D792F" w:rsidP="001D792F">
      <w:pPr>
        <w:spacing w:after="0"/>
        <w:jc w:val="both"/>
        <w:rPr>
          <w:rFonts w:ascii="Arial" w:hAnsi="Arial" w:cs="Arial"/>
          <w:b/>
          <w:sz w:val="24"/>
          <w:szCs w:val="24"/>
          <w:lang w:val="en-US"/>
        </w:rPr>
      </w:pPr>
    </w:p>
    <w:p w:rsidR="001D792F" w:rsidRDefault="001D792F" w:rsidP="001D792F">
      <w:pPr>
        <w:spacing w:after="0"/>
        <w:jc w:val="both"/>
        <w:rPr>
          <w:rFonts w:ascii="Arial" w:hAnsi="Arial" w:cs="Arial"/>
          <w:b/>
          <w:sz w:val="24"/>
          <w:szCs w:val="24"/>
          <w:lang w:val="en-US"/>
        </w:rPr>
      </w:pPr>
    </w:p>
    <w:p w:rsidR="003E179A" w:rsidRDefault="003E179A" w:rsidP="001D792F">
      <w:pPr>
        <w:spacing w:after="0"/>
        <w:jc w:val="both"/>
        <w:rPr>
          <w:rFonts w:ascii="Arial" w:hAnsi="Arial" w:cs="Arial"/>
          <w:b/>
          <w:sz w:val="24"/>
          <w:szCs w:val="24"/>
          <w:lang w:val="en-US"/>
        </w:rPr>
      </w:pPr>
      <w:r w:rsidRPr="00701CE6">
        <w:rPr>
          <w:rFonts w:ascii="Arial" w:hAnsi="Arial" w:cs="Arial"/>
          <w:b/>
          <w:sz w:val="24"/>
          <w:szCs w:val="24"/>
          <w:lang w:val="en-US"/>
        </w:rPr>
        <w:t>ABSTRACT</w:t>
      </w:r>
    </w:p>
    <w:p w:rsidR="001D792F" w:rsidRPr="00701CE6" w:rsidRDefault="001D792F" w:rsidP="001D792F">
      <w:pPr>
        <w:spacing w:after="0"/>
        <w:jc w:val="both"/>
        <w:rPr>
          <w:rFonts w:ascii="Arial" w:hAnsi="Arial" w:cs="Arial"/>
          <w:b/>
          <w:sz w:val="24"/>
          <w:szCs w:val="24"/>
          <w:lang w:val="en-US"/>
        </w:rPr>
      </w:pPr>
    </w:p>
    <w:p w:rsidR="00A748C1" w:rsidRPr="00850CCC" w:rsidRDefault="001C0C2B" w:rsidP="001D792F">
      <w:pPr>
        <w:spacing w:after="0" w:line="240" w:lineRule="auto"/>
        <w:jc w:val="both"/>
        <w:rPr>
          <w:rFonts w:ascii="Times New Roman" w:eastAsia="Times New Roman" w:hAnsi="Times New Roman" w:cs="Times New Roman"/>
          <w:sz w:val="24"/>
          <w:szCs w:val="24"/>
          <w:lang w:val="en-US" w:eastAsia="pt-BR"/>
        </w:rPr>
      </w:pPr>
      <w:r w:rsidRPr="00850CCC">
        <w:rPr>
          <w:rFonts w:ascii="Arial" w:eastAsia="Times New Roman" w:hAnsi="Arial" w:cs="Arial"/>
          <w:bCs/>
          <w:color w:val="000000"/>
          <w:sz w:val="20"/>
          <w:szCs w:val="20"/>
          <w:lang w:val="en-US" w:eastAsia="pt-BR"/>
        </w:rPr>
        <w:t xml:space="preserve">The present labor aimed to verify, through the reagent produced, the efficacy of this in the concentration </w:t>
      </w:r>
      <w:r w:rsidR="00E410F6" w:rsidRPr="00850CCC">
        <w:rPr>
          <w:rFonts w:ascii="Arial" w:eastAsia="Times New Roman" w:hAnsi="Arial" w:cs="Arial"/>
          <w:bCs/>
          <w:color w:val="000000"/>
          <w:sz w:val="20"/>
          <w:szCs w:val="20"/>
          <w:lang w:val="en-US" w:eastAsia="pt-BR"/>
        </w:rPr>
        <w:t>curve of</w:t>
      </w:r>
      <w:r w:rsidRPr="00850CCC">
        <w:rPr>
          <w:rFonts w:ascii="Arial" w:eastAsia="Times New Roman" w:hAnsi="Arial" w:cs="Arial"/>
          <w:bCs/>
          <w:color w:val="000000"/>
          <w:sz w:val="20"/>
          <w:szCs w:val="20"/>
          <w:lang w:val="en-US" w:eastAsia="pt-BR"/>
        </w:rPr>
        <w:t xml:space="preserve"> ammoniacal nitrogen pre-established and in raw water samples, in order to evaluate </w:t>
      </w:r>
      <w:r w:rsidRPr="00850CCC">
        <w:rPr>
          <w:rFonts w:ascii="Arial" w:eastAsia="Times New Roman" w:hAnsi="Arial" w:cs="Arial"/>
          <w:bCs/>
          <w:color w:val="212121"/>
          <w:sz w:val="20"/>
          <w:szCs w:val="20"/>
          <w:shd w:val="clear" w:color="auto" w:fill="FFFFFF"/>
          <w:lang w:val="en-US" w:eastAsia="pt-BR"/>
        </w:rPr>
        <w:t xml:space="preserve">of the reservoirs for eutrophication and, so, the risk offered by the consumption of these waters. For this, was performed an essay semiquantitative, directing to evaluation of water quality by using a concentration standard of </w:t>
      </w:r>
      <w:r w:rsidRPr="00850CCC">
        <w:rPr>
          <w:rFonts w:ascii="Arial" w:eastAsia="Times New Roman" w:hAnsi="Arial" w:cs="Arial"/>
          <w:bCs/>
          <w:color w:val="000000"/>
          <w:sz w:val="20"/>
          <w:szCs w:val="20"/>
          <w:lang w:val="en-US" w:eastAsia="pt-BR"/>
        </w:rPr>
        <w:t xml:space="preserve">ammoniacal nitrogen’s </w:t>
      </w:r>
      <w:r w:rsidRPr="00850CCC">
        <w:rPr>
          <w:rFonts w:ascii="Arial" w:eastAsia="Times New Roman" w:hAnsi="Arial" w:cs="Arial"/>
          <w:bCs/>
          <w:color w:val="212121"/>
          <w:sz w:val="20"/>
          <w:szCs w:val="20"/>
          <w:shd w:val="clear" w:color="auto" w:fill="FFFFFF"/>
          <w:lang w:val="en-US" w:eastAsia="pt-BR"/>
        </w:rPr>
        <w:t>colorimetric scale as trophic indicator. Through this we obtained the source profile of Bodocongó, Epitácio Pessoa and university center U</w:t>
      </w:r>
      <w:r w:rsidR="001C178E" w:rsidRPr="00850CCC">
        <w:rPr>
          <w:rFonts w:ascii="Arial" w:eastAsia="Times New Roman" w:hAnsi="Arial" w:cs="Arial"/>
          <w:bCs/>
          <w:color w:val="212121"/>
          <w:sz w:val="20"/>
          <w:szCs w:val="20"/>
          <w:shd w:val="clear" w:color="auto" w:fill="FFFFFF"/>
          <w:lang w:val="en-US" w:eastAsia="pt-BR"/>
        </w:rPr>
        <w:t>nifacisa</w:t>
      </w:r>
      <w:r w:rsidRPr="00850CCC">
        <w:rPr>
          <w:rFonts w:ascii="Arial" w:eastAsia="Times New Roman" w:hAnsi="Arial" w:cs="Arial"/>
          <w:bCs/>
          <w:color w:val="212121"/>
          <w:sz w:val="20"/>
          <w:szCs w:val="20"/>
          <w:shd w:val="clear" w:color="auto" w:fill="FFFFFF"/>
          <w:lang w:val="en-US" w:eastAsia="pt-BR"/>
        </w:rPr>
        <w:t xml:space="preserve">, about classes of freshwater proposed by the CONAMA. In this way, the obtained results through the colorimetric curve demonstrated reagent efficiency, there being color intensity varying generated from the concentration variations of substance used to construct the curve. Consequently, it was verified the inadequacy of the waters of the reservoirs for direct human ingestion, that </w:t>
      </w:r>
      <w:r w:rsidR="00E410F6" w:rsidRPr="00850CCC">
        <w:rPr>
          <w:rFonts w:ascii="Arial" w:eastAsia="Times New Roman" w:hAnsi="Arial" w:cs="Arial"/>
          <w:bCs/>
          <w:color w:val="212121"/>
          <w:sz w:val="20"/>
          <w:szCs w:val="20"/>
          <w:shd w:val="clear" w:color="auto" w:fill="FFFFFF"/>
          <w:lang w:val="en-US" w:eastAsia="pt-BR"/>
        </w:rPr>
        <w:t>is, before</w:t>
      </w:r>
      <w:r w:rsidRPr="00850CCC">
        <w:rPr>
          <w:rFonts w:ascii="Arial" w:eastAsia="Times New Roman" w:hAnsi="Arial" w:cs="Arial"/>
          <w:bCs/>
          <w:color w:val="212121"/>
          <w:sz w:val="20"/>
          <w:szCs w:val="20"/>
          <w:shd w:val="clear" w:color="auto" w:fill="FFFFFF"/>
          <w:lang w:val="en-US" w:eastAsia="pt-BR"/>
        </w:rPr>
        <w:t xml:space="preserve"> appropriate treatments. The present study was able to suggest the situation in which each lentic environment under study presents itself in reality, with the exception of the weir of the university center, which needs to carry out more tests to trace its profile.</w:t>
      </w:r>
    </w:p>
    <w:p w:rsidR="00DB4375" w:rsidRPr="00850CCC" w:rsidRDefault="00DB4375" w:rsidP="001D792F">
      <w:pPr>
        <w:spacing w:after="0" w:line="240" w:lineRule="auto"/>
        <w:jc w:val="both"/>
        <w:rPr>
          <w:rFonts w:ascii="Times New Roman" w:eastAsia="Times New Roman" w:hAnsi="Times New Roman" w:cs="Times New Roman"/>
          <w:sz w:val="24"/>
          <w:szCs w:val="24"/>
          <w:lang w:val="en-US" w:eastAsia="pt-BR"/>
        </w:rPr>
      </w:pPr>
    </w:p>
    <w:p w:rsidR="001C0C2B" w:rsidRPr="00850CCC" w:rsidRDefault="000F076E" w:rsidP="001D792F">
      <w:pPr>
        <w:pStyle w:val="Pr-formataoHTML"/>
        <w:shd w:val="clear" w:color="auto" w:fill="FFFFFF"/>
        <w:rPr>
          <w:rFonts w:ascii="Arial" w:hAnsi="Arial" w:cs="Arial"/>
          <w:color w:val="212121"/>
          <w:lang w:val="en-US"/>
        </w:rPr>
      </w:pPr>
      <w:r w:rsidRPr="00850CCC">
        <w:rPr>
          <w:rFonts w:ascii="Arial" w:hAnsi="Arial" w:cs="Arial"/>
          <w:szCs w:val="24"/>
          <w:lang w:val="en-US"/>
        </w:rPr>
        <w:t>Keywords:</w:t>
      </w:r>
      <w:r w:rsidR="001C0C2B" w:rsidRPr="00850CCC">
        <w:rPr>
          <w:rFonts w:ascii="Arial" w:hAnsi="Arial" w:cs="Arial"/>
          <w:szCs w:val="24"/>
          <w:lang w:val="en-US"/>
        </w:rPr>
        <w:t xml:space="preserve"> </w:t>
      </w:r>
      <w:r w:rsidR="001C0C2B" w:rsidRPr="00850CCC">
        <w:rPr>
          <w:rFonts w:ascii="Arial" w:hAnsi="Arial" w:cs="Arial"/>
          <w:bCs/>
          <w:color w:val="000000"/>
          <w:lang w:val="en-US"/>
        </w:rPr>
        <w:t xml:space="preserve">Ammoniacal nitrogen’s; </w:t>
      </w:r>
      <w:r w:rsidR="001C0C2B" w:rsidRPr="00850CCC">
        <w:rPr>
          <w:rFonts w:ascii="Arial" w:hAnsi="Arial" w:cs="Arial"/>
          <w:color w:val="212121"/>
        </w:rPr>
        <w:t xml:space="preserve">Colorimetry; </w:t>
      </w:r>
      <w:r w:rsidR="001C0C2B" w:rsidRPr="00850CCC">
        <w:rPr>
          <w:rFonts w:ascii="Arial" w:hAnsi="Arial" w:cs="Arial"/>
          <w:bCs/>
          <w:color w:val="212121"/>
          <w:shd w:val="clear" w:color="auto" w:fill="FFFFFF"/>
          <w:lang w:val="en-US"/>
        </w:rPr>
        <w:t>Eutrophication, Source Epitácio Pessoa.</w:t>
      </w:r>
    </w:p>
    <w:p w:rsidR="006C40F4" w:rsidRDefault="006C40F4" w:rsidP="001D792F">
      <w:pPr>
        <w:spacing w:after="0"/>
        <w:jc w:val="both"/>
        <w:rPr>
          <w:rFonts w:ascii="Arial" w:hAnsi="Arial" w:cs="Arial"/>
          <w:b/>
          <w:sz w:val="20"/>
          <w:szCs w:val="24"/>
          <w:lang w:val="en-US"/>
        </w:rPr>
      </w:pPr>
    </w:p>
    <w:p w:rsidR="00DB4375" w:rsidRDefault="001D792F" w:rsidP="00E410F6">
      <w:pPr>
        <w:spacing w:after="0" w:line="276" w:lineRule="auto"/>
        <w:jc w:val="both"/>
        <w:textAlignment w:val="baseline"/>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lastRenderedPageBreak/>
        <w:t xml:space="preserve">1. </w:t>
      </w:r>
      <w:r w:rsidR="00010BFC" w:rsidRPr="00010BFC">
        <w:rPr>
          <w:rFonts w:ascii="Arial" w:eastAsia="Times New Roman" w:hAnsi="Arial" w:cs="Arial"/>
          <w:b/>
          <w:bCs/>
          <w:color w:val="000000"/>
          <w:sz w:val="24"/>
          <w:szCs w:val="24"/>
          <w:lang w:eastAsia="pt-BR"/>
        </w:rPr>
        <w:t>INTRODUÇÃO</w:t>
      </w:r>
    </w:p>
    <w:p w:rsidR="00DB4375" w:rsidRPr="00DB4375" w:rsidRDefault="00DB4375" w:rsidP="00E410F6">
      <w:pPr>
        <w:spacing w:after="0" w:line="276" w:lineRule="auto"/>
        <w:ind w:left="720"/>
        <w:jc w:val="both"/>
        <w:textAlignment w:val="baseline"/>
        <w:rPr>
          <w:rFonts w:ascii="Arial" w:eastAsia="Times New Roman" w:hAnsi="Arial" w:cs="Arial"/>
          <w:b/>
          <w:bCs/>
          <w:color w:val="000000"/>
          <w:sz w:val="24"/>
          <w:szCs w:val="24"/>
          <w:lang w:eastAsia="pt-BR"/>
        </w:rPr>
      </w:pPr>
    </w:p>
    <w:p w:rsidR="00A54F72" w:rsidRPr="00A54F72" w:rsidRDefault="00A54F72" w:rsidP="00E410F6">
      <w:pPr>
        <w:spacing w:after="0" w:line="276" w:lineRule="auto"/>
        <w:ind w:firstLine="720"/>
        <w:jc w:val="both"/>
        <w:rPr>
          <w:rFonts w:ascii="Times New Roman" w:eastAsia="Times New Roman" w:hAnsi="Times New Roman" w:cs="Times New Roman"/>
          <w:sz w:val="24"/>
          <w:szCs w:val="24"/>
          <w:lang w:eastAsia="pt-BR"/>
        </w:rPr>
      </w:pPr>
      <w:r w:rsidRPr="00A54F72">
        <w:rPr>
          <w:rFonts w:ascii="Arial" w:eastAsia="Times New Roman" w:hAnsi="Arial" w:cs="Arial"/>
          <w:color w:val="000000"/>
          <w:sz w:val="24"/>
          <w:szCs w:val="24"/>
          <w:lang w:eastAsia="pt-BR"/>
        </w:rPr>
        <w:t>A água em seu estado natural é um líquido transparente constituinte de mais de 70% da superfície do nosso planeta e indispensável para os seres vivos. Trata-se de um composto molecular simples contendo dois átomos de hidrogênio e um átomo de oxigênio, ligados covalentemente e dispostos em geometria angular. Por ser uma substância ‘polar’ e apresentar-se capaz de formar ‘pontes’ de hidrogênio, a água apresenta-se com características bem peculiares devido à disposição nos três estados físicos da matéria (sólido, líquido e gasoso), à forte tensão superficial e às propriedades de solvente “universal”. Essas propriedades físico-químicas da água a tornam uma substância diferente de qualquer outra, o que a designa fundamental para garantir a manutenção da vida na Terra (ESTEVES, 1998).</w:t>
      </w:r>
    </w:p>
    <w:p w:rsidR="00A54F72" w:rsidRPr="00A54F72" w:rsidRDefault="00A54F72" w:rsidP="00E410F6">
      <w:pPr>
        <w:spacing w:after="0" w:line="276" w:lineRule="auto"/>
        <w:ind w:firstLine="720"/>
        <w:jc w:val="both"/>
        <w:rPr>
          <w:rFonts w:ascii="Times New Roman" w:eastAsia="Times New Roman" w:hAnsi="Times New Roman" w:cs="Times New Roman"/>
          <w:sz w:val="24"/>
          <w:szCs w:val="24"/>
          <w:lang w:eastAsia="pt-BR"/>
        </w:rPr>
      </w:pPr>
      <w:r w:rsidRPr="00A54F72">
        <w:rPr>
          <w:rFonts w:ascii="Arial" w:eastAsia="Times New Roman" w:hAnsi="Arial" w:cs="Arial"/>
          <w:color w:val="000000"/>
          <w:sz w:val="24"/>
          <w:szCs w:val="24"/>
          <w:lang w:eastAsia="pt-BR"/>
        </w:rPr>
        <w:t xml:space="preserve">Segundo Oliveira (2008) e de acordo com a Lei Federal nº 9.433, de 8 de janeiro de 1997, a água potável é um direito básico do </w:t>
      </w:r>
      <w:r w:rsidRPr="00A54F72">
        <w:rPr>
          <w:rFonts w:ascii="Arial" w:eastAsia="Times New Roman" w:hAnsi="Arial" w:cs="Arial"/>
          <w:color w:val="000000"/>
          <w:sz w:val="24"/>
          <w:szCs w:val="24"/>
          <w:shd w:val="clear" w:color="auto" w:fill="FFFFFF"/>
          <w:lang w:eastAsia="pt-BR"/>
        </w:rPr>
        <w:t>ser humano</w:t>
      </w:r>
      <w:r w:rsidRPr="00A54F72">
        <w:rPr>
          <w:rFonts w:ascii="Arial" w:eastAsia="Times New Roman" w:hAnsi="Arial" w:cs="Arial"/>
          <w:color w:val="000000"/>
          <w:sz w:val="24"/>
          <w:szCs w:val="24"/>
          <w:lang w:eastAsia="pt-BR"/>
        </w:rPr>
        <w:t xml:space="preserve"> devido à sua extrema necessidade par</w:t>
      </w:r>
      <w:r>
        <w:rPr>
          <w:rFonts w:ascii="Arial" w:eastAsia="Times New Roman" w:hAnsi="Arial" w:cs="Arial"/>
          <w:color w:val="000000"/>
          <w:sz w:val="24"/>
          <w:szCs w:val="24"/>
          <w:lang w:eastAsia="pt-BR"/>
        </w:rPr>
        <w:t xml:space="preserve">a a manutenção da vida, estando </w:t>
      </w:r>
      <w:r w:rsidRPr="00A54F72">
        <w:rPr>
          <w:rFonts w:ascii="Arial" w:eastAsia="Times New Roman" w:hAnsi="Arial" w:cs="Arial"/>
          <w:color w:val="000000"/>
          <w:sz w:val="24"/>
          <w:szCs w:val="24"/>
          <w:lang w:eastAsia="pt-BR"/>
        </w:rPr>
        <w:t xml:space="preserve">vinculada intrinsecamente à sobrevivência. </w:t>
      </w:r>
    </w:p>
    <w:p w:rsidR="00A54F72" w:rsidRPr="00A54F72" w:rsidRDefault="00A54F72" w:rsidP="00E410F6">
      <w:pPr>
        <w:spacing w:after="0" w:line="276" w:lineRule="auto"/>
        <w:ind w:firstLine="720"/>
        <w:jc w:val="both"/>
        <w:rPr>
          <w:rFonts w:ascii="Times New Roman" w:eastAsia="Times New Roman" w:hAnsi="Times New Roman" w:cs="Times New Roman"/>
          <w:sz w:val="24"/>
          <w:szCs w:val="24"/>
          <w:lang w:eastAsia="pt-BR"/>
        </w:rPr>
      </w:pPr>
      <w:r w:rsidRPr="00A54F72">
        <w:rPr>
          <w:rFonts w:ascii="Arial" w:eastAsia="Times New Roman" w:hAnsi="Arial" w:cs="Arial"/>
          <w:color w:val="000000"/>
          <w:sz w:val="24"/>
          <w:szCs w:val="24"/>
          <w:lang w:eastAsia="pt-BR"/>
        </w:rPr>
        <w:t xml:space="preserve">Apesar de ser um recurso essencial para a manutenção da vida na Terra, a água é um recurso finito, visto que, de toda a água que compõe o planeta, apenas 2,5% corresponde à água doce, estando 68,9% dessa água localizado em calotas polares, glaciais e em aquíferos, restando menos de 1% de água potável e de fácil acesso para abastecimento de todos os habitantes do planeta </w:t>
      </w:r>
      <w:r w:rsidR="0049217F">
        <w:rPr>
          <w:rFonts w:ascii="Arial" w:hAnsi="Arial" w:cs="Arial"/>
          <w:color w:val="000000"/>
        </w:rPr>
        <w:t>(OLIVEIRA, 2008)</w:t>
      </w:r>
      <w:r w:rsidRPr="00A54F72">
        <w:rPr>
          <w:rFonts w:ascii="Arial" w:eastAsia="Times New Roman" w:hAnsi="Arial" w:cs="Arial"/>
          <w:color w:val="000000"/>
          <w:sz w:val="24"/>
          <w:szCs w:val="24"/>
          <w:lang w:eastAsia="pt-BR"/>
        </w:rPr>
        <w:t>.</w:t>
      </w:r>
    </w:p>
    <w:p w:rsidR="00A54F72" w:rsidRDefault="00A54F72" w:rsidP="00E410F6">
      <w:pPr>
        <w:spacing w:after="0" w:line="276" w:lineRule="auto"/>
        <w:ind w:firstLine="720"/>
        <w:jc w:val="both"/>
        <w:rPr>
          <w:rFonts w:ascii="Arial" w:eastAsia="Times New Roman" w:hAnsi="Arial" w:cs="Arial"/>
          <w:color w:val="000000"/>
          <w:sz w:val="24"/>
          <w:szCs w:val="24"/>
          <w:shd w:val="clear" w:color="auto" w:fill="FFFFFF"/>
          <w:lang w:eastAsia="pt-BR"/>
        </w:rPr>
      </w:pPr>
      <w:r w:rsidRPr="00A54F72">
        <w:rPr>
          <w:rFonts w:ascii="Arial" w:eastAsia="Times New Roman" w:hAnsi="Arial" w:cs="Arial"/>
          <w:color w:val="000000"/>
          <w:sz w:val="24"/>
          <w:szCs w:val="24"/>
          <w:shd w:val="clear" w:color="auto" w:fill="FFFFFF"/>
          <w:lang w:eastAsia="pt-BR"/>
        </w:rPr>
        <w:t>Segundo a Organização das Nações Unidas (ONU), através da Resolução 64/292 de 28 de julho de 2010, o acesso à água limpa e de qualidade</w:t>
      </w:r>
      <w:r w:rsidR="00183711">
        <w:rPr>
          <w:rFonts w:ascii="Arial" w:eastAsia="Times New Roman" w:hAnsi="Arial" w:cs="Arial"/>
          <w:color w:val="000000"/>
          <w:sz w:val="24"/>
          <w:szCs w:val="24"/>
          <w:shd w:val="clear" w:color="auto" w:fill="FFFFFF"/>
          <w:lang w:eastAsia="pt-BR"/>
        </w:rPr>
        <w:t>, de maneira que esta</w:t>
      </w:r>
      <w:r w:rsidRPr="00A54F72">
        <w:rPr>
          <w:rFonts w:ascii="Arial" w:eastAsia="Times New Roman" w:hAnsi="Arial" w:cs="Arial"/>
          <w:color w:val="000000"/>
          <w:sz w:val="24"/>
          <w:szCs w:val="24"/>
          <w:shd w:val="clear" w:color="auto" w:fill="FFFFFF"/>
          <w:lang w:eastAsia="pt-BR"/>
        </w:rPr>
        <w:t xml:space="preserve"> seja, dentre outros aspectos, segura e aceitável é parte essencial dos direitos humanos. A água, para ser considerada segura, deve estar livre de substâncias tóxicas e de microrganismos potencialmente patogênicos que componham riscos para a integridade da saúde humana, apresentando-se também num padrão de aceitabilidade correspondente aos aspectos físicos da água no que diz respeito à cor, odor e sabor adequados ao consumo.</w:t>
      </w:r>
    </w:p>
    <w:p w:rsidR="00183711" w:rsidRPr="00183711" w:rsidRDefault="00183711" w:rsidP="00E410F6">
      <w:pPr>
        <w:pStyle w:val="NormalWeb"/>
        <w:spacing w:before="0" w:beforeAutospacing="0" w:after="0" w:afterAutospacing="0" w:line="276" w:lineRule="auto"/>
        <w:jc w:val="both"/>
        <w:rPr>
          <w:rFonts w:ascii="Arial" w:hAnsi="Arial" w:cs="Arial"/>
          <w:color w:val="000000"/>
          <w:shd w:val="clear" w:color="auto" w:fill="FFFFFF"/>
        </w:rPr>
      </w:pPr>
      <w:r>
        <w:rPr>
          <w:rFonts w:ascii="Arial" w:hAnsi="Arial" w:cs="Arial"/>
          <w:color w:val="000000"/>
        </w:rPr>
        <w:tab/>
      </w:r>
      <w:r w:rsidRPr="008E408B">
        <w:rPr>
          <w:rFonts w:ascii="Arial" w:hAnsi="Arial" w:cs="Arial"/>
          <w:color w:val="000000"/>
        </w:rPr>
        <w:t>As águas destinadas ao consumo humano podem ser distribuídas em classes, de acordo com Conselho Nacional do Meio Ambiente (CONAMA), a partir da delimitação aceitável das concentrações individuais dos elementos químicos e biológicos presentes na água que definem os padrões e a qualidade da mesma. Com base no padrão de qualidade e posterior classificação, essa água é designada para o uso mais apropriado, de modo que as águas de classe especial, 1, 2 e 3 podem ser destinadas ao consumo humano após o devido tratamento, desde desinfecção a tratamentos mais avançados.</w:t>
      </w:r>
    </w:p>
    <w:p w:rsidR="00183711" w:rsidRPr="008E408B" w:rsidRDefault="00183711" w:rsidP="00E410F6">
      <w:pPr>
        <w:pStyle w:val="NormalWeb"/>
        <w:spacing w:before="0" w:beforeAutospacing="0" w:after="0" w:afterAutospacing="0" w:line="276" w:lineRule="auto"/>
        <w:jc w:val="both"/>
      </w:pPr>
      <w:r>
        <w:rPr>
          <w:rFonts w:ascii="Arial" w:hAnsi="Arial" w:cs="Arial"/>
          <w:color w:val="000000"/>
          <w:shd w:val="clear" w:color="auto" w:fill="FFFFFF"/>
        </w:rPr>
        <w:tab/>
        <w:t>No Brasil</w:t>
      </w:r>
      <w:r w:rsidRPr="008E408B">
        <w:rPr>
          <w:rFonts w:ascii="Arial" w:hAnsi="Arial" w:cs="Arial"/>
          <w:color w:val="000000"/>
          <w:shd w:val="clear" w:color="auto" w:fill="FFFFFF"/>
        </w:rPr>
        <w:t>, a água potável encontra-se regionalmente distribuída de maneira desigual, de maneira que a região norte apresenta a maior disponibilidade hídrica 494.445 m</w:t>
      </w:r>
      <w:r w:rsidRPr="008E408B">
        <w:rPr>
          <w:rFonts w:ascii="Arial" w:hAnsi="Arial" w:cs="Arial"/>
          <w:color w:val="000000"/>
          <w:sz w:val="14"/>
          <w:szCs w:val="14"/>
          <w:shd w:val="clear" w:color="auto" w:fill="FFFFFF"/>
          <w:vertAlign w:val="superscript"/>
        </w:rPr>
        <w:t>3</w:t>
      </w:r>
      <w:r w:rsidRPr="008E408B">
        <w:rPr>
          <w:rFonts w:ascii="Arial" w:hAnsi="Arial" w:cs="Arial"/>
          <w:color w:val="222222"/>
          <w:shd w:val="clear" w:color="auto" w:fill="FFFFFF"/>
        </w:rPr>
        <w:t xml:space="preserve">/habitante.ano enquanto que a região Nordeste apresenta disponibilidade hídrica de 3.853 </w:t>
      </w:r>
      <w:r w:rsidRPr="008E408B">
        <w:rPr>
          <w:rFonts w:ascii="Arial" w:hAnsi="Arial" w:cs="Arial"/>
          <w:color w:val="000000"/>
          <w:shd w:val="clear" w:color="auto" w:fill="FFFFFF"/>
        </w:rPr>
        <w:t>m</w:t>
      </w:r>
      <w:r w:rsidRPr="008E408B">
        <w:rPr>
          <w:rFonts w:ascii="Arial" w:hAnsi="Arial" w:cs="Arial"/>
          <w:color w:val="000000"/>
          <w:sz w:val="14"/>
          <w:szCs w:val="14"/>
          <w:shd w:val="clear" w:color="auto" w:fill="FFFFFF"/>
          <w:vertAlign w:val="superscript"/>
        </w:rPr>
        <w:t>3</w:t>
      </w:r>
      <w:r w:rsidRPr="008E408B">
        <w:rPr>
          <w:rFonts w:ascii="Arial" w:hAnsi="Arial" w:cs="Arial"/>
          <w:color w:val="222222"/>
          <w:shd w:val="clear" w:color="auto" w:fill="FFFFFF"/>
        </w:rPr>
        <w:t xml:space="preserve">/habitante.ano, sendo esta a menor disponibilidade do Brasil. Na Paraíba esse recurso encontra-se disponível em uma faixa de 1.320 </w:t>
      </w:r>
      <w:r w:rsidRPr="008E408B">
        <w:rPr>
          <w:rFonts w:ascii="Arial" w:hAnsi="Arial" w:cs="Arial"/>
          <w:color w:val="000000"/>
          <w:shd w:val="clear" w:color="auto" w:fill="FFFFFF"/>
        </w:rPr>
        <w:lastRenderedPageBreak/>
        <w:t>m</w:t>
      </w:r>
      <w:r w:rsidRPr="008E408B">
        <w:rPr>
          <w:rFonts w:ascii="Arial" w:hAnsi="Arial" w:cs="Arial"/>
          <w:color w:val="000000"/>
          <w:sz w:val="14"/>
          <w:szCs w:val="14"/>
          <w:shd w:val="clear" w:color="auto" w:fill="FFFFFF"/>
          <w:vertAlign w:val="superscript"/>
        </w:rPr>
        <w:t>3</w:t>
      </w:r>
      <w:r w:rsidRPr="008E408B">
        <w:rPr>
          <w:rFonts w:ascii="Arial" w:hAnsi="Arial" w:cs="Arial"/>
          <w:color w:val="222222"/>
          <w:shd w:val="clear" w:color="auto" w:fill="FFFFFF"/>
        </w:rPr>
        <w:t>/habitante.ano, sendo a segunda menor taxa do Nordeste, considerada, desta forma, uma disponibilidade crítica (MARQUES, 2012).</w:t>
      </w:r>
    </w:p>
    <w:p w:rsidR="00A54F72" w:rsidRPr="00A54F72" w:rsidRDefault="00A54F72" w:rsidP="00E410F6">
      <w:pPr>
        <w:spacing w:after="0" w:line="276" w:lineRule="auto"/>
        <w:ind w:firstLine="720"/>
        <w:jc w:val="both"/>
        <w:rPr>
          <w:rFonts w:ascii="Times New Roman" w:eastAsia="Times New Roman" w:hAnsi="Times New Roman" w:cs="Times New Roman"/>
          <w:sz w:val="24"/>
          <w:szCs w:val="24"/>
          <w:lang w:eastAsia="pt-BR"/>
        </w:rPr>
      </w:pPr>
      <w:r w:rsidRPr="00A54F72">
        <w:rPr>
          <w:rFonts w:ascii="Arial" w:eastAsia="Times New Roman" w:hAnsi="Arial" w:cs="Arial"/>
          <w:color w:val="000000"/>
          <w:sz w:val="24"/>
          <w:szCs w:val="24"/>
          <w:lang w:eastAsia="pt-BR"/>
        </w:rPr>
        <w:t xml:space="preserve">Uma das propriedades físicas e químicas intrínsecas à água é a grande capacidade de dissolução de substância polares e iônicas, formando assim soluções aquosas, visto que, quando o solvente (água) e o soluto iônico estão em solução, os ânions ligam-se à extremidade positiva da água e os cátions ligam-se à extremidade negativa, garantindo forte estabilidade à solução formada (ESTEVES, 1998). </w:t>
      </w:r>
    </w:p>
    <w:p w:rsidR="00A54F72" w:rsidRPr="00A54F72" w:rsidRDefault="00A54F72" w:rsidP="00E410F6">
      <w:pPr>
        <w:spacing w:after="0" w:line="276" w:lineRule="auto"/>
        <w:ind w:firstLine="720"/>
        <w:jc w:val="both"/>
        <w:rPr>
          <w:rFonts w:ascii="Times New Roman" w:eastAsia="Times New Roman" w:hAnsi="Times New Roman" w:cs="Times New Roman"/>
          <w:sz w:val="24"/>
          <w:szCs w:val="24"/>
          <w:lang w:eastAsia="pt-BR"/>
        </w:rPr>
      </w:pPr>
      <w:r w:rsidRPr="00A54F72">
        <w:rPr>
          <w:rFonts w:ascii="Arial" w:eastAsia="Times New Roman" w:hAnsi="Arial" w:cs="Arial"/>
          <w:color w:val="000000"/>
          <w:sz w:val="24"/>
          <w:szCs w:val="24"/>
          <w:lang w:eastAsia="pt-BR"/>
        </w:rPr>
        <w:t>Além dos compostos iônicos, alguns outros orgânicos também são solúveis em água por apresentarem aspectos moleculares capazes de realizar ligações intermoleculares com a mesma, como é o caso do etanol que faz ligação devido à presença do grupamento -OH e por possuir cadeia carbônica pequena (MARTINS, 2013).</w:t>
      </w:r>
    </w:p>
    <w:p w:rsidR="00A54F72" w:rsidRPr="00A54F72" w:rsidRDefault="00A54F72" w:rsidP="00E410F6">
      <w:pPr>
        <w:spacing w:after="0" w:line="276" w:lineRule="auto"/>
        <w:jc w:val="both"/>
        <w:rPr>
          <w:rFonts w:ascii="Times New Roman" w:eastAsia="Times New Roman" w:hAnsi="Times New Roman" w:cs="Times New Roman"/>
          <w:sz w:val="24"/>
          <w:szCs w:val="24"/>
          <w:lang w:eastAsia="pt-BR"/>
        </w:rPr>
      </w:pPr>
      <w:r w:rsidRPr="00A54F72">
        <w:rPr>
          <w:rFonts w:ascii="Arial" w:eastAsia="Times New Roman" w:hAnsi="Arial" w:cs="Arial"/>
          <w:b/>
          <w:bCs/>
          <w:color w:val="000000"/>
          <w:sz w:val="24"/>
          <w:szCs w:val="24"/>
          <w:lang w:eastAsia="pt-BR"/>
        </w:rPr>
        <w:tab/>
      </w:r>
      <w:r w:rsidRPr="00A54F72">
        <w:rPr>
          <w:rFonts w:ascii="Arial" w:eastAsia="Times New Roman" w:hAnsi="Arial" w:cs="Arial"/>
          <w:color w:val="000000"/>
          <w:sz w:val="24"/>
          <w:szCs w:val="24"/>
          <w:lang w:eastAsia="pt-BR"/>
        </w:rPr>
        <w:t>Todos os elementos na natureza encontram-se intimamente ligados aos componentes bióticos e abióticos por meio da reciclagem da matéria seguindo o fluxo dos ciclos biogeoquímicos, na interação de elementos químicos com o ambiente, tais como, os ciclos geológicos, da água e ciclos elemento-específicos, envolvendo principalmente elementos como carbono, hidrogênio, oxigênio, nitrogênio, fósforo e enxofre. Por se tratar de processos que representam a dinâmica da Terra, o estudo dos ciclos biogeoquímicos configura-se uma alternativa importante para a realização de pesquisas referentes a impactos ambientais, tendo em vista a participação de diversos elementos químicos, como os supracitados, no equilíbrio de ecossistemas tanto aquáticos, como terrestres, além de participarem de processos geológicos.</w:t>
      </w:r>
    </w:p>
    <w:p w:rsidR="00A54F72" w:rsidRDefault="00A54F72" w:rsidP="00E410F6">
      <w:pPr>
        <w:spacing w:after="0" w:line="276" w:lineRule="auto"/>
        <w:jc w:val="both"/>
        <w:rPr>
          <w:rFonts w:ascii="Arial" w:eastAsia="Times New Roman" w:hAnsi="Arial" w:cs="Arial"/>
          <w:color w:val="000000"/>
          <w:sz w:val="24"/>
          <w:szCs w:val="24"/>
          <w:lang w:eastAsia="pt-BR"/>
        </w:rPr>
      </w:pPr>
      <w:r w:rsidRPr="00A54F72">
        <w:rPr>
          <w:rFonts w:ascii="Arial" w:eastAsia="Times New Roman" w:hAnsi="Arial" w:cs="Arial"/>
          <w:color w:val="000000"/>
          <w:sz w:val="24"/>
          <w:szCs w:val="24"/>
          <w:lang w:eastAsia="pt-BR"/>
        </w:rPr>
        <w:tab/>
        <w:t>Dentre os principais elementos envolvidos nos ciclos biogeoquímicos, o nitrogênio é um dos principais para a biosfera, tendo em vista sua participação na composição de ácidos nucleicos e proteínas, que são essenciais para os seres vivos. Além disso, é o elemento químico de maior abundância na atmosfera do planeta, apesar de não ser utilizado diretamente nos mecanismos de respiração da maioria dos organismos vivos (ROSA, 2003).</w:t>
      </w:r>
    </w:p>
    <w:p w:rsidR="00A54F72" w:rsidRPr="00A54F72" w:rsidRDefault="00A54F72" w:rsidP="00E410F6">
      <w:pPr>
        <w:spacing w:after="0" w:line="276" w:lineRule="auto"/>
        <w:ind w:firstLine="720"/>
        <w:jc w:val="both"/>
        <w:rPr>
          <w:rFonts w:ascii="Times New Roman" w:eastAsia="Times New Roman" w:hAnsi="Times New Roman" w:cs="Times New Roman"/>
          <w:sz w:val="24"/>
          <w:szCs w:val="24"/>
          <w:lang w:eastAsia="pt-BR"/>
        </w:rPr>
      </w:pPr>
      <w:r w:rsidRPr="00A54F72">
        <w:rPr>
          <w:rFonts w:ascii="Arial" w:eastAsia="Times New Roman" w:hAnsi="Arial" w:cs="Arial"/>
          <w:color w:val="000000"/>
          <w:sz w:val="24"/>
          <w:szCs w:val="24"/>
          <w:lang w:eastAsia="pt-BR"/>
        </w:rPr>
        <w:t>Os compostos nitrogenados, resultantes do processo de fixação do nitrogênio, em suas formas de óxido nitroso (N</w:t>
      </w:r>
      <w:r w:rsidRPr="00B965BA">
        <w:rPr>
          <w:rFonts w:ascii="Arial" w:eastAsia="Times New Roman" w:hAnsi="Arial" w:cs="Arial"/>
          <w:color w:val="000000"/>
          <w:sz w:val="24"/>
          <w:szCs w:val="24"/>
          <w:vertAlign w:val="subscript"/>
          <w:lang w:eastAsia="pt-BR"/>
        </w:rPr>
        <w:t>2</w:t>
      </w:r>
      <w:r w:rsidRPr="00A54F72">
        <w:rPr>
          <w:rFonts w:ascii="Arial" w:eastAsia="Times New Roman" w:hAnsi="Arial" w:cs="Arial"/>
          <w:color w:val="000000"/>
          <w:sz w:val="24"/>
          <w:szCs w:val="24"/>
          <w:lang w:eastAsia="pt-BR"/>
        </w:rPr>
        <w:t>O), óxido nítrico (NO), dióxido de nitrogênio (NO</w:t>
      </w:r>
      <w:r w:rsidRPr="00B965BA">
        <w:rPr>
          <w:rFonts w:ascii="Arial" w:eastAsia="Times New Roman" w:hAnsi="Arial" w:cs="Arial"/>
          <w:color w:val="000000"/>
          <w:sz w:val="24"/>
          <w:szCs w:val="24"/>
          <w:vertAlign w:val="subscript"/>
          <w:lang w:eastAsia="pt-BR"/>
        </w:rPr>
        <w:t>2</w:t>
      </w:r>
      <w:r w:rsidRPr="00A54F72">
        <w:rPr>
          <w:rFonts w:ascii="Arial" w:eastAsia="Times New Roman" w:hAnsi="Arial" w:cs="Arial"/>
          <w:color w:val="000000"/>
          <w:sz w:val="24"/>
          <w:szCs w:val="24"/>
          <w:lang w:eastAsia="pt-BR"/>
        </w:rPr>
        <w:t>), ácido nítrico (HNO</w:t>
      </w:r>
      <w:r w:rsidRPr="00B965BA">
        <w:rPr>
          <w:rFonts w:ascii="Arial" w:eastAsia="Times New Roman" w:hAnsi="Arial" w:cs="Arial"/>
          <w:color w:val="000000"/>
          <w:sz w:val="24"/>
          <w:szCs w:val="24"/>
          <w:vertAlign w:val="subscript"/>
          <w:lang w:eastAsia="pt-BR"/>
        </w:rPr>
        <w:t>3</w:t>
      </w:r>
      <w:r w:rsidRPr="00A54F72">
        <w:rPr>
          <w:rFonts w:ascii="Arial" w:eastAsia="Times New Roman" w:hAnsi="Arial" w:cs="Arial"/>
          <w:color w:val="000000"/>
          <w:sz w:val="24"/>
          <w:szCs w:val="24"/>
          <w:lang w:eastAsia="pt-BR"/>
        </w:rPr>
        <w:t>) e amônia (NH</w:t>
      </w:r>
      <w:r w:rsidRPr="00B965BA">
        <w:rPr>
          <w:rFonts w:ascii="Arial" w:eastAsia="Times New Roman" w:hAnsi="Arial" w:cs="Arial"/>
          <w:color w:val="000000"/>
          <w:sz w:val="24"/>
          <w:szCs w:val="24"/>
          <w:vertAlign w:val="subscript"/>
          <w:lang w:eastAsia="pt-BR"/>
        </w:rPr>
        <w:t>3</w:t>
      </w:r>
      <w:r w:rsidRPr="00A54F72">
        <w:rPr>
          <w:rFonts w:ascii="Arial" w:eastAsia="Times New Roman" w:hAnsi="Arial" w:cs="Arial"/>
          <w:color w:val="000000"/>
          <w:sz w:val="24"/>
          <w:szCs w:val="24"/>
          <w:lang w:eastAsia="pt-BR"/>
        </w:rPr>
        <w:t>), por possuírem grande capacidade de ligação, estão diretamente envolvidos com diversos desequilíbrios ambientais da atualidade. Grande parte (90%) dessa fixação se dá através de fixação biológica de nitrogênio tendo algumas bactérias e cianobactérias (ambiente aquático) como principais protagonistas desse processo. Além da fixação biológica, há outros tipos de fixação, responsáveis pela obtenção desses compostos reativos, como a fixação atmosférica de nitrogênio, que se dá pela descarga elétrica provocadas por relâmpagos resultando na formação de amônia e formas oxidadas, e a fixação industrial, promovida por meio de ação antrópica, dando origem principalmente a amôn</w:t>
      </w:r>
      <w:r w:rsidR="00DB4375">
        <w:rPr>
          <w:rFonts w:ascii="Arial" w:eastAsia="Times New Roman" w:hAnsi="Arial" w:cs="Arial"/>
          <w:color w:val="000000"/>
          <w:sz w:val="24"/>
          <w:szCs w:val="24"/>
          <w:lang w:eastAsia="pt-BR"/>
        </w:rPr>
        <w:t>ia e ácido nítrico (MARTINS, 201</w:t>
      </w:r>
      <w:r w:rsidRPr="00A54F72">
        <w:rPr>
          <w:rFonts w:ascii="Arial" w:eastAsia="Times New Roman" w:hAnsi="Arial" w:cs="Arial"/>
          <w:color w:val="000000"/>
          <w:sz w:val="24"/>
          <w:szCs w:val="24"/>
          <w:lang w:eastAsia="pt-BR"/>
        </w:rPr>
        <w:t>3; ROSA, 2003).  </w:t>
      </w:r>
    </w:p>
    <w:p w:rsidR="006C5DFA" w:rsidRPr="006D765E" w:rsidRDefault="00A54F72" w:rsidP="00E410F6">
      <w:pPr>
        <w:spacing w:after="0" w:line="276" w:lineRule="auto"/>
        <w:ind w:firstLine="720"/>
        <w:jc w:val="both"/>
        <w:rPr>
          <w:rFonts w:ascii="Times New Roman" w:eastAsia="Times New Roman" w:hAnsi="Times New Roman" w:cs="Times New Roman"/>
          <w:sz w:val="24"/>
          <w:szCs w:val="24"/>
          <w:lang w:eastAsia="pt-BR"/>
        </w:rPr>
      </w:pPr>
      <w:r w:rsidRPr="00A54F72">
        <w:rPr>
          <w:rFonts w:ascii="Arial" w:eastAsia="Times New Roman" w:hAnsi="Arial" w:cs="Arial"/>
          <w:color w:val="000000"/>
          <w:sz w:val="24"/>
          <w:szCs w:val="24"/>
          <w:lang w:eastAsia="pt-BR"/>
        </w:rPr>
        <w:t>No ambiente aquático, há uma dinamicidade expressiva das formas nitrogenadas.</w:t>
      </w:r>
      <w:r w:rsidR="006C5DFA">
        <w:rPr>
          <w:rFonts w:ascii="Arial" w:eastAsia="Times New Roman" w:hAnsi="Arial" w:cs="Arial"/>
          <w:color w:val="000000"/>
          <w:sz w:val="24"/>
          <w:szCs w:val="24"/>
          <w:lang w:eastAsia="pt-BR"/>
        </w:rPr>
        <w:t xml:space="preserve"> </w:t>
      </w:r>
      <w:r w:rsidR="006C5DFA" w:rsidRPr="00A54F72">
        <w:rPr>
          <w:rFonts w:ascii="Arial" w:eastAsia="Times New Roman" w:hAnsi="Arial" w:cs="Arial"/>
          <w:color w:val="000000"/>
          <w:sz w:val="24"/>
          <w:szCs w:val="24"/>
          <w:lang w:eastAsia="pt-BR"/>
        </w:rPr>
        <w:t xml:space="preserve">A fração de nitrogênio inorgânico na água, em particular o nitrogênio </w:t>
      </w:r>
      <w:r w:rsidR="006C5DFA" w:rsidRPr="00A54F72">
        <w:rPr>
          <w:rFonts w:ascii="Arial" w:eastAsia="Times New Roman" w:hAnsi="Arial" w:cs="Arial"/>
          <w:color w:val="000000"/>
          <w:sz w:val="24"/>
          <w:szCs w:val="24"/>
          <w:lang w:eastAsia="pt-BR"/>
        </w:rPr>
        <w:lastRenderedPageBreak/>
        <w:t>amoniacal, quando elevada, sugere a presença de matéria orgânica excessiva em provável processo de decomposição no meio, tendo em vista que a amônia, é oxidada em nitrato e nitrito, na presença de quantidade suficiente de oxigênio dis</w:t>
      </w:r>
      <w:r w:rsidR="003B2ED8">
        <w:rPr>
          <w:rFonts w:ascii="Arial" w:eastAsia="Times New Roman" w:hAnsi="Arial" w:cs="Arial"/>
          <w:color w:val="000000"/>
          <w:sz w:val="24"/>
          <w:szCs w:val="24"/>
          <w:lang w:eastAsia="pt-BR"/>
        </w:rPr>
        <w:t>solvido</w:t>
      </w:r>
      <w:r w:rsidR="006C5DFA" w:rsidRPr="00A54F72">
        <w:rPr>
          <w:rFonts w:ascii="Arial" w:eastAsia="Times New Roman" w:hAnsi="Arial" w:cs="Arial"/>
          <w:color w:val="000000"/>
          <w:sz w:val="24"/>
          <w:szCs w:val="24"/>
          <w:lang w:eastAsia="pt-BR"/>
        </w:rPr>
        <w:t xml:space="preserve"> (OD), por microrganismos e organismos fixadores de nitrogênio.</w:t>
      </w:r>
      <w:r w:rsidR="006C5DFA">
        <w:rPr>
          <w:rFonts w:ascii="Arial" w:eastAsia="Times New Roman" w:hAnsi="Arial" w:cs="Arial"/>
          <w:color w:val="000000"/>
          <w:sz w:val="24"/>
          <w:szCs w:val="24"/>
          <w:lang w:eastAsia="pt-BR"/>
        </w:rPr>
        <w:t xml:space="preserve"> </w:t>
      </w:r>
      <w:r w:rsidR="006C5DFA" w:rsidRPr="00A54F72">
        <w:rPr>
          <w:rFonts w:ascii="Arial" w:eastAsia="Times New Roman" w:hAnsi="Arial" w:cs="Arial"/>
          <w:color w:val="000000"/>
          <w:sz w:val="24"/>
          <w:szCs w:val="24"/>
          <w:lang w:eastAsia="pt-BR"/>
        </w:rPr>
        <w:t xml:space="preserve">Caso essa disponibilidade esteja reduzida, sugere-se um aumento na concentração de nitrogênio amoniacal no corpo aquático, indicando, portanto, toxicidade para as populações aeróbicas do meio, por redução de OD (AYACH, 2007 apud KINDLEIN, 2010). </w:t>
      </w:r>
    </w:p>
    <w:p w:rsidR="00183711" w:rsidRPr="00A54F72" w:rsidRDefault="00A54F72" w:rsidP="00E410F6">
      <w:pPr>
        <w:spacing w:after="0" w:line="276" w:lineRule="auto"/>
        <w:ind w:firstLine="720"/>
        <w:jc w:val="both"/>
        <w:rPr>
          <w:rFonts w:ascii="Times New Roman" w:eastAsia="Times New Roman" w:hAnsi="Times New Roman" w:cs="Times New Roman"/>
          <w:sz w:val="24"/>
          <w:szCs w:val="24"/>
          <w:lang w:eastAsia="pt-BR"/>
        </w:rPr>
      </w:pPr>
      <w:r w:rsidRPr="00A54F72">
        <w:rPr>
          <w:rFonts w:ascii="Arial" w:eastAsia="Times New Roman" w:hAnsi="Arial" w:cs="Arial"/>
          <w:color w:val="000000"/>
          <w:sz w:val="24"/>
          <w:szCs w:val="24"/>
          <w:lang w:eastAsia="pt-BR"/>
        </w:rPr>
        <w:t xml:space="preserve"> As formas mais expressivas do nitrogênio em meio aquoso são, o nitrogênio orgânico, amônia (produto de fixação biológica, ou metabólito), nitrato e nitrito (principais formas oxidadas) (VON SPERLING, 2007 apud BAZANELLA, 2015).</w:t>
      </w:r>
      <w:r w:rsidR="006C5DFA">
        <w:rPr>
          <w:rFonts w:ascii="Arial" w:eastAsia="Times New Roman" w:hAnsi="Arial" w:cs="Arial"/>
          <w:color w:val="000000"/>
          <w:sz w:val="24"/>
          <w:szCs w:val="24"/>
          <w:lang w:eastAsia="pt-BR"/>
        </w:rPr>
        <w:t xml:space="preserve"> No entanto, o</w:t>
      </w:r>
      <w:r w:rsidR="00183711" w:rsidRPr="008E408B">
        <w:rPr>
          <w:rFonts w:ascii="Arial" w:eastAsia="Times New Roman" w:hAnsi="Arial" w:cs="Arial"/>
          <w:color w:val="000000"/>
          <w:sz w:val="24"/>
          <w:szCs w:val="24"/>
          <w:lang w:eastAsia="pt-BR"/>
        </w:rPr>
        <w:t xml:space="preserve"> nitrogênio amoniacal, em sua forma reativa, NH</w:t>
      </w:r>
      <w:r w:rsidR="00183711" w:rsidRPr="00B965BA">
        <w:rPr>
          <w:rFonts w:ascii="Arial" w:eastAsia="Times New Roman" w:hAnsi="Arial" w:cs="Arial"/>
          <w:color w:val="000000"/>
          <w:sz w:val="24"/>
          <w:szCs w:val="24"/>
          <w:vertAlign w:val="subscript"/>
          <w:lang w:eastAsia="pt-BR"/>
        </w:rPr>
        <w:t>4</w:t>
      </w:r>
      <w:r w:rsidR="00183711" w:rsidRPr="00B965BA">
        <w:rPr>
          <w:rFonts w:ascii="Arial" w:eastAsia="Times New Roman" w:hAnsi="Arial" w:cs="Arial"/>
          <w:color w:val="000000"/>
          <w:sz w:val="24"/>
          <w:szCs w:val="24"/>
          <w:vertAlign w:val="superscript"/>
          <w:lang w:eastAsia="pt-BR"/>
        </w:rPr>
        <w:t>+</w:t>
      </w:r>
      <w:r w:rsidR="00183711" w:rsidRPr="008E408B">
        <w:rPr>
          <w:rFonts w:ascii="Arial" w:eastAsia="Times New Roman" w:hAnsi="Arial" w:cs="Arial"/>
          <w:color w:val="000000"/>
          <w:sz w:val="24"/>
          <w:szCs w:val="24"/>
          <w:lang w:eastAsia="pt-BR"/>
        </w:rPr>
        <w:t xml:space="preserve">, é a forma nitrogenada mais viável do ponto de vista energético em relação às outras formas para os seres autótrofos, relacionando-se diretamente com o aumento ou diminuição do OD conforme sua concentração no meio (ESTEVES, 1998 apud KINDLEIN, 2010). </w:t>
      </w:r>
      <w:r w:rsidR="00183711" w:rsidRPr="008E408B">
        <w:rPr>
          <w:rFonts w:ascii="Arial" w:eastAsia="Times New Roman" w:hAnsi="Arial" w:cs="Arial"/>
          <w:color w:val="000000"/>
          <w:sz w:val="24"/>
          <w:szCs w:val="24"/>
          <w:shd w:val="clear" w:color="auto" w:fill="FFFFFF"/>
          <w:lang w:eastAsia="pt-BR"/>
        </w:rPr>
        <w:t xml:space="preserve">A principal preocupação com o aumento das concentrações de nitrogênio amoniacal em reservatórios de abastecimento de água é a capacidade desse composto tornar o meio impróprio para o consumo humano por possuir capacidade de afetar a saúde, pela ingestão da água, bem como pela sua relação com a eutrofização. </w:t>
      </w:r>
    </w:p>
    <w:p w:rsidR="00A54F72" w:rsidRPr="00A54F72" w:rsidRDefault="00A54F72" w:rsidP="00E410F6">
      <w:pPr>
        <w:spacing w:after="0" w:line="276" w:lineRule="auto"/>
        <w:ind w:firstLine="720"/>
        <w:jc w:val="both"/>
        <w:rPr>
          <w:rFonts w:ascii="Times New Roman" w:eastAsia="Times New Roman" w:hAnsi="Times New Roman" w:cs="Times New Roman"/>
          <w:sz w:val="24"/>
          <w:szCs w:val="24"/>
          <w:lang w:eastAsia="pt-BR"/>
        </w:rPr>
      </w:pPr>
      <w:r w:rsidRPr="00A54F72">
        <w:rPr>
          <w:rFonts w:ascii="Arial" w:eastAsia="Times New Roman" w:hAnsi="Arial" w:cs="Arial"/>
          <w:color w:val="000000"/>
          <w:sz w:val="24"/>
          <w:szCs w:val="24"/>
          <w:lang w:eastAsia="pt-BR"/>
        </w:rPr>
        <w:t>Altas concentrações dos compostos supracitados, tendem a influenciar negativamente no meio, por quebrar a homeostase dos níveis de oxigênio do mesmo (PEREIRA, 2005). A ingestão de águas de abastecimento com alto teor dessas formas nitrogenadas pode ser prejudicial à saúde, estando associadas com doenças como a metahemoglobinemia e distúrbios pulmonares (VON SPERLING, 2007 apud BAZANELLA, 2015).</w:t>
      </w:r>
    </w:p>
    <w:p w:rsidR="00A54F72" w:rsidRPr="00A54F72" w:rsidRDefault="00A54F72" w:rsidP="00E410F6">
      <w:pPr>
        <w:spacing w:after="0" w:line="276" w:lineRule="auto"/>
        <w:ind w:firstLine="720"/>
        <w:jc w:val="both"/>
        <w:rPr>
          <w:rFonts w:ascii="Times New Roman" w:eastAsia="Times New Roman" w:hAnsi="Times New Roman" w:cs="Times New Roman"/>
          <w:sz w:val="24"/>
          <w:szCs w:val="24"/>
          <w:lang w:eastAsia="pt-BR"/>
        </w:rPr>
      </w:pPr>
      <w:r w:rsidRPr="00A54F72">
        <w:rPr>
          <w:rFonts w:ascii="Arial" w:eastAsia="Times New Roman" w:hAnsi="Arial" w:cs="Arial"/>
          <w:color w:val="000000"/>
          <w:sz w:val="24"/>
          <w:szCs w:val="24"/>
          <w:lang w:eastAsia="pt-BR"/>
        </w:rPr>
        <w:t>A maioria das excretas nitrogenadas, como a ureia e ácido úrico, bem como algumas proteínas, comumente liberadas em efluentes, mas também decorrentes de infiltração no solo ou por escoamento superficial, são biotransformadas em amônia por saprófitas do próprio ambiente (ROSA, 2003; FERRETI, 2005 apud BANDELERO, 2010). Sendo assim, com o aumento da liberação de matéria orgânica no local, haverá uma propensão a elevar a população desses saprófitas, reduzindo a qualidade da água (MAIA, 2011 apud BAZANELLA, 2015).</w:t>
      </w:r>
    </w:p>
    <w:p w:rsidR="00A54F72" w:rsidRPr="00A54F72" w:rsidRDefault="00A54F72" w:rsidP="00E410F6">
      <w:pPr>
        <w:spacing w:after="0" w:line="276" w:lineRule="auto"/>
        <w:ind w:firstLine="720"/>
        <w:jc w:val="both"/>
        <w:rPr>
          <w:rFonts w:ascii="Times New Roman" w:eastAsia="Times New Roman" w:hAnsi="Times New Roman" w:cs="Times New Roman"/>
          <w:sz w:val="24"/>
          <w:szCs w:val="24"/>
          <w:lang w:eastAsia="pt-BR"/>
        </w:rPr>
      </w:pPr>
      <w:r w:rsidRPr="00A54F72">
        <w:rPr>
          <w:rFonts w:ascii="Arial" w:eastAsia="Times New Roman" w:hAnsi="Arial" w:cs="Arial"/>
          <w:color w:val="000000"/>
          <w:sz w:val="24"/>
          <w:szCs w:val="24"/>
          <w:lang w:eastAsia="pt-BR"/>
        </w:rPr>
        <w:t xml:space="preserve">O processo de formação da amônia, denominada amonificação, é proveniente da decomposição da matéria orgânica nitrogenada, e como exemplo dessa biotransformação </w:t>
      </w:r>
      <w:r>
        <w:rPr>
          <w:rFonts w:ascii="Arial" w:eastAsia="Times New Roman" w:hAnsi="Arial" w:cs="Arial"/>
          <w:color w:val="000000"/>
          <w:sz w:val="24"/>
          <w:szCs w:val="24"/>
          <w:lang w:eastAsia="pt-BR"/>
        </w:rPr>
        <w:t>temos o caso da conversão da ure</w:t>
      </w:r>
      <w:r w:rsidRPr="00A54F72">
        <w:rPr>
          <w:rFonts w:ascii="Arial" w:eastAsia="Times New Roman" w:hAnsi="Arial" w:cs="Arial"/>
          <w:color w:val="000000"/>
          <w:sz w:val="24"/>
          <w:szCs w:val="24"/>
          <w:lang w:eastAsia="pt-BR"/>
        </w:rPr>
        <w:t>ia em amô</w:t>
      </w:r>
      <w:r>
        <w:rPr>
          <w:rFonts w:ascii="Arial" w:eastAsia="Times New Roman" w:hAnsi="Arial" w:cs="Arial"/>
          <w:color w:val="000000"/>
          <w:sz w:val="24"/>
          <w:szCs w:val="24"/>
          <w:lang w:eastAsia="pt-BR"/>
        </w:rPr>
        <w:t>nia por meio da hidrólise da ure</w:t>
      </w:r>
      <w:r w:rsidRPr="00A54F72">
        <w:rPr>
          <w:rFonts w:ascii="Arial" w:eastAsia="Times New Roman" w:hAnsi="Arial" w:cs="Arial"/>
          <w:color w:val="000000"/>
          <w:sz w:val="24"/>
          <w:szCs w:val="24"/>
          <w:lang w:eastAsia="pt-BR"/>
        </w:rPr>
        <w:t>ia [CO(NH</w:t>
      </w:r>
      <w:r w:rsidRPr="00B965BA">
        <w:rPr>
          <w:rFonts w:ascii="Arial" w:eastAsia="Times New Roman" w:hAnsi="Arial" w:cs="Arial"/>
          <w:color w:val="000000"/>
          <w:sz w:val="24"/>
          <w:szCs w:val="24"/>
          <w:vertAlign w:val="subscript"/>
          <w:lang w:eastAsia="pt-BR"/>
        </w:rPr>
        <w:t>2</w:t>
      </w:r>
      <w:r w:rsidRPr="00A54F72">
        <w:rPr>
          <w:rFonts w:ascii="Arial" w:eastAsia="Times New Roman" w:hAnsi="Arial" w:cs="Arial"/>
          <w:color w:val="000000"/>
          <w:sz w:val="24"/>
          <w:szCs w:val="24"/>
          <w:lang w:eastAsia="pt-BR"/>
        </w:rPr>
        <w:t>)</w:t>
      </w:r>
      <w:r w:rsidRPr="00B965BA">
        <w:rPr>
          <w:rFonts w:ascii="Arial" w:eastAsia="Times New Roman" w:hAnsi="Arial" w:cs="Arial"/>
          <w:color w:val="000000"/>
          <w:sz w:val="24"/>
          <w:szCs w:val="24"/>
          <w:vertAlign w:val="subscript"/>
          <w:lang w:eastAsia="pt-BR"/>
        </w:rPr>
        <w:t>2</w:t>
      </w:r>
      <w:r w:rsidRPr="00A54F72">
        <w:rPr>
          <w:rFonts w:ascii="Arial" w:eastAsia="Times New Roman" w:hAnsi="Arial" w:cs="Arial"/>
          <w:color w:val="000000"/>
          <w:sz w:val="24"/>
          <w:szCs w:val="24"/>
          <w:lang w:eastAsia="pt-BR"/>
        </w:rPr>
        <w:t xml:space="preserve"> + H</w:t>
      </w:r>
      <w:r w:rsidRPr="00B965BA">
        <w:rPr>
          <w:rFonts w:ascii="Arial" w:eastAsia="Times New Roman" w:hAnsi="Arial" w:cs="Arial"/>
          <w:color w:val="000000"/>
          <w:sz w:val="24"/>
          <w:szCs w:val="24"/>
          <w:vertAlign w:val="subscript"/>
          <w:lang w:eastAsia="pt-BR"/>
        </w:rPr>
        <w:t>2</w:t>
      </w:r>
      <w:r w:rsidRPr="00A54F72">
        <w:rPr>
          <w:rFonts w:ascii="Arial" w:eastAsia="Times New Roman" w:hAnsi="Arial" w:cs="Arial"/>
          <w:color w:val="000000"/>
          <w:sz w:val="24"/>
          <w:szCs w:val="24"/>
          <w:lang w:eastAsia="pt-BR"/>
        </w:rPr>
        <w:t>O</w:t>
      </w:r>
      <w:r w:rsidR="001D792F">
        <w:rPr>
          <w:rFonts w:ascii="Arial" w:eastAsia="Times New Roman" w:hAnsi="Arial" w:cs="Arial"/>
          <w:color w:val="000000"/>
          <w:sz w:val="24"/>
          <w:szCs w:val="24"/>
          <w:lang w:eastAsia="pt-BR"/>
        </w:rPr>
        <w:t xml:space="preserve"> </w:t>
      </w:r>
      <w:r w:rsidR="001D792F" w:rsidRPr="001D792F">
        <w:rPr>
          <w:rFonts w:ascii="Arial" w:eastAsia="Times New Roman" w:hAnsi="Arial" w:cs="Arial"/>
          <w:color w:val="000000"/>
          <w:sz w:val="24"/>
          <w:szCs w:val="24"/>
          <w:lang w:eastAsia="pt-BR"/>
        </w:rPr>
        <w:sym w:font="Wingdings" w:char="F0E0"/>
      </w:r>
      <w:r w:rsidRPr="00A54F72">
        <w:rPr>
          <w:rFonts w:ascii="Arial" w:eastAsia="Times New Roman" w:hAnsi="Arial" w:cs="Arial"/>
          <w:color w:val="000000"/>
          <w:sz w:val="24"/>
          <w:szCs w:val="24"/>
          <w:lang w:eastAsia="pt-BR"/>
        </w:rPr>
        <w:t xml:space="preserve"> 2 NH</w:t>
      </w:r>
      <w:r w:rsidRPr="00B965BA">
        <w:rPr>
          <w:rFonts w:ascii="Arial" w:eastAsia="Times New Roman" w:hAnsi="Arial" w:cs="Arial"/>
          <w:color w:val="000000"/>
          <w:sz w:val="24"/>
          <w:szCs w:val="24"/>
          <w:vertAlign w:val="subscript"/>
          <w:lang w:eastAsia="pt-BR"/>
        </w:rPr>
        <w:t>3</w:t>
      </w:r>
      <w:r w:rsidRPr="00A54F72">
        <w:rPr>
          <w:rFonts w:ascii="Arial" w:eastAsia="Times New Roman" w:hAnsi="Arial" w:cs="Arial"/>
          <w:color w:val="000000"/>
          <w:sz w:val="24"/>
          <w:szCs w:val="24"/>
          <w:lang w:eastAsia="pt-BR"/>
        </w:rPr>
        <w:t xml:space="preserve"> + CO</w:t>
      </w:r>
      <w:r w:rsidRPr="00B965BA">
        <w:rPr>
          <w:rFonts w:ascii="Arial" w:eastAsia="Times New Roman" w:hAnsi="Arial" w:cs="Arial"/>
          <w:color w:val="000000"/>
          <w:sz w:val="24"/>
          <w:szCs w:val="24"/>
          <w:vertAlign w:val="subscript"/>
          <w:lang w:eastAsia="pt-BR"/>
        </w:rPr>
        <w:t>2</w:t>
      </w:r>
      <w:r w:rsidRPr="00A54F72">
        <w:rPr>
          <w:rFonts w:ascii="Arial" w:eastAsia="Times New Roman" w:hAnsi="Arial" w:cs="Arial"/>
          <w:color w:val="000000"/>
          <w:sz w:val="24"/>
          <w:szCs w:val="24"/>
          <w:lang w:eastAsia="pt-BR"/>
        </w:rPr>
        <w:t>] e posterior formação do íon amônio [NH</w:t>
      </w:r>
      <w:r w:rsidRPr="00B965BA">
        <w:rPr>
          <w:rFonts w:ascii="Arial" w:eastAsia="Times New Roman" w:hAnsi="Arial" w:cs="Arial"/>
          <w:color w:val="000000"/>
          <w:sz w:val="24"/>
          <w:szCs w:val="24"/>
          <w:vertAlign w:val="subscript"/>
          <w:lang w:eastAsia="pt-BR"/>
        </w:rPr>
        <w:t>3</w:t>
      </w:r>
      <w:r w:rsidRPr="00A54F72">
        <w:rPr>
          <w:rFonts w:ascii="Arial" w:eastAsia="Times New Roman" w:hAnsi="Arial" w:cs="Arial"/>
          <w:color w:val="000000"/>
          <w:sz w:val="24"/>
          <w:szCs w:val="24"/>
          <w:lang w:eastAsia="pt-BR"/>
        </w:rPr>
        <w:t xml:space="preserve"> + H</w:t>
      </w:r>
      <w:r w:rsidRPr="00B965BA">
        <w:rPr>
          <w:rFonts w:ascii="Arial" w:eastAsia="Times New Roman" w:hAnsi="Arial" w:cs="Arial"/>
          <w:color w:val="000000"/>
          <w:sz w:val="24"/>
          <w:szCs w:val="24"/>
          <w:vertAlign w:val="subscript"/>
          <w:lang w:eastAsia="pt-BR"/>
        </w:rPr>
        <w:t>2</w:t>
      </w:r>
      <w:r w:rsidRPr="00A54F72">
        <w:rPr>
          <w:rFonts w:ascii="Arial" w:eastAsia="Times New Roman" w:hAnsi="Arial" w:cs="Arial"/>
          <w:color w:val="000000"/>
          <w:sz w:val="24"/>
          <w:szCs w:val="24"/>
          <w:lang w:eastAsia="pt-BR"/>
        </w:rPr>
        <w:t xml:space="preserve">O </w:t>
      </w:r>
      <w:r w:rsidR="001D792F" w:rsidRPr="001D792F">
        <w:rPr>
          <w:rFonts w:ascii="Arial" w:eastAsia="Times New Roman" w:hAnsi="Arial" w:cs="Arial"/>
          <w:color w:val="000000"/>
          <w:sz w:val="24"/>
          <w:szCs w:val="24"/>
          <w:lang w:eastAsia="pt-BR"/>
        </w:rPr>
        <w:sym w:font="Wingdings" w:char="F0E0"/>
      </w:r>
      <w:r w:rsidRPr="00A54F72">
        <w:rPr>
          <w:rFonts w:ascii="Arial" w:eastAsia="Times New Roman" w:hAnsi="Arial" w:cs="Arial"/>
          <w:color w:val="000000"/>
          <w:sz w:val="24"/>
          <w:szCs w:val="24"/>
          <w:lang w:eastAsia="pt-BR"/>
        </w:rPr>
        <w:t xml:space="preserve"> NH</w:t>
      </w:r>
      <w:r w:rsidRPr="00B965BA">
        <w:rPr>
          <w:rFonts w:ascii="Arial" w:eastAsia="Times New Roman" w:hAnsi="Arial" w:cs="Arial"/>
          <w:color w:val="000000"/>
          <w:sz w:val="24"/>
          <w:szCs w:val="24"/>
          <w:vertAlign w:val="subscript"/>
          <w:lang w:eastAsia="pt-BR"/>
        </w:rPr>
        <w:t>4</w:t>
      </w:r>
      <w:r w:rsidRPr="00B965BA">
        <w:rPr>
          <w:rFonts w:ascii="Arial" w:eastAsia="Times New Roman" w:hAnsi="Arial" w:cs="Arial"/>
          <w:color w:val="000000"/>
          <w:sz w:val="24"/>
          <w:szCs w:val="24"/>
          <w:vertAlign w:val="superscript"/>
          <w:lang w:eastAsia="pt-BR"/>
        </w:rPr>
        <w:t>+</w:t>
      </w:r>
      <w:r w:rsidRPr="00A54F72">
        <w:rPr>
          <w:rFonts w:ascii="Arial" w:eastAsia="Times New Roman" w:hAnsi="Arial" w:cs="Arial"/>
          <w:color w:val="000000"/>
          <w:sz w:val="24"/>
          <w:szCs w:val="24"/>
          <w:lang w:eastAsia="pt-BR"/>
        </w:rPr>
        <w:t xml:space="preserve"> + OH</w:t>
      </w:r>
      <w:r w:rsidRPr="00B965BA">
        <w:rPr>
          <w:rFonts w:ascii="Arial" w:eastAsia="Times New Roman" w:hAnsi="Arial" w:cs="Arial"/>
          <w:color w:val="000000"/>
          <w:sz w:val="24"/>
          <w:szCs w:val="24"/>
          <w:vertAlign w:val="superscript"/>
          <w:lang w:eastAsia="pt-BR"/>
        </w:rPr>
        <w:t>-</w:t>
      </w:r>
      <w:r w:rsidRPr="00A54F72">
        <w:rPr>
          <w:rFonts w:ascii="Arial" w:eastAsia="Times New Roman" w:hAnsi="Arial" w:cs="Arial"/>
          <w:color w:val="000000"/>
          <w:sz w:val="24"/>
          <w:szCs w:val="24"/>
          <w:lang w:eastAsia="pt-BR"/>
        </w:rPr>
        <w:t xml:space="preserve">]. </w:t>
      </w:r>
    </w:p>
    <w:p w:rsidR="00A54F72" w:rsidRPr="00A54F72" w:rsidRDefault="00A54F72" w:rsidP="00E410F6">
      <w:pPr>
        <w:spacing w:after="0" w:line="276" w:lineRule="auto"/>
        <w:ind w:firstLine="720"/>
        <w:jc w:val="both"/>
        <w:rPr>
          <w:rFonts w:ascii="Times New Roman" w:eastAsia="Times New Roman" w:hAnsi="Times New Roman" w:cs="Times New Roman"/>
          <w:sz w:val="24"/>
          <w:szCs w:val="24"/>
          <w:lang w:eastAsia="pt-BR"/>
        </w:rPr>
      </w:pPr>
      <w:r w:rsidRPr="00A54F72">
        <w:rPr>
          <w:rFonts w:ascii="Arial" w:eastAsia="Times New Roman" w:hAnsi="Arial" w:cs="Arial"/>
          <w:color w:val="000000"/>
          <w:sz w:val="24"/>
          <w:szCs w:val="24"/>
          <w:lang w:eastAsia="pt-BR"/>
        </w:rPr>
        <w:t>A amônia em meio aquoso com pH ácido ou neutro é considerada um composto instável e por sua vez é convertida, por meio da hidratação da mesma, em íon amônio (NH</w:t>
      </w:r>
      <w:r w:rsidRPr="00B965BA">
        <w:rPr>
          <w:rFonts w:ascii="Arial" w:eastAsia="Times New Roman" w:hAnsi="Arial" w:cs="Arial"/>
          <w:color w:val="000000"/>
          <w:sz w:val="24"/>
          <w:szCs w:val="24"/>
          <w:vertAlign w:val="subscript"/>
          <w:lang w:eastAsia="pt-BR"/>
        </w:rPr>
        <w:t>4</w:t>
      </w:r>
      <w:r w:rsidRPr="00B965BA">
        <w:rPr>
          <w:rFonts w:ascii="Arial" w:eastAsia="Times New Roman" w:hAnsi="Arial" w:cs="Arial"/>
          <w:color w:val="000000"/>
          <w:sz w:val="24"/>
          <w:szCs w:val="24"/>
          <w:vertAlign w:val="superscript"/>
          <w:lang w:eastAsia="pt-BR"/>
        </w:rPr>
        <w:t>+</w:t>
      </w:r>
      <w:r w:rsidRPr="00A54F72">
        <w:rPr>
          <w:rFonts w:ascii="Arial" w:eastAsia="Times New Roman" w:hAnsi="Arial" w:cs="Arial"/>
          <w:color w:val="000000"/>
          <w:sz w:val="24"/>
          <w:szCs w:val="24"/>
          <w:lang w:eastAsia="pt-BR"/>
        </w:rPr>
        <w:t xml:space="preserve">), forma ionizada e, portanto, consideravelmente reativa. Quando presente em meio aquoso de pH alcalino, a mesma se mantém estável, forma não ionizada, e passível de difundir-se para a atmosfera. (ESTEVES, 1998). </w:t>
      </w:r>
    </w:p>
    <w:p w:rsidR="00A54F72" w:rsidRPr="00A54F72" w:rsidRDefault="00A54F72" w:rsidP="00E410F6">
      <w:pPr>
        <w:spacing w:after="0" w:line="276" w:lineRule="auto"/>
        <w:ind w:firstLine="720"/>
        <w:jc w:val="both"/>
        <w:rPr>
          <w:rFonts w:ascii="Times New Roman" w:eastAsia="Times New Roman" w:hAnsi="Times New Roman" w:cs="Times New Roman"/>
          <w:sz w:val="24"/>
          <w:szCs w:val="24"/>
          <w:lang w:eastAsia="pt-BR"/>
        </w:rPr>
      </w:pPr>
      <w:r w:rsidRPr="00A54F72">
        <w:rPr>
          <w:rFonts w:ascii="Arial" w:eastAsia="Times New Roman" w:hAnsi="Arial" w:cs="Arial"/>
          <w:color w:val="000000"/>
          <w:sz w:val="24"/>
          <w:szCs w:val="24"/>
          <w:lang w:eastAsia="pt-BR"/>
        </w:rPr>
        <w:lastRenderedPageBreak/>
        <w:t xml:space="preserve">Ao passo que o nitrogênio e outros elementos como o fósforo são essenciais para garantir a manutenção da vida, estes podem se apresentar como nutrientes limitantes do crescimento de diversos seres aquáticos, principalmente em ecossistemas lênticos, pois ao saírem dos padrões normais de concentração rompem a homeostasia do meio (BAZANELLA, 2015). </w:t>
      </w:r>
    </w:p>
    <w:p w:rsidR="00A54F72" w:rsidRPr="00A54F72" w:rsidRDefault="00A54F72" w:rsidP="00E410F6">
      <w:pPr>
        <w:spacing w:after="0" w:line="276" w:lineRule="auto"/>
        <w:ind w:firstLine="720"/>
        <w:jc w:val="both"/>
        <w:rPr>
          <w:rFonts w:ascii="Times New Roman" w:eastAsia="Times New Roman" w:hAnsi="Times New Roman" w:cs="Times New Roman"/>
          <w:sz w:val="24"/>
          <w:szCs w:val="24"/>
          <w:lang w:eastAsia="pt-BR"/>
        </w:rPr>
      </w:pPr>
      <w:r w:rsidRPr="00A54F72">
        <w:rPr>
          <w:rFonts w:ascii="Arial" w:eastAsia="Times New Roman" w:hAnsi="Arial" w:cs="Arial"/>
          <w:color w:val="000000"/>
          <w:sz w:val="24"/>
          <w:szCs w:val="24"/>
          <w:lang w:eastAsia="pt-BR"/>
        </w:rPr>
        <w:t>O excesso de nutrientes como os anteriormente citados, no meio em questão, seja de origem natural ou antrópica, promove um processo denominado eutrofização, que consiste em um “bloom” de diversos microrganismos e organismos fotossintetizantes, resultante da biodisponibilidade excessiva desses nutrientes.</w:t>
      </w:r>
    </w:p>
    <w:p w:rsidR="00183711" w:rsidRPr="008E408B" w:rsidRDefault="00183711" w:rsidP="00E410F6">
      <w:pPr>
        <w:spacing w:after="0" w:line="276" w:lineRule="auto"/>
        <w:jc w:val="both"/>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tab/>
      </w:r>
      <w:r w:rsidRPr="008E408B">
        <w:rPr>
          <w:rFonts w:ascii="Arial" w:eastAsia="Times New Roman" w:hAnsi="Arial" w:cs="Arial"/>
          <w:color w:val="000000"/>
          <w:sz w:val="24"/>
          <w:szCs w:val="24"/>
          <w:lang w:eastAsia="pt-BR"/>
        </w:rPr>
        <w:t>Dentre os impactos moduladores da qualidade da água, o principal impacto é o fenômeno da eutrofização, mas além dele, o uso do solo por atividades humanas ou pela dinamicidade natural, também estão relacionados, tendo em vista as modificações de concentração de elementos químicos tanto de forma induzida, como em seus ciclos biogeoquímicos propriamente ditos (LARENTIS, 2004 apud BAZANELLA, 2015).</w:t>
      </w:r>
    </w:p>
    <w:p w:rsidR="00A54F72" w:rsidRDefault="00A54F72" w:rsidP="00E410F6">
      <w:pPr>
        <w:spacing w:after="0" w:line="276" w:lineRule="auto"/>
        <w:ind w:firstLine="720"/>
        <w:jc w:val="both"/>
        <w:rPr>
          <w:rFonts w:ascii="Arial" w:eastAsia="Times New Roman" w:hAnsi="Arial" w:cs="Arial"/>
          <w:color w:val="000000"/>
          <w:sz w:val="24"/>
          <w:szCs w:val="24"/>
          <w:lang w:eastAsia="pt-BR"/>
        </w:rPr>
      </w:pPr>
      <w:r w:rsidRPr="00A54F72">
        <w:rPr>
          <w:rFonts w:ascii="Arial" w:eastAsia="Times New Roman" w:hAnsi="Arial" w:cs="Arial"/>
          <w:color w:val="000000"/>
          <w:sz w:val="24"/>
          <w:szCs w:val="24"/>
          <w:lang w:eastAsia="pt-BR"/>
        </w:rPr>
        <w:t>A eutrofização natural ocorre através de processos de escoamento superficial de água e processos erosivos derivados da própria dinâmica geológica, ocorrendo, por este motivo, de forma lenta, enquanto a de origem antrópica, consiste em um processo mais acelerado, posto que acontece principalmente em decorrência da alta taxa de produção industrial (ROSA, 2003).</w:t>
      </w:r>
    </w:p>
    <w:p w:rsidR="00A54F72" w:rsidRPr="00A54F72" w:rsidRDefault="00183711" w:rsidP="00E410F6">
      <w:pPr>
        <w:spacing w:after="0" w:line="276" w:lineRule="auto"/>
        <w:jc w:val="both"/>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tab/>
      </w:r>
      <w:r w:rsidR="00A54F72" w:rsidRPr="00A54F72">
        <w:rPr>
          <w:rFonts w:ascii="Arial" w:eastAsia="Times New Roman" w:hAnsi="Arial" w:cs="Arial"/>
          <w:color w:val="000000"/>
          <w:sz w:val="24"/>
          <w:szCs w:val="24"/>
          <w:lang w:eastAsia="pt-BR"/>
        </w:rPr>
        <w:t>Tendo em vista a problemática em torno dos processos eutróficos, faz-se necessária a mensuração de variáveis presentes no ambiente analisado para avaliação do grau de trofia incluindo itens como, oxigênio disponível no meio (OD), demanda bioquímica de oxigênio (DBO</w:t>
      </w:r>
      <w:r w:rsidR="00A54F72">
        <w:rPr>
          <w:rFonts w:ascii="Arial" w:eastAsia="Times New Roman" w:hAnsi="Arial" w:cs="Arial"/>
          <w:color w:val="000000"/>
          <w:sz w:val="24"/>
          <w:szCs w:val="24"/>
          <w:lang w:eastAsia="pt-BR"/>
        </w:rPr>
        <w:t>), concentração de clorofila a</w:t>
      </w:r>
      <w:r w:rsidR="001D792F">
        <w:rPr>
          <w:rFonts w:ascii="Arial" w:eastAsia="Times New Roman" w:hAnsi="Arial" w:cs="Arial"/>
          <w:color w:val="000000"/>
          <w:sz w:val="24"/>
          <w:szCs w:val="24"/>
          <w:lang w:eastAsia="pt-BR"/>
        </w:rPr>
        <w:t xml:space="preserve"> </w:t>
      </w:r>
      <w:r w:rsidR="00A54F72" w:rsidRPr="00A54F72">
        <w:rPr>
          <w:rFonts w:ascii="Arial" w:eastAsia="Times New Roman" w:hAnsi="Arial" w:cs="Arial"/>
          <w:color w:val="000000"/>
          <w:sz w:val="24"/>
          <w:szCs w:val="24"/>
          <w:lang w:eastAsia="pt-BR"/>
        </w:rPr>
        <w:t>níveis de fósforo e nitrogênio totais, além de suas frações, a exemplo do nitrogênio orgânico e inorgânico (Amônia, Nitrato, etc</w:t>
      </w:r>
      <w:r w:rsidR="003B2ED8">
        <w:rPr>
          <w:rFonts w:ascii="Arial" w:eastAsia="Times New Roman" w:hAnsi="Arial" w:cs="Arial"/>
          <w:color w:val="000000"/>
          <w:sz w:val="24"/>
          <w:szCs w:val="24"/>
          <w:lang w:eastAsia="pt-BR"/>
        </w:rPr>
        <w:t>.</w:t>
      </w:r>
      <w:r w:rsidR="00A54F72" w:rsidRPr="00A54F72">
        <w:rPr>
          <w:rFonts w:ascii="Arial" w:eastAsia="Times New Roman" w:hAnsi="Arial" w:cs="Arial"/>
          <w:color w:val="000000"/>
          <w:sz w:val="24"/>
          <w:szCs w:val="24"/>
          <w:lang w:eastAsia="pt-BR"/>
        </w:rPr>
        <w:t>), entre outros (LAMPARELLI, 2004).</w:t>
      </w:r>
    </w:p>
    <w:p w:rsidR="00183711" w:rsidRDefault="008E408B" w:rsidP="00E410F6">
      <w:pPr>
        <w:pStyle w:val="NormalWeb"/>
        <w:spacing w:before="0" w:beforeAutospacing="0" w:after="0" w:afterAutospacing="0" w:line="276" w:lineRule="auto"/>
        <w:jc w:val="both"/>
        <w:rPr>
          <w:rFonts w:ascii="Arial" w:hAnsi="Arial" w:cs="Arial"/>
          <w:color w:val="000000"/>
        </w:rPr>
      </w:pPr>
      <w:r w:rsidRPr="008E408B">
        <w:rPr>
          <w:rFonts w:ascii="Arial" w:hAnsi="Arial" w:cs="Arial"/>
          <w:b/>
          <w:bCs/>
          <w:color w:val="000000"/>
        </w:rPr>
        <w:tab/>
      </w:r>
      <w:r w:rsidR="00183711" w:rsidRPr="008E408B">
        <w:rPr>
          <w:rFonts w:ascii="Arial" w:hAnsi="Arial" w:cs="Arial"/>
          <w:color w:val="000000"/>
        </w:rPr>
        <w:t>Portanto, é de suma importância mensurar variáveis que estejam diretamente interligadas com a qualidade da água para que haja, assim, uma avaliação mais fidedigna da qualidade da mesma.</w:t>
      </w:r>
    </w:p>
    <w:p w:rsidR="000603DC" w:rsidRPr="00183711" w:rsidRDefault="000603DC" w:rsidP="00E410F6">
      <w:pPr>
        <w:pStyle w:val="NormalWeb"/>
        <w:spacing w:before="0" w:beforeAutospacing="0" w:after="0" w:afterAutospacing="0" w:line="276" w:lineRule="auto"/>
        <w:jc w:val="both"/>
        <w:rPr>
          <w:rFonts w:ascii="Arial" w:hAnsi="Arial" w:cs="Arial"/>
          <w:color w:val="000000"/>
          <w:shd w:val="clear" w:color="auto" w:fill="FFFFFF"/>
        </w:rPr>
      </w:pPr>
      <w:r>
        <w:rPr>
          <w:rFonts w:ascii="Arial" w:hAnsi="Arial" w:cs="Arial"/>
          <w:color w:val="000000"/>
          <w:shd w:val="clear" w:color="auto" w:fill="FFFFFF"/>
        </w:rPr>
        <w:tab/>
      </w:r>
      <w:r w:rsidRPr="00131EC3">
        <w:rPr>
          <w:rFonts w:ascii="Arial" w:hAnsi="Arial" w:cs="Arial"/>
          <w:color w:val="000000"/>
          <w:shd w:val="clear" w:color="auto" w:fill="FFFFFF"/>
        </w:rPr>
        <w:t>Experimentos para a identificação de nitrogênio amoniacal aparentam-se importantes como indicativo à qualidade do ambiente aquático, avaliando as consequências perante o consumo da água.</w:t>
      </w:r>
      <w:r w:rsidRPr="00131EC3">
        <w:rPr>
          <w:rFonts w:ascii="Arial" w:hAnsi="Arial" w:cs="Arial"/>
          <w:b/>
          <w:bCs/>
          <w:color w:val="000000"/>
          <w:shd w:val="clear" w:color="auto" w:fill="FFFFFF"/>
        </w:rPr>
        <w:t xml:space="preserve"> </w:t>
      </w:r>
      <w:r w:rsidRPr="00131EC3">
        <w:rPr>
          <w:rFonts w:ascii="Arial" w:hAnsi="Arial" w:cs="Arial"/>
          <w:color w:val="000000"/>
          <w:shd w:val="clear" w:color="auto" w:fill="FFFFFF"/>
        </w:rPr>
        <w:t>Mediante a este fato, faz-se de suma importância ensaios para delineamento de padrões de concentração do elemento em questão, tendo em vista sua aplicabilidade para avaliação do atual cenário de reservatórios e mananciais do estado da Paraíba, como por exemplo o açude Epitácio Pessoa (Boqueirão), e suas condições de qualitativas e quantitativas, no quesito consumo humano.</w:t>
      </w:r>
    </w:p>
    <w:p w:rsidR="005112A5" w:rsidRPr="006C40F4" w:rsidRDefault="000603DC" w:rsidP="00E410F6">
      <w:pPr>
        <w:spacing w:after="0" w:line="276" w:lineRule="auto"/>
        <w:jc w:val="both"/>
        <w:rPr>
          <w:rFonts w:ascii="Arial" w:hAnsi="Arial" w:cs="Arial"/>
          <w:sz w:val="24"/>
          <w:szCs w:val="24"/>
          <w:lang w:eastAsia="pt-BR"/>
        </w:rPr>
      </w:pPr>
      <w:r>
        <w:tab/>
      </w:r>
      <w:r w:rsidRPr="006C40F4">
        <w:rPr>
          <w:rFonts w:ascii="Arial" w:hAnsi="Arial" w:cs="Arial"/>
          <w:sz w:val="24"/>
          <w:szCs w:val="24"/>
        </w:rPr>
        <w:t xml:space="preserve">Por este motivo, </w:t>
      </w:r>
      <w:r w:rsidR="006C40F4" w:rsidRPr="006C40F4">
        <w:rPr>
          <w:rFonts w:ascii="Arial" w:hAnsi="Arial" w:cs="Arial"/>
          <w:sz w:val="24"/>
          <w:szCs w:val="24"/>
        </w:rPr>
        <w:t xml:space="preserve">o </w:t>
      </w:r>
      <w:r w:rsidRPr="006C40F4">
        <w:rPr>
          <w:rFonts w:ascii="Arial" w:hAnsi="Arial" w:cs="Arial"/>
          <w:sz w:val="24"/>
          <w:szCs w:val="24"/>
        </w:rPr>
        <w:t xml:space="preserve">presente estudo teve por objetivo </w:t>
      </w:r>
      <w:r w:rsidRPr="006C40F4">
        <w:rPr>
          <w:rFonts w:ascii="Arial" w:hAnsi="Arial" w:cs="Arial"/>
          <w:sz w:val="24"/>
          <w:szCs w:val="24"/>
          <w:lang w:eastAsia="pt-BR"/>
        </w:rPr>
        <w:t xml:space="preserve">constatar, mediante a produção </w:t>
      </w:r>
      <w:r w:rsidR="004E0625">
        <w:rPr>
          <w:rFonts w:ascii="Arial" w:hAnsi="Arial" w:cs="Arial"/>
          <w:sz w:val="24"/>
          <w:szCs w:val="24"/>
          <w:lang w:eastAsia="pt-BR"/>
        </w:rPr>
        <w:t>do</w:t>
      </w:r>
      <w:r w:rsidRPr="006C40F4">
        <w:rPr>
          <w:rFonts w:ascii="Arial" w:hAnsi="Arial" w:cs="Arial"/>
          <w:sz w:val="24"/>
          <w:szCs w:val="24"/>
          <w:lang w:eastAsia="pt-BR"/>
        </w:rPr>
        <w:t xml:space="preserve"> reagente produzido, a eficácia deste em curva de concentração de nitrogênio amoniacal pré-estabelecida e em amostras de água bruta, a fim de avaliar a qualidade de água dos reservatórios quanto à eutrofização e, portanto, o risco oferecido pelo consumo dessas águas.</w:t>
      </w:r>
    </w:p>
    <w:p w:rsidR="001D792F" w:rsidRDefault="001D792F" w:rsidP="00E410F6">
      <w:pPr>
        <w:spacing w:after="0" w:line="276" w:lineRule="auto"/>
        <w:jc w:val="both"/>
        <w:rPr>
          <w:rFonts w:ascii="Arial" w:eastAsia="Times New Roman" w:hAnsi="Arial" w:cs="Arial"/>
          <w:b/>
          <w:bCs/>
          <w:color w:val="000000"/>
          <w:sz w:val="24"/>
          <w:szCs w:val="24"/>
          <w:lang w:eastAsia="pt-BR"/>
        </w:rPr>
      </w:pPr>
    </w:p>
    <w:p w:rsidR="005112A5" w:rsidRPr="005112A5" w:rsidRDefault="00DB4375" w:rsidP="00E410F6">
      <w:pPr>
        <w:spacing w:after="0" w:line="276" w:lineRule="auto"/>
        <w:jc w:val="both"/>
        <w:rPr>
          <w:rFonts w:ascii="Times New Roman" w:eastAsia="Times New Roman" w:hAnsi="Times New Roman" w:cs="Times New Roman"/>
          <w:sz w:val="24"/>
          <w:szCs w:val="24"/>
          <w:lang w:eastAsia="pt-BR"/>
        </w:rPr>
      </w:pPr>
      <w:r>
        <w:rPr>
          <w:rFonts w:ascii="Arial" w:eastAsia="Times New Roman" w:hAnsi="Arial" w:cs="Arial"/>
          <w:b/>
          <w:bCs/>
          <w:color w:val="000000"/>
          <w:sz w:val="24"/>
          <w:szCs w:val="24"/>
          <w:lang w:eastAsia="pt-BR"/>
        </w:rPr>
        <w:lastRenderedPageBreak/>
        <w:t>2</w:t>
      </w:r>
      <w:r w:rsidR="005112A5" w:rsidRPr="005112A5">
        <w:rPr>
          <w:rFonts w:ascii="Arial" w:eastAsia="Times New Roman" w:hAnsi="Arial" w:cs="Arial"/>
          <w:b/>
          <w:bCs/>
          <w:color w:val="000000"/>
          <w:sz w:val="24"/>
          <w:szCs w:val="24"/>
          <w:lang w:eastAsia="pt-BR"/>
        </w:rPr>
        <w:t>. METODOLOGIA</w:t>
      </w:r>
    </w:p>
    <w:p w:rsidR="00E81F44" w:rsidRDefault="00E81F44" w:rsidP="00E410F6">
      <w:pPr>
        <w:spacing w:after="0" w:line="276" w:lineRule="auto"/>
        <w:ind w:firstLine="708"/>
        <w:jc w:val="both"/>
        <w:rPr>
          <w:rFonts w:ascii="Arial" w:eastAsia="Times New Roman" w:hAnsi="Arial" w:cs="Arial"/>
          <w:color w:val="000000"/>
          <w:sz w:val="24"/>
          <w:szCs w:val="24"/>
          <w:lang w:eastAsia="pt-BR"/>
        </w:rPr>
      </w:pPr>
    </w:p>
    <w:p w:rsidR="00131EC3" w:rsidRPr="00131EC3" w:rsidRDefault="00131EC3" w:rsidP="00E410F6">
      <w:pPr>
        <w:spacing w:after="0" w:line="276" w:lineRule="auto"/>
        <w:ind w:firstLine="708"/>
        <w:jc w:val="both"/>
        <w:rPr>
          <w:rFonts w:ascii="Times New Roman" w:eastAsia="Times New Roman" w:hAnsi="Times New Roman" w:cs="Times New Roman"/>
          <w:sz w:val="24"/>
          <w:szCs w:val="24"/>
          <w:lang w:eastAsia="pt-BR"/>
        </w:rPr>
      </w:pPr>
      <w:r w:rsidRPr="00131EC3">
        <w:rPr>
          <w:rFonts w:ascii="Arial" w:eastAsia="Times New Roman" w:hAnsi="Arial" w:cs="Arial"/>
          <w:color w:val="000000"/>
          <w:sz w:val="24"/>
          <w:szCs w:val="24"/>
          <w:lang w:eastAsia="pt-BR"/>
        </w:rPr>
        <w:t>O estudo realizado foi um ensaio de caráter semiquantitativo, direcionado à avaliação da qualidade de água, através da utilização de um padrão de concentr</w:t>
      </w:r>
      <w:r w:rsidR="00701CE6">
        <w:rPr>
          <w:rFonts w:ascii="Arial" w:eastAsia="Times New Roman" w:hAnsi="Arial" w:cs="Arial"/>
          <w:color w:val="000000"/>
          <w:sz w:val="24"/>
          <w:szCs w:val="24"/>
          <w:lang w:eastAsia="pt-BR"/>
        </w:rPr>
        <w:t>ações por escala colorimétrica utilizando o</w:t>
      </w:r>
      <w:r w:rsidRPr="00131EC3">
        <w:rPr>
          <w:rFonts w:ascii="Arial" w:eastAsia="Times New Roman" w:hAnsi="Arial" w:cs="Arial"/>
          <w:color w:val="000000"/>
          <w:sz w:val="24"/>
          <w:szCs w:val="24"/>
          <w:lang w:eastAsia="pt-BR"/>
        </w:rPr>
        <w:t xml:space="preserve"> nitrogênio amoniacal como indicador trófico, a fim de prover dados sobre a eficiência do método utilizado em açudes urbanos. Todo o ensaio foi processado no laboratório de Farmacologia do Centro Universitário UNIFACISA</w:t>
      </w:r>
      <w:r w:rsidR="00701CE6">
        <w:rPr>
          <w:rFonts w:ascii="Arial" w:eastAsia="Times New Roman" w:hAnsi="Arial" w:cs="Arial"/>
          <w:color w:val="000000"/>
          <w:sz w:val="24"/>
          <w:szCs w:val="24"/>
          <w:lang w:eastAsia="pt-BR"/>
        </w:rPr>
        <w:t>, no período de outubro a dezembro de 2017.</w:t>
      </w:r>
    </w:p>
    <w:p w:rsidR="00131EC3" w:rsidRDefault="00131EC3" w:rsidP="00E410F6">
      <w:pPr>
        <w:spacing w:after="0" w:line="276" w:lineRule="auto"/>
        <w:ind w:firstLine="720"/>
        <w:jc w:val="both"/>
        <w:rPr>
          <w:rFonts w:ascii="Arial" w:eastAsia="Times New Roman" w:hAnsi="Arial" w:cs="Arial"/>
          <w:color w:val="000000"/>
          <w:sz w:val="24"/>
          <w:szCs w:val="24"/>
          <w:lang w:eastAsia="pt-BR"/>
        </w:rPr>
      </w:pPr>
      <w:r w:rsidRPr="00131EC3">
        <w:rPr>
          <w:rFonts w:ascii="Arial" w:eastAsia="Times New Roman" w:hAnsi="Arial" w:cs="Arial"/>
          <w:color w:val="000000"/>
          <w:sz w:val="24"/>
          <w:szCs w:val="24"/>
          <w:lang w:eastAsia="pt-BR"/>
        </w:rPr>
        <w:t>Para análise da eficiência do teste, foram coletadas amostras de água em três açudes urbanos da região metropolitana de Campina Grande, Açude de Bodocongó, Epitácio Pessoa (Boqueirão) e o açude da UNIFACISA. As amostras representativas foram coletadas em recipientes de politereftalato de etileno (Garrafas PET) de 1,5 L, durante o dia e em apenas um único ponto de coleta de cada reservatório, sendo posteriormente acondicionadas por 48 horas sob refrigeração constante (6 a 10ºC).</w:t>
      </w:r>
    </w:p>
    <w:p w:rsidR="00EF4D9A" w:rsidRDefault="00F30EAA" w:rsidP="00E410F6">
      <w:pPr>
        <w:pStyle w:val="NormalWeb"/>
        <w:spacing w:before="0" w:beforeAutospacing="0" w:after="0" w:afterAutospacing="0" w:line="276" w:lineRule="auto"/>
        <w:ind w:firstLine="708"/>
        <w:jc w:val="both"/>
        <w:rPr>
          <w:rFonts w:ascii="Arial" w:hAnsi="Arial" w:cs="Arial"/>
          <w:color w:val="000000"/>
        </w:rPr>
      </w:pPr>
      <w:r>
        <w:rPr>
          <w:rFonts w:ascii="Arial" w:hAnsi="Arial" w:cs="Arial"/>
          <w:color w:val="000000"/>
          <w:shd w:val="clear" w:color="auto" w:fill="FFFFFF"/>
        </w:rPr>
        <w:t>Durante a coleta da amostra referente ao Açude de Bodocongó, pôde ser observada uma desfiguração do espelho do açude devido à presença excessiva de macrófitas aquáticas bioindicadoras de eutrofização, visto que as mesmas apresentam grande capacidade de absorver o excesso de matéria orgânica dissolvida na água, conforme demonstrada na </w:t>
      </w:r>
      <w:r w:rsidRPr="00C05941">
        <w:rPr>
          <w:rFonts w:ascii="Arial" w:hAnsi="Arial" w:cs="Arial"/>
          <w:b/>
          <w:color w:val="000000"/>
          <w:shd w:val="clear" w:color="auto" w:fill="FFFFFF"/>
        </w:rPr>
        <w:t>Figura</w:t>
      </w:r>
      <w:r w:rsidR="000F5619">
        <w:rPr>
          <w:rFonts w:ascii="Arial" w:hAnsi="Arial" w:cs="Arial"/>
          <w:b/>
          <w:color w:val="000000"/>
          <w:shd w:val="clear" w:color="auto" w:fill="FFFFFF"/>
        </w:rPr>
        <w:t xml:space="preserve"> 1A</w:t>
      </w:r>
      <w:r>
        <w:rPr>
          <w:rFonts w:ascii="Arial" w:hAnsi="Arial" w:cs="Arial"/>
          <w:color w:val="000000"/>
          <w:shd w:val="clear" w:color="auto" w:fill="FFFFFF"/>
        </w:rPr>
        <w:t>, bem como resíduos sólidos que configuram o perfil de um ambiente poluído por intermédio de ações antrópicas (</w:t>
      </w:r>
      <w:r w:rsidR="00C05941">
        <w:rPr>
          <w:rFonts w:ascii="Arial" w:hAnsi="Arial" w:cs="Arial"/>
          <w:b/>
          <w:bCs/>
          <w:color w:val="000000"/>
          <w:shd w:val="clear" w:color="auto" w:fill="FFFFFF"/>
        </w:rPr>
        <w:t>Figura 1</w:t>
      </w:r>
      <w:r w:rsidR="000F5619">
        <w:rPr>
          <w:rFonts w:ascii="Arial" w:hAnsi="Arial" w:cs="Arial"/>
          <w:b/>
          <w:bCs/>
          <w:color w:val="000000"/>
          <w:shd w:val="clear" w:color="auto" w:fill="FFFFFF"/>
        </w:rPr>
        <w:t>B</w:t>
      </w:r>
      <w:r w:rsidR="00C05941">
        <w:rPr>
          <w:rFonts w:ascii="Arial" w:hAnsi="Arial" w:cs="Arial"/>
          <w:bCs/>
          <w:color w:val="000000"/>
          <w:shd w:val="clear" w:color="auto" w:fill="FFFFFF"/>
        </w:rPr>
        <w:t>).</w:t>
      </w:r>
      <w:r w:rsidR="00C05941">
        <w:rPr>
          <w:rFonts w:ascii="Arial" w:hAnsi="Arial" w:cs="Arial"/>
          <w:color w:val="000000"/>
        </w:rPr>
        <w:t xml:space="preserve"> </w:t>
      </w:r>
    </w:p>
    <w:p w:rsidR="00DB4375" w:rsidRDefault="00DB4375" w:rsidP="00E410F6">
      <w:pPr>
        <w:pStyle w:val="NormalWeb"/>
        <w:spacing w:before="0" w:beforeAutospacing="0" w:after="0" w:afterAutospacing="0" w:line="276" w:lineRule="auto"/>
        <w:ind w:firstLine="708"/>
        <w:jc w:val="both"/>
        <w:rPr>
          <w:rFonts w:ascii="Arial" w:hAnsi="Arial" w:cs="Arial"/>
          <w:color w:val="000000"/>
        </w:rPr>
      </w:pPr>
    </w:p>
    <w:p w:rsidR="00C05941" w:rsidRPr="00EF4D9A" w:rsidRDefault="005643A9" w:rsidP="003B2ED8">
      <w:pPr>
        <w:pStyle w:val="NormalWeb"/>
        <w:spacing w:before="0" w:beforeAutospacing="0" w:after="0" w:afterAutospacing="0" w:line="276" w:lineRule="auto"/>
        <w:jc w:val="both"/>
        <w:rPr>
          <w:rFonts w:ascii="Arial" w:hAnsi="Arial" w:cs="Arial"/>
          <w:b/>
          <w:sz w:val="20"/>
        </w:rPr>
      </w:pPr>
      <w:r>
        <w:rPr>
          <w:noProof/>
        </w:rPr>
        <w:pict>
          <v:group id="_x0000_s1048" style="position:absolute;left:0;text-align:left;margin-left:.75pt;margin-top:110.55pt;width:292.95pt;height:21pt;z-index:251668480" coordorigin="1716,10895" coordsize="5859,420">
            <v:rect id="_x0000_s1044" style="position:absolute;left:6959;top:10895;width:616;height:414">
              <v:textbox style="mso-next-textbox:#_x0000_s1044">
                <w:txbxContent>
                  <w:p w:rsidR="000F5619" w:rsidRPr="000404D0" w:rsidRDefault="00EF4D9A" w:rsidP="000F5619">
                    <w:pPr>
                      <w:rPr>
                        <w:rFonts w:ascii="Arial" w:hAnsi="Arial" w:cs="Arial"/>
                        <w:sz w:val="24"/>
                      </w:rPr>
                    </w:pPr>
                    <w:r>
                      <w:rPr>
                        <w:rFonts w:ascii="Arial" w:hAnsi="Arial" w:cs="Arial"/>
                        <w:sz w:val="24"/>
                      </w:rPr>
                      <w:t>1</w:t>
                    </w:r>
                    <w:r w:rsidR="000F5619">
                      <w:rPr>
                        <w:rFonts w:ascii="Arial" w:hAnsi="Arial" w:cs="Arial"/>
                        <w:sz w:val="24"/>
                      </w:rPr>
                      <w:t>B</w:t>
                    </w:r>
                  </w:p>
                </w:txbxContent>
              </v:textbox>
            </v:rect>
            <v:rect id="_x0000_s1045" style="position:absolute;left:1716;top:10905;width:616;height:410">
              <v:textbox style="mso-next-textbox:#_x0000_s1045">
                <w:txbxContent>
                  <w:p w:rsidR="000F5619" w:rsidRPr="000404D0" w:rsidRDefault="00EF4D9A" w:rsidP="000F5619">
                    <w:pPr>
                      <w:rPr>
                        <w:rFonts w:ascii="Arial" w:hAnsi="Arial" w:cs="Arial"/>
                        <w:sz w:val="24"/>
                      </w:rPr>
                    </w:pPr>
                    <w:r>
                      <w:rPr>
                        <w:rFonts w:ascii="Arial" w:hAnsi="Arial" w:cs="Arial"/>
                        <w:sz w:val="24"/>
                      </w:rPr>
                      <w:t>1</w:t>
                    </w:r>
                    <w:r w:rsidR="000F5619" w:rsidRPr="000404D0">
                      <w:rPr>
                        <w:rFonts w:ascii="Arial" w:hAnsi="Arial" w:cs="Arial"/>
                        <w:sz w:val="24"/>
                      </w:rPr>
                      <w:t>A</w:t>
                    </w:r>
                  </w:p>
                </w:txbxContent>
              </v:textbox>
            </v:rect>
          </v:group>
        </w:pict>
      </w:r>
      <w:r w:rsidR="003B2ED8">
        <w:rPr>
          <w:rFonts w:ascii="Arial" w:hAnsi="Arial" w:cs="Arial"/>
          <w:b/>
          <w:noProof/>
          <w:sz w:val="20"/>
        </w:rPr>
        <w:drawing>
          <wp:inline distT="0" distB="0" distL="0" distR="0" wp14:anchorId="7AFB0294" wp14:editId="0A9EE8CC">
            <wp:extent cx="3352800" cy="1647825"/>
            <wp:effectExtent l="0" t="0" r="0" b="0"/>
            <wp:docPr id="7" name="Imagem 7" descr="C:\Users\alex_\Desktop\campina28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_\Desktop\campina28_image003.jpg"/>
                    <pic:cNvPicPr>
                      <a:picLocks noChangeAspect="1" noChangeArrowheads="1"/>
                    </pic:cNvPicPr>
                  </pic:nvPicPr>
                  <pic:blipFill rotWithShape="1">
                    <a:blip r:embed="rId8">
                      <a:extLst>
                        <a:ext uri="{28A0092B-C50C-407E-A947-70E740481C1C}">
                          <a14:useLocalDpi xmlns:a14="http://schemas.microsoft.com/office/drawing/2010/main" val="0"/>
                        </a:ext>
                      </a:extLst>
                    </a:blip>
                    <a:srcRect b="11645"/>
                    <a:stretch/>
                  </pic:blipFill>
                  <pic:spPr bwMode="auto">
                    <a:xfrm>
                      <a:off x="0" y="0"/>
                      <a:ext cx="3352800" cy="1647825"/>
                    </a:xfrm>
                    <a:prstGeom prst="rect">
                      <a:avLst/>
                    </a:prstGeom>
                    <a:noFill/>
                    <a:ln>
                      <a:noFill/>
                    </a:ln>
                    <a:extLst>
                      <a:ext uri="{53640926-AAD7-44D8-BBD7-CCE9431645EC}">
                        <a14:shadowObscured xmlns:a14="http://schemas.microsoft.com/office/drawing/2010/main"/>
                      </a:ext>
                    </a:extLst>
                  </pic:spPr>
                </pic:pic>
              </a:graphicData>
            </a:graphic>
          </wp:inline>
        </w:drawing>
      </w:r>
      <w:r w:rsidR="00DB4375">
        <w:rPr>
          <w:rFonts w:ascii="Arial" w:hAnsi="Arial" w:cs="Arial"/>
          <w:noProof/>
          <w:color w:val="000000"/>
        </w:rPr>
        <w:drawing>
          <wp:inline distT="0" distB="0" distL="0" distR="0">
            <wp:extent cx="2324100" cy="1663827"/>
            <wp:effectExtent l="0" t="0" r="0" b="0"/>
            <wp:docPr id="9" name="Imagem 9" descr="C:\Users\alex_\Desktop\Imag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_\Desktop\Imagem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8841" cy="1667221"/>
                    </a:xfrm>
                    <a:prstGeom prst="rect">
                      <a:avLst/>
                    </a:prstGeom>
                    <a:noFill/>
                    <a:ln>
                      <a:noFill/>
                    </a:ln>
                  </pic:spPr>
                </pic:pic>
              </a:graphicData>
            </a:graphic>
          </wp:inline>
        </w:drawing>
      </w:r>
      <w:r w:rsidR="00C05941">
        <w:rPr>
          <w:rFonts w:ascii="Arial" w:hAnsi="Arial" w:cs="Arial"/>
          <w:b/>
          <w:sz w:val="20"/>
        </w:rPr>
        <w:t xml:space="preserve">Figura 1. A – </w:t>
      </w:r>
      <w:r w:rsidR="00C05941">
        <w:rPr>
          <w:rFonts w:ascii="Arial" w:hAnsi="Arial" w:cs="Arial"/>
          <w:sz w:val="20"/>
        </w:rPr>
        <w:t>Macrófitas aquáticas</w:t>
      </w:r>
      <w:r w:rsidR="000F5619">
        <w:rPr>
          <w:rFonts w:ascii="Arial" w:hAnsi="Arial" w:cs="Arial"/>
          <w:sz w:val="20"/>
        </w:rPr>
        <w:t xml:space="preserve">. Fonte: CARVALHO, 2009. </w:t>
      </w:r>
      <w:r w:rsidR="003B2ED8" w:rsidRPr="003B2ED8">
        <w:rPr>
          <w:rFonts w:ascii="Arial" w:hAnsi="Arial" w:cs="Arial"/>
          <w:b/>
          <w:sz w:val="20"/>
        </w:rPr>
        <w:t>1.</w:t>
      </w:r>
      <w:r w:rsidR="000F5619" w:rsidRPr="00CD2C2F">
        <w:rPr>
          <w:rFonts w:ascii="Arial" w:hAnsi="Arial" w:cs="Arial"/>
          <w:b/>
          <w:sz w:val="20"/>
        </w:rPr>
        <w:t>B –</w:t>
      </w:r>
      <w:r w:rsidR="000F5619">
        <w:rPr>
          <w:rFonts w:ascii="Arial" w:hAnsi="Arial" w:cs="Arial"/>
          <w:sz w:val="20"/>
        </w:rPr>
        <w:t xml:space="preserve"> </w:t>
      </w:r>
      <w:r w:rsidR="000F5619">
        <w:rPr>
          <w:rFonts w:ascii="Arial" w:hAnsi="Arial" w:cs="Arial"/>
          <w:color w:val="000000"/>
          <w:sz w:val="20"/>
          <w:szCs w:val="20"/>
          <w:shd w:val="clear" w:color="auto" w:fill="FFFFFF"/>
        </w:rPr>
        <w:t>Resíduos sólidos doméstico no Açude de Bodocongó. Fonte: COSTA, 2011.</w:t>
      </w:r>
    </w:p>
    <w:p w:rsidR="00EF4D9A" w:rsidRDefault="00EF4D9A" w:rsidP="00E410F6">
      <w:pPr>
        <w:spacing w:after="0" w:line="276" w:lineRule="auto"/>
        <w:ind w:firstLine="720"/>
        <w:jc w:val="both"/>
        <w:rPr>
          <w:rFonts w:ascii="Arial" w:eastAsia="Times New Roman" w:hAnsi="Arial" w:cs="Arial"/>
          <w:b/>
          <w:bCs/>
          <w:color w:val="000000"/>
          <w:sz w:val="24"/>
          <w:szCs w:val="24"/>
          <w:lang w:eastAsia="pt-BR"/>
        </w:rPr>
      </w:pPr>
    </w:p>
    <w:p w:rsidR="001D792F" w:rsidRDefault="001D792F" w:rsidP="00E410F6">
      <w:pPr>
        <w:spacing w:after="0" w:line="276" w:lineRule="auto"/>
        <w:jc w:val="both"/>
        <w:rPr>
          <w:rFonts w:ascii="Arial" w:eastAsia="Times New Roman" w:hAnsi="Arial" w:cs="Arial"/>
          <w:b/>
          <w:bCs/>
          <w:color w:val="000000"/>
          <w:sz w:val="24"/>
          <w:szCs w:val="24"/>
          <w:lang w:eastAsia="pt-BR"/>
        </w:rPr>
      </w:pPr>
    </w:p>
    <w:p w:rsidR="00131EC3" w:rsidRDefault="00DB4375" w:rsidP="00E410F6">
      <w:pPr>
        <w:spacing w:after="0" w:line="276" w:lineRule="auto"/>
        <w:jc w:val="both"/>
        <w:rPr>
          <w:rFonts w:ascii="Times New Roman" w:eastAsia="Times New Roman" w:hAnsi="Times New Roman" w:cs="Times New Roman"/>
          <w:sz w:val="24"/>
          <w:szCs w:val="24"/>
          <w:lang w:eastAsia="pt-BR"/>
        </w:rPr>
      </w:pPr>
      <w:r>
        <w:rPr>
          <w:rFonts w:ascii="Arial" w:eastAsia="Times New Roman" w:hAnsi="Arial" w:cs="Arial"/>
          <w:b/>
          <w:bCs/>
          <w:color w:val="000000"/>
          <w:sz w:val="24"/>
          <w:szCs w:val="24"/>
          <w:lang w:eastAsia="pt-BR"/>
        </w:rPr>
        <w:t>2</w:t>
      </w:r>
      <w:r w:rsidR="00131EC3">
        <w:rPr>
          <w:rFonts w:ascii="Arial" w:eastAsia="Times New Roman" w:hAnsi="Arial" w:cs="Arial"/>
          <w:b/>
          <w:bCs/>
          <w:color w:val="000000"/>
          <w:sz w:val="24"/>
          <w:szCs w:val="24"/>
          <w:lang w:eastAsia="pt-BR"/>
        </w:rPr>
        <w:t>.1. REAGENTE DE NESSLER</w:t>
      </w:r>
    </w:p>
    <w:p w:rsidR="00131EC3" w:rsidRPr="00131EC3" w:rsidRDefault="00131EC3" w:rsidP="00E410F6">
      <w:pPr>
        <w:spacing w:after="0" w:line="276" w:lineRule="auto"/>
        <w:ind w:firstLine="720"/>
        <w:jc w:val="both"/>
        <w:rPr>
          <w:rFonts w:ascii="Times New Roman" w:eastAsia="Times New Roman" w:hAnsi="Times New Roman" w:cs="Times New Roman"/>
          <w:sz w:val="24"/>
          <w:szCs w:val="24"/>
          <w:lang w:eastAsia="pt-BR"/>
        </w:rPr>
      </w:pPr>
    </w:p>
    <w:p w:rsidR="00131EC3" w:rsidRPr="00131EC3" w:rsidRDefault="00131EC3" w:rsidP="00E410F6">
      <w:pPr>
        <w:spacing w:after="0" w:line="276" w:lineRule="auto"/>
        <w:ind w:firstLine="720"/>
        <w:jc w:val="both"/>
        <w:rPr>
          <w:rFonts w:ascii="Times New Roman" w:eastAsia="Times New Roman" w:hAnsi="Times New Roman" w:cs="Times New Roman"/>
          <w:sz w:val="24"/>
          <w:szCs w:val="24"/>
          <w:lang w:eastAsia="pt-BR"/>
        </w:rPr>
      </w:pPr>
      <w:r w:rsidRPr="00131EC3">
        <w:rPr>
          <w:rFonts w:ascii="Arial" w:eastAsia="Times New Roman" w:hAnsi="Arial" w:cs="Arial"/>
          <w:color w:val="000000"/>
          <w:sz w:val="24"/>
          <w:szCs w:val="24"/>
          <w:lang w:eastAsia="pt-BR"/>
        </w:rPr>
        <w:t>O tetraiodomercurato II de potássio (reagente de Nessler) apresenta grande afinidade com a NH</w:t>
      </w:r>
      <w:r w:rsidRPr="00131EC3">
        <w:rPr>
          <w:rFonts w:ascii="Arial" w:eastAsia="Times New Roman" w:hAnsi="Arial" w:cs="Arial"/>
          <w:color w:val="000000"/>
          <w:sz w:val="24"/>
          <w:szCs w:val="24"/>
          <w:vertAlign w:val="subscript"/>
          <w:lang w:eastAsia="pt-BR"/>
        </w:rPr>
        <w:t>4</w:t>
      </w:r>
      <w:r w:rsidRPr="00131EC3">
        <w:rPr>
          <w:rFonts w:ascii="Arial" w:eastAsia="Times New Roman" w:hAnsi="Arial" w:cs="Arial"/>
          <w:color w:val="000000"/>
          <w:sz w:val="24"/>
          <w:szCs w:val="24"/>
          <w:vertAlign w:val="superscript"/>
          <w:lang w:eastAsia="pt-BR"/>
        </w:rPr>
        <w:t>+</w:t>
      </w:r>
      <w:r w:rsidRPr="00131EC3">
        <w:rPr>
          <w:rFonts w:ascii="Arial" w:eastAsia="Times New Roman" w:hAnsi="Arial" w:cs="Arial"/>
          <w:color w:val="000000"/>
          <w:sz w:val="24"/>
          <w:szCs w:val="24"/>
          <w:lang w:eastAsia="pt-BR"/>
        </w:rPr>
        <w:t xml:space="preserve">, formando um precipitado de cor amarelo-acastanhada quando complexado com este cátion, tendo sua cor intensificada proporcionalmente à concentração de azoto amoniacal presente na amostra (MÁRSICO, MANO, 2008 apud FONSECA, 2012), sendo este um método colorimétrico de visualização a olho nu de fácil execução, visto que trata-se apenas do gotejamento do reagente na </w:t>
      </w:r>
      <w:r w:rsidRPr="00131EC3">
        <w:rPr>
          <w:rFonts w:ascii="Arial" w:eastAsia="Times New Roman" w:hAnsi="Arial" w:cs="Arial"/>
          <w:color w:val="000000"/>
          <w:sz w:val="24"/>
          <w:szCs w:val="24"/>
          <w:lang w:eastAsia="pt-BR"/>
        </w:rPr>
        <w:lastRenderedPageBreak/>
        <w:t>amostra aquosa a ser avaliada e, portanto, foi o reagente colorimétrico escolhido para os testes.</w:t>
      </w:r>
    </w:p>
    <w:p w:rsidR="00131EC3" w:rsidRDefault="00131EC3" w:rsidP="00E410F6">
      <w:pPr>
        <w:spacing w:after="0" w:line="276" w:lineRule="auto"/>
        <w:ind w:firstLine="720"/>
        <w:jc w:val="both"/>
        <w:rPr>
          <w:rFonts w:ascii="Arial" w:eastAsia="Times New Roman" w:hAnsi="Arial" w:cs="Arial"/>
          <w:color w:val="000000"/>
          <w:sz w:val="24"/>
          <w:szCs w:val="24"/>
          <w:lang w:eastAsia="pt-BR"/>
        </w:rPr>
      </w:pPr>
      <w:r w:rsidRPr="00131EC3">
        <w:rPr>
          <w:rFonts w:ascii="Arial" w:eastAsia="Times New Roman" w:hAnsi="Arial" w:cs="Arial"/>
          <w:color w:val="000000"/>
          <w:sz w:val="24"/>
          <w:szCs w:val="24"/>
          <w:lang w:eastAsia="pt-BR"/>
        </w:rPr>
        <w:t>Foram produzidos 250 ml do reagente de Nessler (</w:t>
      </w:r>
      <w:r w:rsidR="00CD2C2F">
        <w:rPr>
          <w:rFonts w:ascii="Arial" w:eastAsia="Times New Roman" w:hAnsi="Arial" w:cs="Arial"/>
          <w:b/>
          <w:bCs/>
          <w:color w:val="000000"/>
          <w:sz w:val="24"/>
          <w:szCs w:val="24"/>
          <w:lang w:eastAsia="pt-BR"/>
        </w:rPr>
        <w:t>Figura 2</w:t>
      </w:r>
      <w:r w:rsidRPr="00131EC3">
        <w:rPr>
          <w:rFonts w:ascii="Arial" w:eastAsia="Times New Roman" w:hAnsi="Arial" w:cs="Arial"/>
          <w:color w:val="000000"/>
          <w:sz w:val="24"/>
          <w:szCs w:val="24"/>
          <w:lang w:eastAsia="pt-BR"/>
        </w:rPr>
        <w:t>) a partir da mistura de diluições de três compostos em específico, solução de hidróxido de sódio (NaOH), iodeto de mercúrio (HgI</w:t>
      </w:r>
      <w:r w:rsidRPr="00131EC3">
        <w:rPr>
          <w:rFonts w:ascii="Arial" w:eastAsia="Times New Roman" w:hAnsi="Arial" w:cs="Arial"/>
          <w:color w:val="000000"/>
          <w:sz w:val="24"/>
          <w:szCs w:val="24"/>
          <w:vertAlign w:val="subscript"/>
          <w:lang w:eastAsia="pt-BR"/>
        </w:rPr>
        <w:t>2</w:t>
      </w:r>
      <w:r w:rsidRPr="00131EC3">
        <w:rPr>
          <w:rFonts w:ascii="Arial" w:eastAsia="Times New Roman" w:hAnsi="Arial" w:cs="Arial"/>
          <w:color w:val="000000"/>
          <w:sz w:val="24"/>
          <w:szCs w:val="24"/>
          <w:lang w:eastAsia="pt-BR"/>
        </w:rPr>
        <w:t>) e iodeto de potássio (KI). Fez-se uma diluição “fria” inicial de 32 g de NaOH em 100 ml de água destilada, que foi posteriormente resfriada à baixa temperatura. Em seguida, foram diluídos 14 g de KI e 20 g de HgI</w:t>
      </w:r>
      <w:r w:rsidRPr="00131EC3">
        <w:rPr>
          <w:rFonts w:ascii="Arial" w:eastAsia="Times New Roman" w:hAnsi="Arial" w:cs="Arial"/>
          <w:color w:val="000000"/>
          <w:sz w:val="24"/>
          <w:szCs w:val="24"/>
          <w:vertAlign w:val="subscript"/>
          <w:lang w:eastAsia="pt-BR"/>
        </w:rPr>
        <w:t>2</w:t>
      </w:r>
      <w:r w:rsidRPr="00131EC3">
        <w:rPr>
          <w:rFonts w:ascii="Arial" w:eastAsia="Times New Roman" w:hAnsi="Arial" w:cs="Arial"/>
          <w:color w:val="000000"/>
          <w:sz w:val="24"/>
          <w:szCs w:val="24"/>
          <w:lang w:eastAsia="pt-BR"/>
        </w:rPr>
        <w:t xml:space="preserve"> em pequena quantidade de água e adicionados lentamente à solução de NaOH, sob agitação constante. Logo após a união das soluções, diluiu-se todo o conjunto para 250 ml, sendo a mistura realizada por meio de inversão e agitação do balão volumétrico em uso, conforme metodologia definida por SILVA (2001).</w:t>
      </w:r>
    </w:p>
    <w:p w:rsidR="001D792F" w:rsidRPr="00131EC3" w:rsidRDefault="001D792F" w:rsidP="00E410F6">
      <w:pPr>
        <w:spacing w:after="0" w:line="276" w:lineRule="auto"/>
        <w:ind w:firstLine="720"/>
        <w:jc w:val="both"/>
        <w:rPr>
          <w:rFonts w:ascii="Times New Roman" w:eastAsia="Times New Roman" w:hAnsi="Times New Roman" w:cs="Times New Roman"/>
          <w:sz w:val="24"/>
          <w:szCs w:val="24"/>
          <w:lang w:eastAsia="pt-BR"/>
        </w:rPr>
      </w:pPr>
    </w:p>
    <w:p w:rsidR="00B43358" w:rsidRPr="00B43358" w:rsidRDefault="00B43358" w:rsidP="00E410F6">
      <w:pPr>
        <w:spacing w:after="0" w:line="276" w:lineRule="auto"/>
        <w:jc w:val="center"/>
        <w:rPr>
          <w:rFonts w:ascii="Times New Roman" w:eastAsia="Times New Roman" w:hAnsi="Times New Roman" w:cs="Times New Roman"/>
          <w:sz w:val="24"/>
          <w:szCs w:val="24"/>
          <w:lang w:eastAsia="pt-BR"/>
        </w:rPr>
      </w:pPr>
      <w:r w:rsidRPr="00B43358">
        <w:rPr>
          <w:rFonts w:ascii="Times New Roman" w:eastAsia="Times New Roman" w:hAnsi="Times New Roman" w:cs="Times New Roman"/>
          <w:noProof/>
          <w:sz w:val="24"/>
          <w:szCs w:val="24"/>
          <w:lang w:eastAsia="pt-BR"/>
        </w:rPr>
        <w:drawing>
          <wp:inline distT="0" distB="0" distL="0" distR="0">
            <wp:extent cx="1690576" cy="2037765"/>
            <wp:effectExtent l="0" t="0" r="0" b="0"/>
            <wp:docPr id="1" name="Imagem 1" descr="https://lh3.googleusercontent.com/lUudVW8yEpfSXl6epJ4xv7-oXs4_RQoeWfU3nimxLG2DKQ7SlxCZGXsbnowNq5u9qajU6EWnacqiuglNwzT_Mk9GNz5tEjNR09_4pOc53jPjxkSOMhtgUQjY1hoL3pnzUwJhJsu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lUudVW8yEpfSXl6epJ4xv7-oXs4_RQoeWfU3nimxLG2DKQ7SlxCZGXsbnowNq5u9qajU6EWnacqiuglNwzT_Mk9GNz5tEjNR09_4pOc53jPjxkSOMhtgUQjY1hoL3pnzUwJhJsu_"/>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254" cy="2089208"/>
                    </a:xfrm>
                    <a:prstGeom prst="rect">
                      <a:avLst/>
                    </a:prstGeom>
                    <a:noFill/>
                    <a:ln>
                      <a:noFill/>
                    </a:ln>
                  </pic:spPr>
                </pic:pic>
              </a:graphicData>
            </a:graphic>
          </wp:inline>
        </w:drawing>
      </w:r>
    </w:p>
    <w:p w:rsidR="00F42919" w:rsidRPr="001D792F" w:rsidRDefault="00CD2C2F" w:rsidP="00E410F6">
      <w:pPr>
        <w:spacing w:after="0" w:line="276" w:lineRule="auto"/>
        <w:ind w:firstLine="720"/>
        <w:jc w:val="center"/>
        <w:rPr>
          <w:rFonts w:ascii="Arial" w:eastAsia="Times New Roman" w:hAnsi="Arial" w:cs="Arial"/>
          <w:color w:val="000000"/>
          <w:sz w:val="20"/>
          <w:szCs w:val="20"/>
          <w:lang w:eastAsia="pt-BR"/>
        </w:rPr>
      </w:pPr>
      <w:r w:rsidRPr="001D792F">
        <w:rPr>
          <w:rFonts w:ascii="Arial" w:eastAsia="Times New Roman" w:hAnsi="Arial" w:cs="Arial"/>
          <w:b/>
          <w:bCs/>
          <w:color w:val="000000"/>
          <w:sz w:val="20"/>
          <w:szCs w:val="20"/>
          <w:lang w:eastAsia="pt-BR"/>
        </w:rPr>
        <w:t>Figura 2</w:t>
      </w:r>
      <w:r w:rsidR="00B43358" w:rsidRPr="001D792F">
        <w:rPr>
          <w:rFonts w:ascii="Arial" w:eastAsia="Times New Roman" w:hAnsi="Arial" w:cs="Arial"/>
          <w:b/>
          <w:bCs/>
          <w:color w:val="000000"/>
          <w:sz w:val="20"/>
          <w:szCs w:val="20"/>
          <w:lang w:eastAsia="pt-BR"/>
        </w:rPr>
        <w:t>.  </w:t>
      </w:r>
      <w:r w:rsidR="00B43358" w:rsidRPr="001D792F">
        <w:rPr>
          <w:rFonts w:ascii="Arial" w:eastAsia="Times New Roman" w:hAnsi="Arial" w:cs="Arial"/>
          <w:color w:val="000000"/>
          <w:sz w:val="20"/>
          <w:szCs w:val="20"/>
          <w:lang w:eastAsia="pt-BR"/>
        </w:rPr>
        <w:t>Reagente de Nessler em formação. Fonte: Autoria própria, 2017.</w:t>
      </w:r>
    </w:p>
    <w:p w:rsidR="001D792F" w:rsidRDefault="001D792F" w:rsidP="00E410F6">
      <w:pPr>
        <w:spacing w:after="0" w:line="276" w:lineRule="auto"/>
        <w:jc w:val="both"/>
        <w:rPr>
          <w:rFonts w:ascii="Arial" w:eastAsia="Times New Roman" w:hAnsi="Arial" w:cs="Arial"/>
          <w:color w:val="000000"/>
          <w:sz w:val="20"/>
          <w:szCs w:val="20"/>
          <w:lang w:eastAsia="pt-BR"/>
        </w:rPr>
      </w:pPr>
    </w:p>
    <w:p w:rsidR="001D792F" w:rsidRDefault="001D792F" w:rsidP="00E410F6">
      <w:pPr>
        <w:spacing w:after="0" w:line="276" w:lineRule="auto"/>
        <w:jc w:val="both"/>
        <w:rPr>
          <w:rFonts w:ascii="Arial" w:eastAsia="Times New Roman" w:hAnsi="Arial" w:cs="Arial"/>
          <w:b/>
          <w:bCs/>
          <w:color w:val="000000"/>
          <w:sz w:val="24"/>
          <w:szCs w:val="24"/>
          <w:lang w:eastAsia="pt-BR"/>
        </w:rPr>
      </w:pPr>
    </w:p>
    <w:p w:rsidR="00592133" w:rsidRPr="00592133" w:rsidRDefault="00DB4375" w:rsidP="00E410F6">
      <w:pPr>
        <w:spacing w:after="0" w:line="276" w:lineRule="auto"/>
        <w:jc w:val="both"/>
        <w:rPr>
          <w:rFonts w:ascii="Times New Roman" w:eastAsia="Times New Roman" w:hAnsi="Times New Roman" w:cs="Times New Roman"/>
          <w:sz w:val="24"/>
          <w:szCs w:val="24"/>
          <w:lang w:eastAsia="pt-BR"/>
        </w:rPr>
      </w:pPr>
      <w:r>
        <w:rPr>
          <w:rFonts w:ascii="Arial" w:eastAsia="Times New Roman" w:hAnsi="Arial" w:cs="Arial"/>
          <w:b/>
          <w:bCs/>
          <w:color w:val="000000"/>
          <w:sz w:val="24"/>
          <w:szCs w:val="24"/>
          <w:lang w:eastAsia="pt-BR"/>
        </w:rPr>
        <w:t>2</w:t>
      </w:r>
      <w:r w:rsidR="00E81F44">
        <w:rPr>
          <w:rFonts w:ascii="Arial" w:eastAsia="Times New Roman" w:hAnsi="Arial" w:cs="Arial"/>
          <w:b/>
          <w:bCs/>
          <w:color w:val="000000"/>
          <w:sz w:val="24"/>
          <w:szCs w:val="24"/>
          <w:lang w:eastAsia="pt-BR"/>
        </w:rPr>
        <w:t xml:space="preserve">.2. </w:t>
      </w:r>
      <w:r w:rsidR="00592133" w:rsidRPr="00592133">
        <w:rPr>
          <w:rFonts w:ascii="Arial" w:eastAsia="Times New Roman" w:hAnsi="Arial" w:cs="Arial"/>
          <w:b/>
          <w:bCs/>
          <w:color w:val="000000"/>
          <w:sz w:val="24"/>
          <w:szCs w:val="24"/>
          <w:lang w:eastAsia="pt-BR"/>
        </w:rPr>
        <w:t>CURVA-PADRÃO COLORIMÉTRICA</w:t>
      </w:r>
    </w:p>
    <w:p w:rsidR="00592133" w:rsidRPr="00EE5F11" w:rsidRDefault="00592133" w:rsidP="00E410F6">
      <w:pPr>
        <w:spacing w:after="0" w:line="276" w:lineRule="auto"/>
        <w:ind w:firstLine="720"/>
        <w:jc w:val="both"/>
        <w:rPr>
          <w:rFonts w:ascii="Times New Roman" w:eastAsia="Times New Roman" w:hAnsi="Times New Roman" w:cs="Times New Roman"/>
          <w:sz w:val="24"/>
          <w:szCs w:val="24"/>
          <w:lang w:eastAsia="pt-BR"/>
        </w:rPr>
      </w:pPr>
      <w:r w:rsidRPr="00EE5F11">
        <w:rPr>
          <w:rFonts w:ascii="Arial" w:eastAsia="Times New Roman" w:hAnsi="Arial" w:cs="Arial"/>
          <w:b/>
          <w:bCs/>
          <w:color w:val="000000"/>
          <w:sz w:val="24"/>
          <w:szCs w:val="24"/>
          <w:lang w:eastAsia="pt-BR"/>
        </w:rPr>
        <w:tab/>
      </w:r>
    </w:p>
    <w:p w:rsidR="00EE5F11" w:rsidRDefault="00EE5F11" w:rsidP="00E410F6">
      <w:pPr>
        <w:spacing w:after="0" w:line="276" w:lineRule="auto"/>
        <w:ind w:firstLine="708"/>
        <w:jc w:val="both"/>
        <w:rPr>
          <w:rFonts w:ascii="Arial" w:hAnsi="Arial" w:cs="Arial"/>
          <w:color w:val="000000"/>
          <w:sz w:val="24"/>
          <w:szCs w:val="24"/>
        </w:rPr>
      </w:pPr>
      <w:r w:rsidRPr="00EE5F11">
        <w:rPr>
          <w:rFonts w:ascii="Arial" w:hAnsi="Arial" w:cs="Arial"/>
          <w:color w:val="000000"/>
          <w:sz w:val="24"/>
          <w:szCs w:val="24"/>
        </w:rPr>
        <w:t>A projeção da curva-padrão colorimétrica foi pautada na diferença de concentração comum (mg.L-1) do sal cloreto de amônio (NH</w:t>
      </w:r>
      <w:r w:rsidRPr="00DB4375">
        <w:rPr>
          <w:rFonts w:ascii="Arial" w:hAnsi="Arial" w:cs="Arial"/>
          <w:color w:val="000000"/>
          <w:sz w:val="24"/>
          <w:szCs w:val="24"/>
          <w:vertAlign w:val="subscript"/>
        </w:rPr>
        <w:t>4</w:t>
      </w:r>
      <w:r w:rsidRPr="00EE5F11">
        <w:rPr>
          <w:rFonts w:ascii="Arial" w:hAnsi="Arial" w:cs="Arial"/>
          <w:color w:val="000000"/>
          <w:sz w:val="24"/>
          <w:szCs w:val="24"/>
        </w:rPr>
        <w:t>Cl) dissociado em 1L de água destilada. Os valores utilizados para elaboração da curva-padrão foram idealizados de acordo com valores sistemáticos anteriormente descritos na literatura (</w:t>
      </w:r>
      <w:r w:rsidRPr="00AE1F93">
        <w:rPr>
          <w:rFonts w:ascii="Arial" w:hAnsi="Arial" w:cs="Arial"/>
          <w:bCs/>
          <w:color w:val="000000"/>
          <w:sz w:val="24"/>
          <w:szCs w:val="24"/>
        </w:rPr>
        <w:t>LAMPARELLI, 2004; AGÊNCIA NACIONAL DAS ÁGUAS</w:t>
      </w:r>
      <w:r w:rsidR="00EA30CE">
        <w:rPr>
          <w:rFonts w:ascii="Arial" w:hAnsi="Arial" w:cs="Arial"/>
          <w:bCs/>
          <w:color w:val="000000"/>
          <w:sz w:val="24"/>
          <w:szCs w:val="24"/>
        </w:rPr>
        <w:t xml:space="preserve"> - ANA</w:t>
      </w:r>
      <w:r w:rsidRPr="00AE1F93">
        <w:rPr>
          <w:rFonts w:ascii="Arial" w:hAnsi="Arial" w:cs="Arial"/>
          <w:bCs/>
          <w:color w:val="000000"/>
          <w:sz w:val="24"/>
          <w:szCs w:val="24"/>
        </w:rPr>
        <w:t>; BAZANELLA, 2015</w:t>
      </w:r>
      <w:r w:rsidRPr="00EE5F11">
        <w:rPr>
          <w:rFonts w:ascii="Arial" w:hAnsi="Arial" w:cs="Arial"/>
          <w:color w:val="000000"/>
          <w:sz w:val="24"/>
          <w:szCs w:val="24"/>
        </w:rPr>
        <w:t>) em relação aos níveis/índices tróficos, principalmente por nitrogênio total, classificando os índices em oligotróficos, mesotróficos, eutróficos e hipereutróficos. Além disso, foram utilizados também os padrões do CONAMA para níveis máximos de nitrogênio amoniacal, levando em consideração variações no pH (</w:t>
      </w:r>
      <w:r w:rsidR="001D792F">
        <w:rPr>
          <w:rFonts w:ascii="Arial" w:hAnsi="Arial" w:cs="Arial"/>
          <w:b/>
          <w:bCs/>
          <w:color w:val="000000"/>
          <w:sz w:val="24"/>
          <w:szCs w:val="24"/>
        </w:rPr>
        <w:t>Quadro</w:t>
      </w:r>
      <w:r w:rsidRPr="00EE5F11">
        <w:rPr>
          <w:rFonts w:ascii="Arial" w:hAnsi="Arial" w:cs="Arial"/>
          <w:b/>
          <w:bCs/>
          <w:color w:val="000000"/>
          <w:sz w:val="24"/>
          <w:szCs w:val="24"/>
        </w:rPr>
        <w:t xml:space="preserve"> 1</w:t>
      </w:r>
      <w:r w:rsidRPr="00EE5F11">
        <w:rPr>
          <w:rFonts w:ascii="Arial" w:hAnsi="Arial" w:cs="Arial"/>
          <w:color w:val="000000"/>
          <w:sz w:val="24"/>
          <w:szCs w:val="24"/>
        </w:rPr>
        <w:t>).</w:t>
      </w:r>
    </w:p>
    <w:p w:rsidR="001D792F" w:rsidRDefault="001D792F" w:rsidP="00E410F6">
      <w:pPr>
        <w:pStyle w:val="NormalWeb"/>
        <w:spacing w:before="0" w:beforeAutospacing="0" w:after="0" w:afterAutospacing="0" w:line="276" w:lineRule="auto"/>
        <w:jc w:val="both"/>
        <w:rPr>
          <w:rFonts w:ascii="Arial" w:hAnsi="Arial" w:cs="Arial"/>
          <w:b/>
          <w:bCs/>
          <w:color w:val="000000"/>
          <w:sz w:val="20"/>
          <w:szCs w:val="20"/>
        </w:rPr>
      </w:pPr>
    </w:p>
    <w:p w:rsidR="001D792F" w:rsidRPr="001D792F" w:rsidRDefault="001D792F" w:rsidP="00E410F6">
      <w:pPr>
        <w:pStyle w:val="NormalWeb"/>
        <w:spacing w:before="0" w:beforeAutospacing="0" w:after="0" w:afterAutospacing="0" w:line="276" w:lineRule="auto"/>
        <w:jc w:val="both"/>
        <w:rPr>
          <w:rFonts w:ascii="Arial" w:hAnsi="Arial" w:cs="Arial"/>
          <w:color w:val="000000"/>
          <w:sz w:val="20"/>
          <w:szCs w:val="20"/>
        </w:rPr>
      </w:pPr>
      <w:r>
        <w:rPr>
          <w:rFonts w:ascii="Arial" w:hAnsi="Arial" w:cs="Arial"/>
          <w:b/>
          <w:bCs/>
          <w:color w:val="000000"/>
          <w:sz w:val="20"/>
          <w:szCs w:val="20"/>
        </w:rPr>
        <w:t>Quadro</w:t>
      </w:r>
      <w:r w:rsidRPr="001D792F">
        <w:rPr>
          <w:rFonts w:ascii="Arial" w:hAnsi="Arial" w:cs="Arial"/>
          <w:b/>
          <w:bCs/>
          <w:color w:val="000000"/>
          <w:sz w:val="20"/>
          <w:szCs w:val="20"/>
        </w:rPr>
        <w:t xml:space="preserve"> 1.</w:t>
      </w:r>
      <w:r w:rsidRPr="001D792F">
        <w:rPr>
          <w:rFonts w:ascii="Arial" w:hAnsi="Arial" w:cs="Arial"/>
          <w:color w:val="000000"/>
          <w:sz w:val="20"/>
          <w:szCs w:val="20"/>
        </w:rPr>
        <w:t xml:space="preserve"> Classes de água doce definidas com base nas concentrações de Nitrogênio amoniacal (mg.L-1) em detrimento da variação de pH. Fonte: CONAMA, nº 307 (BRASIL, 2005).</w:t>
      </w:r>
    </w:p>
    <w:p w:rsidR="00EE5F11" w:rsidRPr="00EE5F11" w:rsidRDefault="00EE5F11" w:rsidP="00E410F6">
      <w:pPr>
        <w:spacing w:after="0" w:line="276" w:lineRule="auto"/>
        <w:ind w:firstLine="708"/>
        <w:jc w:val="both"/>
        <w:rPr>
          <w:rFonts w:ascii="Arial" w:hAnsi="Arial" w:cs="Arial"/>
          <w:color w:val="000000"/>
          <w:sz w:val="24"/>
          <w:szCs w:val="24"/>
        </w:rPr>
      </w:pPr>
    </w:p>
    <w:tbl>
      <w:tblPr>
        <w:tblStyle w:val="Tabelacomgrade"/>
        <w:tblW w:w="0" w:type="auto"/>
        <w:jc w:val="center"/>
        <w:tblLook w:val="04A0" w:firstRow="1" w:lastRow="0" w:firstColumn="1" w:lastColumn="0" w:noHBand="0" w:noVBand="1"/>
      </w:tblPr>
      <w:tblGrid>
        <w:gridCol w:w="1401"/>
        <w:gridCol w:w="1401"/>
        <w:gridCol w:w="1559"/>
        <w:gridCol w:w="1559"/>
        <w:gridCol w:w="1444"/>
      </w:tblGrid>
      <w:tr w:rsidR="00E00CD1" w:rsidTr="009F32EA">
        <w:trPr>
          <w:trHeight w:val="285"/>
          <w:jc w:val="center"/>
        </w:trPr>
        <w:tc>
          <w:tcPr>
            <w:tcW w:w="1401" w:type="dxa"/>
          </w:tcPr>
          <w:p w:rsidR="00E00CD1" w:rsidRPr="00EE5F11" w:rsidRDefault="00E00CD1" w:rsidP="00E410F6">
            <w:pPr>
              <w:spacing w:line="276" w:lineRule="auto"/>
              <w:jc w:val="center"/>
              <w:rPr>
                <w:rFonts w:ascii="Arial" w:eastAsia="Times New Roman" w:hAnsi="Arial" w:cs="Arial"/>
                <w:sz w:val="20"/>
                <w:lang w:eastAsia="pt-BR"/>
              </w:rPr>
            </w:pPr>
            <w:r w:rsidRPr="00EE5F11">
              <w:rPr>
                <w:rFonts w:ascii="Arial" w:eastAsia="Times New Roman" w:hAnsi="Arial" w:cs="Arial"/>
                <w:sz w:val="20"/>
                <w:lang w:eastAsia="pt-BR"/>
              </w:rPr>
              <w:t>Em mg/L N</w:t>
            </w:r>
          </w:p>
        </w:tc>
        <w:tc>
          <w:tcPr>
            <w:tcW w:w="1401" w:type="dxa"/>
          </w:tcPr>
          <w:p w:rsidR="00E00CD1" w:rsidRPr="00EE5F11" w:rsidRDefault="00E00CD1" w:rsidP="00E410F6">
            <w:pPr>
              <w:spacing w:line="276" w:lineRule="auto"/>
              <w:jc w:val="center"/>
              <w:rPr>
                <w:rFonts w:ascii="Arial" w:eastAsia="Times New Roman" w:hAnsi="Arial" w:cs="Arial"/>
                <w:sz w:val="20"/>
                <w:lang w:eastAsia="pt-BR"/>
              </w:rPr>
            </w:pPr>
            <w:r w:rsidRPr="00EE5F11">
              <w:rPr>
                <w:rFonts w:ascii="Arial" w:hAnsi="Arial" w:cs="Arial"/>
                <w:sz w:val="20"/>
              </w:rPr>
              <w:t>pH ≤ 7,5</w:t>
            </w:r>
          </w:p>
        </w:tc>
        <w:tc>
          <w:tcPr>
            <w:tcW w:w="1559" w:type="dxa"/>
          </w:tcPr>
          <w:p w:rsidR="00E00CD1" w:rsidRPr="00EE5F11" w:rsidRDefault="00E00CD1" w:rsidP="00E410F6">
            <w:pPr>
              <w:spacing w:line="276" w:lineRule="auto"/>
              <w:jc w:val="center"/>
              <w:rPr>
                <w:rFonts w:ascii="Arial" w:eastAsia="Times New Roman" w:hAnsi="Arial" w:cs="Arial"/>
                <w:sz w:val="20"/>
                <w:lang w:eastAsia="pt-BR"/>
              </w:rPr>
            </w:pPr>
            <w:r w:rsidRPr="00EE5F11">
              <w:rPr>
                <w:rFonts w:ascii="Arial" w:hAnsi="Arial" w:cs="Arial"/>
                <w:sz w:val="20"/>
              </w:rPr>
              <w:t>7,5 &lt; pH ≤ 8,0</w:t>
            </w:r>
          </w:p>
        </w:tc>
        <w:tc>
          <w:tcPr>
            <w:tcW w:w="1559" w:type="dxa"/>
          </w:tcPr>
          <w:p w:rsidR="00E00CD1" w:rsidRPr="00EE5F11" w:rsidRDefault="00E00CD1" w:rsidP="00E410F6">
            <w:pPr>
              <w:spacing w:line="276" w:lineRule="auto"/>
              <w:jc w:val="center"/>
              <w:rPr>
                <w:rFonts w:ascii="Arial" w:eastAsia="Times New Roman" w:hAnsi="Arial" w:cs="Arial"/>
                <w:sz w:val="20"/>
                <w:lang w:eastAsia="pt-BR"/>
              </w:rPr>
            </w:pPr>
            <w:r w:rsidRPr="00EE5F11">
              <w:rPr>
                <w:rFonts w:ascii="Arial" w:hAnsi="Arial" w:cs="Arial"/>
                <w:sz w:val="20"/>
              </w:rPr>
              <w:t>8,0 &lt; pH ≤ 8,5</w:t>
            </w:r>
          </w:p>
        </w:tc>
        <w:tc>
          <w:tcPr>
            <w:tcW w:w="1444" w:type="dxa"/>
          </w:tcPr>
          <w:p w:rsidR="00E00CD1" w:rsidRPr="00EE5F11" w:rsidRDefault="00E00CD1" w:rsidP="00E410F6">
            <w:pPr>
              <w:spacing w:line="276" w:lineRule="auto"/>
              <w:jc w:val="center"/>
              <w:rPr>
                <w:rFonts w:ascii="Arial" w:eastAsia="Times New Roman" w:hAnsi="Arial" w:cs="Arial"/>
                <w:sz w:val="20"/>
                <w:lang w:eastAsia="pt-BR"/>
              </w:rPr>
            </w:pPr>
            <w:r w:rsidRPr="00EE5F11">
              <w:rPr>
                <w:rFonts w:ascii="Arial" w:hAnsi="Arial" w:cs="Arial"/>
                <w:sz w:val="20"/>
              </w:rPr>
              <w:t>pH &gt; 8,5</w:t>
            </w:r>
          </w:p>
        </w:tc>
      </w:tr>
      <w:tr w:rsidR="00E00CD1" w:rsidTr="009F32EA">
        <w:trPr>
          <w:trHeight w:val="302"/>
          <w:jc w:val="center"/>
        </w:trPr>
        <w:tc>
          <w:tcPr>
            <w:tcW w:w="1401" w:type="dxa"/>
          </w:tcPr>
          <w:p w:rsidR="00E00CD1" w:rsidRPr="00EE5F11" w:rsidRDefault="00E00CD1" w:rsidP="00E410F6">
            <w:pPr>
              <w:spacing w:line="276" w:lineRule="auto"/>
              <w:jc w:val="center"/>
              <w:rPr>
                <w:rFonts w:ascii="Arial" w:eastAsia="Times New Roman" w:hAnsi="Arial" w:cs="Arial"/>
                <w:sz w:val="20"/>
                <w:lang w:eastAsia="pt-BR"/>
              </w:rPr>
            </w:pPr>
            <w:r w:rsidRPr="00EE5F11">
              <w:rPr>
                <w:rFonts w:ascii="Arial" w:eastAsia="Times New Roman" w:hAnsi="Arial" w:cs="Arial"/>
                <w:sz w:val="20"/>
                <w:lang w:eastAsia="pt-BR"/>
              </w:rPr>
              <w:t>Classe 1 e 2</w:t>
            </w:r>
          </w:p>
        </w:tc>
        <w:tc>
          <w:tcPr>
            <w:tcW w:w="1401" w:type="dxa"/>
          </w:tcPr>
          <w:p w:rsidR="00E00CD1" w:rsidRPr="00EE5F11" w:rsidRDefault="00E00CD1" w:rsidP="00E410F6">
            <w:pPr>
              <w:spacing w:line="276" w:lineRule="auto"/>
              <w:jc w:val="center"/>
              <w:rPr>
                <w:rFonts w:ascii="Arial" w:eastAsia="Times New Roman" w:hAnsi="Arial" w:cs="Arial"/>
                <w:sz w:val="20"/>
                <w:lang w:eastAsia="pt-BR"/>
              </w:rPr>
            </w:pPr>
            <w:r w:rsidRPr="00EE5F11">
              <w:rPr>
                <w:rFonts w:ascii="Arial" w:eastAsia="Times New Roman" w:hAnsi="Arial" w:cs="Arial"/>
                <w:sz w:val="20"/>
                <w:lang w:eastAsia="pt-BR"/>
              </w:rPr>
              <w:t>3,7</w:t>
            </w:r>
          </w:p>
        </w:tc>
        <w:tc>
          <w:tcPr>
            <w:tcW w:w="1559" w:type="dxa"/>
          </w:tcPr>
          <w:p w:rsidR="00E00CD1" w:rsidRPr="00EE5F11" w:rsidRDefault="00E00CD1" w:rsidP="00E410F6">
            <w:pPr>
              <w:spacing w:line="276" w:lineRule="auto"/>
              <w:jc w:val="center"/>
              <w:rPr>
                <w:rFonts w:ascii="Arial" w:eastAsia="Times New Roman" w:hAnsi="Arial" w:cs="Arial"/>
                <w:sz w:val="20"/>
                <w:lang w:eastAsia="pt-BR"/>
              </w:rPr>
            </w:pPr>
            <w:r w:rsidRPr="00EE5F11">
              <w:rPr>
                <w:rFonts w:ascii="Arial" w:eastAsia="Times New Roman" w:hAnsi="Arial" w:cs="Arial"/>
                <w:sz w:val="20"/>
                <w:lang w:eastAsia="pt-BR"/>
              </w:rPr>
              <w:t>2,0</w:t>
            </w:r>
          </w:p>
        </w:tc>
        <w:tc>
          <w:tcPr>
            <w:tcW w:w="1559" w:type="dxa"/>
          </w:tcPr>
          <w:p w:rsidR="00E00CD1" w:rsidRPr="00EE5F11" w:rsidRDefault="00E00CD1" w:rsidP="00E410F6">
            <w:pPr>
              <w:spacing w:line="276" w:lineRule="auto"/>
              <w:jc w:val="center"/>
              <w:rPr>
                <w:rFonts w:ascii="Arial" w:eastAsia="Times New Roman" w:hAnsi="Arial" w:cs="Arial"/>
                <w:sz w:val="20"/>
                <w:lang w:eastAsia="pt-BR"/>
              </w:rPr>
            </w:pPr>
            <w:r w:rsidRPr="00EE5F11">
              <w:rPr>
                <w:rFonts w:ascii="Arial" w:eastAsia="Times New Roman" w:hAnsi="Arial" w:cs="Arial"/>
                <w:sz w:val="20"/>
                <w:lang w:eastAsia="pt-BR"/>
              </w:rPr>
              <w:t>1,0</w:t>
            </w:r>
          </w:p>
        </w:tc>
        <w:tc>
          <w:tcPr>
            <w:tcW w:w="1444" w:type="dxa"/>
          </w:tcPr>
          <w:p w:rsidR="00E00CD1" w:rsidRPr="00EE5F11" w:rsidRDefault="00E00CD1" w:rsidP="00E410F6">
            <w:pPr>
              <w:spacing w:line="276" w:lineRule="auto"/>
              <w:jc w:val="center"/>
              <w:rPr>
                <w:rFonts w:ascii="Arial" w:eastAsia="Times New Roman" w:hAnsi="Arial" w:cs="Arial"/>
                <w:sz w:val="20"/>
                <w:lang w:eastAsia="pt-BR"/>
              </w:rPr>
            </w:pPr>
            <w:r w:rsidRPr="00EE5F11">
              <w:rPr>
                <w:rFonts w:ascii="Arial" w:eastAsia="Times New Roman" w:hAnsi="Arial" w:cs="Arial"/>
                <w:sz w:val="20"/>
                <w:lang w:eastAsia="pt-BR"/>
              </w:rPr>
              <w:t>0,5</w:t>
            </w:r>
          </w:p>
        </w:tc>
      </w:tr>
      <w:tr w:rsidR="00E00CD1" w:rsidTr="009F32EA">
        <w:trPr>
          <w:trHeight w:val="278"/>
          <w:jc w:val="center"/>
        </w:trPr>
        <w:tc>
          <w:tcPr>
            <w:tcW w:w="1401" w:type="dxa"/>
          </w:tcPr>
          <w:p w:rsidR="00E00CD1" w:rsidRPr="00EE5F11" w:rsidRDefault="00E00CD1" w:rsidP="00E410F6">
            <w:pPr>
              <w:spacing w:line="276" w:lineRule="auto"/>
              <w:jc w:val="center"/>
              <w:rPr>
                <w:rFonts w:ascii="Arial" w:eastAsia="Times New Roman" w:hAnsi="Arial" w:cs="Arial"/>
                <w:sz w:val="20"/>
                <w:lang w:eastAsia="pt-BR"/>
              </w:rPr>
            </w:pPr>
            <w:r w:rsidRPr="00EE5F11">
              <w:rPr>
                <w:rFonts w:ascii="Arial" w:eastAsia="Times New Roman" w:hAnsi="Arial" w:cs="Arial"/>
                <w:sz w:val="20"/>
                <w:lang w:eastAsia="pt-BR"/>
              </w:rPr>
              <w:t>Classe 3</w:t>
            </w:r>
          </w:p>
        </w:tc>
        <w:tc>
          <w:tcPr>
            <w:tcW w:w="1401" w:type="dxa"/>
          </w:tcPr>
          <w:p w:rsidR="00E00CD1" w:rsidRPr="00EE5F11" w:rsidRDefault="00E00CD1" w:rsidP="00E410F6">
            <w:pPr>
              <w:spacing w:line="276" w:lineRule="auto"/>
              <w:jc w:val="center"/>
              <w:rPr>
                <w:rFonts w:ascii="Arial" w:eastAsia="Times New Roman" w:hAnsi="Arial" w:cs="Arial"/>
                <w:sz w:val="20"/>
                <w:lang w:eastAsia="pt-BR"/>
              </w:rPr>
            </w:pPr>
            <w:r w:rsidRPr="00EE5F11">
              <w:rPr>
                <w:rFonts w:ascii="Arial" w:eastAsia="Times New Roman" w:hAnsi="Arial" w:cs="Arial"/>
                <w:sz w:val="20"/>
                <w:lang w:eastAsia="pt-BR"/>
              </w:rPr>
              <w:t>13,3</w:t>
            </w:r>
          </w:p>
        </w:tc>
        <w:tc>
          <w:tcPr>
            <w:tcW w:w="1559" w:type="dxa"/>
          </w:tcPr>
          <w:p w:rsidR="00E00CD1" w:rsidRPr="00EE5F11" w:rsidRDefault="00E00CD1" w:rsidP="00E410F6">
            <w:pPr>
              <w:spacing w:line="276" w:lineRule="auto"/>
              <w:jc w:val="center"/>
              <w:rPr>
                <w:rFonts w:ascii="Arial" w:eastAsia="Times New Roman" w:hAnsi="Arial" w:cs="Arial"/>
                <w:sz w:val="20"/>
                <w:lang w:eastAsia="pt-BR"/>
              </w:rPr>
            </w:pPr>
            <w:r w:rsidRPr="00EE5F11">
              <w:rPr>
                <w:rFonts w:ascii="Arial" w:eastAsia="Times New Roman" w:hAnsi="Arial" w:cs="Arial"/>
                <w:sz w:val="20"/>
                <w:lang w:eastAsia="pt-BR"/>
              </w:rPr>
              <w:t>5,6</w:t>
            </w:r>
          </w:p>
        </w:tc>
        <w:tc>
          <w:tcPr>
            <w:tcW w:w="1559" w:type="dxa"/>
          </w:tcPr>
          <w:p w:rsidR="00E00CD1" w:rsidRPr="00EE5F11" w:rsidRDefault="00E00CD1" w:rsidP="00E410F6">
            <w:pPr>
              <w:spacing w:line="276" w:lineRule="auto"/>
              <w:jc w:val="center"/>
              <w:rPr>
                <w:rFonts w:ascii="Arial" w:eastAsia="Times New Roman" w:hAnsi="Arial" w:cs="Arial"/>
                <w:sz w:val="20"/>
                <w:lang w:eastAsia="pt-BR"/>
              </w:rPr>
            </w:pPr>
            <w:r w:rsidRPr="00EE5F11">
              <w:rPr>
                <w:rFonts w:ascii="Arial" w:eastAsia="Times New Roman" w:hAnsi="Arial" w:cs="Arial"/>
                <w:sz w:val="20"/>
                <w:lang w:eastAsia="pt-BR"/>
              </w:rPr>
              <w:t>2,2</w:t>
            </w:r>
          </w:p>
        </w:tc>
        <w:tc>
          <w:tcPr>
            <w:tcW w:w="1444" w:type="dxa"/>
          </w:tcPr>
          <w:p w:rsidR="00E00CD1" w:rsidRPr="00EE5F11" w:rsidRDefault="00E00CD1" w:rsidP="00E410F6">
            <w:pPr>
              <w:spacing w:line="276" w:lineRule="auto"/>
              <w:jc w:val="center"/>
              <w:rPr>
                <w:rFonts w:ascii="Arial" w:eastAsia="Times New Roman" w:hAnsi="Arial" w:cs="Arial"/>
                <w:sz w:val="20"/>
                <w:lang w:eastAsia="pt-BR"/>
              </w:rPr>
            </w:pPr>
            <w:r w:rsidRPr="00EE5F11">
              <w:rPr>
                <w:rFonts w:ascii="Arial" w:eastAsia="Times New Roman" w:hAnsi="Arial" w:cs="Arial"/>
                <w:sz w:val="20"/>
                <w:lang w:eastAsia="pt-BR"/>
              </w:rPr>
              <w:t>1,0</w:t>
            </w:r>
          </w:p>
        </w:tc>
      </w:tr>
    </w:tbl>
    <w:p w:rsidR="00FA7FF4" w:rsidRPr="00FA7FF4" w:rsidRDefault="00FA7FF4" w:rsidP="00E410F6">
      <w:pPr>
        <w:pStyle w:val="NormalWeb"/>
        <w:spacing w:before="0" w:beforeAutospacing="0" w:after="0" w:afterAutospacing="0" w:line="276" w:lineRule="auto"/>
        <w:jc w:val="both"/>
        <w:rPr>
          <w:sz w:val="18"/>
          <w:szCs w:val="18"/>
        </w:rPr>
      </w:pPr>
    </w:p>
    <w:p w:rsidR="00437E66" w:rsidRDefault="00EE5F11" w:rsidP="00E410F6">
      <w:pPr>
        <w:spacing w:after="0" w:line="276" w:lineRule="auto"/>
        <w:ind w:firstLine="708"/>
        <w:jc w:val="both"/>
        <w:rPr>
          <w:rFonts w:ascii="Arial" w:eastAsia="Times New Roman" w:hAnsi="Arial" w:cs="Arial"/>
          <w:color w:val="000000"/>
          <w:sz w:val="28"/>
          <w:szCs w:val="24"/>
          <w:lang w:eastAsia="pt-BR"/>
        </w:rPr>
      </w:pPr>
      <w:r w:rsidRPr="00EE5F11">
        <w:rPr>
          <w:rFonts w:ascii="Arial" w:hAnsi="Arial" w:cs="Arial"/>
          <w:color w:val="000000"/>
          <w:sz w:val="24"/>
        </w:rPr>
        <w:lastRenderedPageBreak/>
        <w:t xml:space="preserve">Para verificar o funcionamento da reação colorimétrica, fez-se um teste com solução supersaturada de </w:t>
      </w:r>
      <w:r w:rsidR="00DB4375" w:rsidRPr="00EE5F11">
        <w:rPr>
          <w:rFonts w:ascii="Arial" w:hAnsi="Arial" w:cs="Arial"/>
          <w:color w:val="000000"/>
          <w:sz w:val="24"/>
          <w:szCs w:val="24"/>
        </w:rPr>
        <w:t>NH</w:t>
      </w:r>
      <w:r w:rsidR="00DB4375" w:rsidRPr="00DB4375">
        <w:rPr>
          <w:rFonts w:ascii="Arial" w:hAnsi="Arial" w:cs="Arial"/>
          <w:color w:val="000000"/>
          <w:sz w:val="24"/>
          <w:szCs w:val="24"/>
          <w:vertAlign w:val="subscript"/>
        </w:rPr>
        <w:t>4</w:t>
      </w:r>
      <w:r w:rsidR="00DB4375" w:rsidRPr="00EE5F11">
        <w:rPr>
          <w:rFonts w:ascii="Arial" w:hAnsi="Arial" w:cs="Arial"/>
          <w:color w:val="000000"/>
          <w:sz w:val="24"/>
          <w:szCs w:val="24"/>
        </w:rPr>
        <w:t>Cl</w:t>
      </w:r>
      <w:r w:rsidRPr="00EE5F11">
        <w:rPr>
          <w:rFonts w:ascii="Arial" w:hAnsi="Arial" w:cs="Arial"/>
          <w:color w:val="000000"/>
          <w:sz w:val="24"/>
        </w:rPr>
        <w:t xml:space="preserve"> em água destilada (H</w:t>
      </w:r>
      <w:r w:rsidRPr="00DB4375">
        <w:rPr>
          <w:rFonts w:ascii="Arial" w:hAnsi="Arial" w:cs="Arial"/>
          <w:color w:val="000000"/>
          <w:sz w:val="24"/>
          <w:vertAlign w:val="subscript"/>
        </w:rPr>
        <w:t>2</w:t>
      </w:r>
      <w:r w:rsidRPr="00EE5F11">
        <w:rPr>
          <w:rFonts w:ascii="Arial" w:hAnsi="Arial" w:cs="Arial"/>
          <w:color w:val="000000"/>
          <w:sz w:val="24"/>
        </w:rPr>
        <w:t xml:space="preserve">Od) (1g/L). Após isto, foram preparadas 5 soluções de </w:t>
      </w:r>
      <w:r w:rsidR="00DB4375" w:rsidRPr="00EE5F11">
        <w:rPr>
          <w:rFonts w:ascii="Arial" w:hAnsi="Arial" w:cs="Arial"/>
          <w:color w:val="000000"/>
          <w:sz w:val="24"/>
          <w:szCs w:val="24"/>
        </w:rPr>
        <w:t>NH</w:t>
      </w:r>
      <w:r w:rsidR="00DB4375" w:rsidRPr="00DB4375">
        <w:rPr>
          <w:rFonts w:ascii="Arial" w:hAnsi="Arial" w:cs="Arial"/>
          <w:color w:val="000000"/>
          <w:sz w:val="24"/>
          <w:szCs w:val="24"/>
          <w:vertAlign w:val="subscript"/>
        </w:rPr>
        <w:t>4</w:t>
      </w:r>
      <w:r w:rsidR="00DB4375" w:rsidRPr="00EE5F11">
        <w:rPr>
          <w:rFonts w:ascii="Arial" w:hAnsi="Arial" w:cs="Arial"/>
          <w:color w:val="000000"/>
          <w:sz w:val="24"/>
          <w:szCs w:val="24"/>
        </w:rPr>
        <w:t>Cl</w:t>
      </w:r>
      <w:r w:rsidRPr="00EE5F11">
        <w:rPr>
          <w:rFonts w:ascii="Arial" w:hAnsi="Arial" w:cs="Arial"/>
          <w:color w:val="000000"/>
          <w:sz w:val="24"/>
        </w:rPr>
        <w:t xml:space="preserve"> em H</w:t>
      </w:r>
      <w:r w:rsidRPr="001D792F">
        <w:rPr>
          <w:rFonts w:ascii="Arial" w:hAnsi="Arial" w:cs="Arial"/>
          <w:color w:val="000000"/>
          <w:sz w:val="24"/>
          <w:vertAlign w:val="subscript"/>
        </w:rPr>
        <w:t>2</w:t>
      </w:r>
      <w:r w:rsidRPr="00EE5F11">
        <w:rPr>
          <w:rFonts w:ascii="Arial" w:hAnsi="Arial" w:cs="Arial"/>
          <w:color w:val="000000"/>
          <w:sz w:val="24"/>
        </w:rPr>
        <w:t>Od (pH de aproximadamente 7,5), respectivamente a 0 mg.L</w:t>
      </w:r>
      <w:r w:rsidRPr="001D792F">
        <w:rPr>
          <w:rFonts w:ascii="Arial" w:hAnsi="Arial" w:cs="Arial"/>
          <w:color w:val="000000"/>
          <w:sz w:val="24"/>
          <w:vertAlign w:val="superscript"/>
        </w:rPr>
        <w:t>-1</w:t>
      </w:r>
      <w:r w:rsidRPr="00EE5F11">
        <w:rPr>
          <w:rFonts w:ascii="Arial" w:hAnsi="Arial" w:cs="Arial"/>
          <w:color w:val="000000"/>
          <w:sz w:val="24"/>
        </w:rPr>
        <w:t xml:space="preserve"> (</w:t>
      </w:r>
      <w:r w:rsidR="001D792F">
        <w:rPr>
          <w:rFonts w:ascii="Arial" w:hAnsi="Arial" w:cs="Arial"/>
          <w:color w:val="000000"/>
          <w:sz w:val="24"/>
        </w:rPr>
        <w:t>b</w:t>
      </w:r>
      <w:r w:rsidRPr="00EE5F11">
        <w:rPr>
          <w:rFonts w:ascii="Arial" w:hAnsi="Arial" w:cs="Arial"/>
          <w:color w:val="000000"/>
          <w:sz w:val="24"/>
        </w:rPr>
        <w:t>ranco), 0,7 mg.L</w:t>
      </w:r>
      <w:r w:rsidRPr="001D792F">
        <w:rPr>
          <w:rFonts w:ascii="Arial" w:hAnsi="Arial" w:cs="Arial"/>
          <w:color w:val="000000"/>
          <w:sz w:val="24"/>
          <w:vertAlign w:val="superscript"/>
        </w:rPr>
        <w:t>-1</w:t>
      </w:r>
      <w:r w:rsidRPr="00EE5F11">
        <w:rPr>
          <w:rFonts w:ascii="Arial" w:hAnsi="Arial" w:cs="Arial"/>
          <w:color w:val="000000"/>
          <w:sz w:val="24"/>
        </w:rPr>
        <w:t>, 1,7 mg.L</w:t>
      </w:r>
      <w:r w:rsidRPr="001D792F">
        <w:rPr>
          <w:rFonts w:ascii="Arial" w:hAnsi="Arial" w:cs="Arial"/>
          <w:color w:val="000000"/>
          <w:sz w:val="24"/>
          <w:vertAlign w:val="superscript"/>
        </w:rPr>
        <w:t>-1</w:t>
      </w:r>
      <w:r w:rsidRPr="00EE5F11">
        <w:rPr>
          <w:rFonts w:ascii="Arial" w:hAnsi="Arial" w:cs="Arial"/>
          <w:color w:val="000000"/>
          <w:sz w:val="24"/>
        </w:rPr>
        <w:t>, 3,7 mg.L</w:t>
      </w:r>
      <w:r w:rsidRPr="001D792F">
        <w:rPr>
          <w:rFonts w:ascii="Arial" w:hAnsi="Arial" w:cs="Arial"/>
          <w:color w:val="000000"/>
          <w:sz w:val="24"/>
          <w:vertAlign w:val="superscript"/>
        </w:rPr>
        <w:t xml:space="preserve">-1 </w:t>
      </w:r>
      <w:r w:rsidRPr="00EE5F11">
        <w:rPr>
          <w:rFonts w:ascii="Arial" w:hAnsi="Arial" w:cs="Arial"/>
          <w:color w:val="000000"/>
          <w:sz w:val="24"/>
        </w:rPr>
        <w:t>e 4,7 mg.L</w:t>
      </w:r>
      <w:r w:rsidR="001D792F">
        <w:rPr>
          <w:rFonts w:ascii="Arial" w:hAnsi="Arial" w:cs="Arial"/>
          <w:color w:val="000000"/>
          <w:sz w:val="24"/>
          <w:vertAlign w:val="superscript"/>
        </w:rPr>
        <w:t>-</w:t>
      </w:r>
      <w:r w:rsidRPr="001D792F">
        <w:rPr>
          <w:rFonts w:ascii="Arial" w:hAnsi="Arial" w:cs="Arial"/>
          <w:color w:val="000000"/>
          <w:sz w:val="24"/>
          <w:vertAlign w:val="superscript"/>
        </w:rPr>
        <w:t>1</w:t>
      </w:r>
      <w:r w:rsidRPr="00EE5F11">
        <w:rPr>
          <w:rFonts w:ascii="Arial" w:hAnsi="Arial" w:cs="Arial"/>
          <w:color w:val="000000"/>
          <w:sz w:val="24"/>
        </w:rPr>
        <w:t>, em duplicata. Posteriormente, foram realizados gotejamentos de 10 e 12 gotas do reagente de Nessler em alíquotas de 100ml das amostras para essas concentrações, obtendo-se a formação da curva em escala colorimétrica conforme crescimento da concentração do sal.</w:t>
      </w:r>
      <w:r w:rsidR="00C33D31" w:rsidRPr="00EE5F11">
        <w:rPr>
          <w:rFonts w:ascii="Arial" w:eastAsia="Times New Roman" w:hAnsi="Arial" w:cs="Arial"/>
          <w:color w:val="000000"/>
          <w:sz w:val="28"/>
          <w:szCs w:val="24"/>
          <w:lang w:eastAsia="pt-BR"/>
        </w:rPr>
        <w:tab/>
      </w:r>
    </w:p>
    <w:p w:rsidR="00DB4375" w:rsidRPr="00EE5F11" w:rsidRDefault="00DB4375" w:rsidP="00E410F6">
      <w:pPr>
        <w:spacing w:after="0" w:line="276" w:lineRule="auto"/>
        <w:ind w:firstLine="708"/>
        <w:jc w:val="both"/>
        <w:rPr>
          <w:rFonts w:ascii="Arial" w:eastAsia="Times New Roman" w:hAnsi="Arial" w:cs="Arial"/>
          <w:color w:val="000000"/>
          <w:sz w:val="28"/>
          <w:szCs w:val="24"/>
          <w:lang w:eastAsia="pt-BR"/>
        </w:rPr>
      </w:pPr>
    </w:p>
    <w:p w:rsidR="008E408B" w:rsidRDefault="00DB4375" w:rsidP="00E410F6">
      <w:pPr>
        <w:spacing w:after="0" w:line="276"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2</w:t>
      </w:r>
      <w:r w:rsidR="00437E66">
        <w:rPr>
          <w:rFonts w:ascii="Arial" w:eastAsia="Times New Roman" w:hAnsi="Arial" w:cs="Arial"/>
          <w:b/>
          <w:bCs/>
          <w:color w:val="000000"/>
          <w:sz w:val="24"/>
          <w:szCs w:val="24"/>
          <w:lang w:eastAsia="pt-BR"/>
        </w:rPr>
        <w:t>.3</w:t>
      </w:r>
      <w:r w:rsidR="00437E66" w:rsidRPr="00437E66">
        <w:rPr>
          <w:rFonts w:ascii="Arial" w:eastAsia="Times New Roman" w:hAnsi="Arial" w:cs="Arial"/>
          <w:b/>
          <w:bCs/>
          <w:color w:val="000000"/>
          <w:sz w:val="24"/>
          <w:szCs w:val="24"/>
          <w:lang w:eastAsia="pt-BR"/>
        </w:rPr>
        <w:t xml:space="preserve">. PROCESSAMENTO DAS AMOSTRAS DOS AÇUDES </w:t>
      </w:r>
    </w:p>
    <w:p w:rsidR="008E408B" w:rsidRDefault="008E408B" w:rsidP="00E410F6">
      <w:pPr>
        <w:spacing w:after="0" w:line="276" w:lineRule="auto"/>
        <w:ind w:firstLine="720"/>
        <w:jc w:val="both"/>
        <w:rPr>
          <w:rFonts w:ascii="Arial" w:eastAsia="Times New Roman" w:hAnsi="Arial" w:cs="Arial"/>
          <w:b/>
          <w:bCs/>
          <w:color w:val="000000"/>
          <w:sz w:val="24"/>
          <w:szCs w:val="24"/>
          <w:lang w:eastAsia="pt-BR"/>
        </w:rPr>
      </w:pPr>
    </w:p>
    <w:p w:rsidR="00C33D31" w:rsidRDefault="00131EC3" w:rsidP="00E410F6">
      <w:pPr>
        <w:pStyle w:val="NormalWeb"/>
        <w:spacing w:before="0" w:beforeAutospacing="0" w:after="0" w:afterAutospacing="0" w:line="276" w:lineRule="auto"/>
        <w:ind w:firstLine="708"/>
        <w:jc w:val="both"/>
        <w:rPr>
          <w:rStyle w:val="apple-tab-span"/>
          <w:rFonts w:ascii="Arial" w:hAnsi="Arial" w:cs="Arial"/>
          <w:color w:val="000000"/>
        </w:rPr>
      </w:pPr>
      <w:r>
        <w:rPr>
          <w:rFonts w:ascii="Arial" w:hAnsi="Arial" w:cs="Arial"/>
          <w:color w:val="000000"/>
        </w:rPr>
        <w:t xml:space="preserve">As amostras coletadas dos açudes foram processadas para posterior análise, desta forma, de cada amostra de água foram retiradas 2 alíquotas de 100 ml cada e postas em béqueres, das quais uma alíquota foi filtrada 3 vezes por meio de funil de vidro e papel filtro qualitativo, não fazendo uso de microfiltração, enquanto a outra alíquota não foi filtrada, permanecendo, desta forma, em seu estado bruto. </w:t>
      </w:r>
      <w:r w:rsidR="002E6948">
        <w:rPr>
          <w:rFonts w:ascii="Arial" w:hAnsi="Arial" w:cs="Arial"/>
          <w:color w:val="000000"/>
        </w:rPr>
        <w:t>Posteriormente, essas alíquotas foram gotejadas com 12 gotas do reagente de Nessler para análise</w:t>
      </w:r>
      <w:r w:rsidR="00EE5F11">
        <w:rPr>
          <w:rFonts w:ascii="Arial" w:hAnsi="Arial" w:cs="Arial"/>
          <w:color w:val="000000"/>
        </w:rPr>
        <w:t xml:space="preserve">, </w:t>
      </w:r>
      <w:r w:rsidR="002E6948">
        <w:rPr>
          <w:rFonts w:ascii="Arial" w:hAnsi="Arial" w:cs="Arial"/>
          <w:color w:val="000000"/>
        </w:rPr>
        <w:t>em seguida foram subtraídos 2 ml de cada amostra, transferidos para tubos de ensaio nos quais se sucederam as análises.</w:t>
      </w:r>
    </w:p>
    <w:p w:rsidR="002E6948" w:rsidRDefault="002E6948" w:rsidP="00E410F6">
      <w:pPr>
        <w:pStyle w:val="NormalWeb"/>
        <w:spacing w:before="0" w:beforeAutospacing="0" w:after="0" w:afterAutospacing="0" w:line="276" w:lineRule="auto"/>
        <w:ind w:firstLine="708"/>
        <w:jc w:val="both"/>
      </w:pPr>
    </w:p>
    <w:p w:rsidR="003B2ED8" w:rsidRDefault="003B2ED8" w:rsidP="00E410F6">
      <w:pPr>
        <w:pStyle w:val="NormalWeb"/>
        <w:spacing w:before="0" w:beforeAutospacing="0" w:after="0" w:afterAutospacing="0" w:line="276" w:lineRule="auto"/>
        <w:ind w:firstLine="708"/>
        <w:jc w:val="both"/>
      </w:pPr>
    </w:p>
    <w:p w:rsidR="00131EC3" w:rsidRDefault="00DB4375" w:rsidP="00E410F6">
      <w:pPr>
        <w:spacing w:after="0" w:line="276" w:lineRule="auto"/>
        <w:rPr>
          <w:rFonts w:ascii="Arial" w:hAnsi="Arial" w:cs="Arial"/>
          <w:b/>
          <w:sz w:val="24"/>
        </w:rPr>
      </w:pPr>
      <w:r>
        <w:rPr>
          <w:rFonts w:ascii="Arial" w:hAnsi="Arial" w:cs="Arial"/>
          <w:b/>
          <w:sz w:val="24"/>
        </w:rPr>
        <w:t>3</w:t>
      </w:r>
      <w:r w:rsidR="006A1555">
        <w:rPr>
          <w:rFonts w:ascii="Arial" w:hAnsi="Arial" w:cs="Arial"/>
          <w:b/>
          <w:sz w:val="24"/>
        </w:rPr>
        <w:t>. RESULTADOS E DISCUSSÃO</w:t>
      </w:r>
    </w:p>
    <w:p w:rsidR="0049217F" w:rsidRPr="00131EC3" w:rsidRDefault="0049217F" w:rsidP="00E410F6">
      <w:pPr>
        <w:spacing w:after="0" w:line="276" w:lineRule="auto"/>
        <w:rPr>
          <w:rFonts w:ascii="Arial" w:hAnsi="Arial" w:cs="Arial"/>
          <w:b/>
          <w:sz w:val="24"/>
        </w:rPr>
      </w:pPr>
    </w:p>
    <w:p w:rsidR="00131EC3" w:rsidRPr="00131EC3" w:rsidRDefault="00131EC3" w:rsidP="00E410F6">
      <w:pPr>
        <w:spacing w:after="0" w:line="276" w:lineRule="auto"/>
        <w:jc w:val="both"/>
        <w:rPr>
          <w:rFonts w:ascii="Times New Roman" w:eastAsia="Times New Roman" w:hAnsi="Times New Roman" w:cs="Times New Roman"/>
          <w:sz w:val="24"/>
          <w:szCs w:val="24"/>
          <w:lang w:eastAsia="pt-BR"/>
        </w:rPr>
      </w:pPr>
      <w:r w:rsidRPr="00131EC3">
        <w:rPr>
          <w:rFonts w:ascii="Arial" w:eastAsia="Times New Roman" w:hAnsi="Arial" w:cs="Arial"/>
          <w:b/>
          <w:bCs/>
          <w:color w:val="000000"/>
          <w:sz w:val="24"/>
          <w:szCs w:val="24"/>
          <w:lang w:eastAsia="pt-BR"/>
        </w:rPr>
        <w:tab/>
      </w:r>
      <w:r w:rsidRPr="00131EC3">
        <w:rPr>
          <w:rFonts w:ascii="Arial" w:eastAsia="Times New Roman" w:hAnsi="Arial" w:cs="Arial"/>
          <w:color w:val="000000"/>
          <w:sz w:val="24"/>
          <w:szCs w:val="24"/>
          <w:lang w:eastAsia="pt-BR"/>
        </w:rPr>
        <w:t xml:space="preserve">Os resultados obtidos através da curva colorimétrica demonstraram a eficiência do reagente de Nessler para amostras de água destilada contendo cloreto de amônio, havendo variação da intensidade da cor gerada a partir das variações de concentração do sal. </w:t>
      </w:r>
    </w:p>
    <w:p w:rsidR="0049217F" w:rsidRDefault="00131EC3" w:rsidP="00E410F6">
      <w:pPr>
        <w:pStyle w:val="NormalWeb"/>
        <w:spacing w:before="0" w:beforeAutospacing="0" w:after="0" w:afterAutospacing="0" w:line="276" w:lineRule="auto"/>
        <w:ind w:firstLine="708"/>
        <w:jc w:val="both"/>
        <w:rPr>
          <w:rFonts w:ascii="Arial" w:hAnsi="Arial" w:cs="Arial"/>
          <w:color w:val="000000"/>
        </w:rPr>
      </w:pPr>
      <w:r w:rsidRPr="00131EC3">
        <w:rPr>
          <w:rFonts w:ascii="Arial" w:hAnsi="Arial" w:cs="Arial"/>
          <w:color w:val="000000"/>
        </w:rPr>
        <w:t>Para avaliação e validação da reação entre o reagente de Nessler</w:t>
      </w:r>
      <w:r w:rsidR="00C20829">
        <w:rPr>
          <w:rFonts w:ascii="Arial" w:hAnsi="Arial" w:cs="Arial"/>
          <w:color w:val="000000"/>
        </w:rPr>
        <w:t xml:space="preserve"> e o </w:t>
      </w:r>
      <w:r w:rsidR="00C20829" w:rsidRPr="00EE5F11">
        <w:rPr>
          <w:rFonts w:ascii="Arial" w:hAnsi="Arial" w:cs="Arial"/>
          <w:color w:val="000000"/>
        </w:rPr>
        <w:t>NH</w:t>
      </w:r>
      <w:r w:rsidR="00C20829" w:rsidRPr="00924CEB">
        <w:rPr>
          <w:rFonts w:ascii="Arial" w:hAnsi="Arial" w:cs="Arial"/>
          <w:color w:val="000000"/>
          <w:vertAlign w:val="subscript"/>
        </w:rPr>
        <w:t>4</w:t>
      </w:r>
      <w:r w:rsidR="00C20829" w:rsidRPr="00EE5F11">
        <w:rPr>
          <w:rFonts w:ascii="Arial" w:hAnsi="Arial" w:cs="Arial"/>
          <w:color w:val="000000"/>
        </w:rPr>
        <w:t>Cl</w:t>
      </w:r>
      <w:r w:rsidRPr="00131EC3">
        <w:rPr>
          <w:rFonts w:ascii="Arial" w:hAnsi="Arial" w:cs="Arial"/>
          <w:color w:val="000000"/>
        </w:rPr>
        <w:t>, foi preparada uma solução supersaturada de cloreto de amônio (0,1</w:t>
      </w:r>
      <w:r w:rsidR="001D792F">
        <w:rPr>
          <w:rFonts w:ascii="Arial" w:hAnsi="Arial" w:cs="Arial"/>
          <w:color w:val="000000"/>
        </w:rPr>
        <w:t xml:space="preserve"> </w:t>
      </w:r>
      <w:r w:rsidRPr="00131EC3">
        <w:rPr>
          <w:rFonts w:ascii="Arial" w:hAnsi="Arial" w:cs="Arial"/>
          <w:color w:val="000000"/>
        </w:rPr>
        <w:t xml:space="preserve">g/L) na presença de 12 gotas do reagente, verificando-se uma coloração amarelo-acastanhada hipercrômica </w:t>
      </w:r>
      <w:r w:rsidR="00CD2C2F" w:rsidRPr="002E6948">
        <w:rPr>
          <w:rFonts w:ascii="Arial" w:hAnsi="Arial" w:cs="Arial"/>
          <w:bCs/>
          <w:color w:val="000000"/>
        </w:rPr>
        <w:t>(</w:t>
      </w:r>
      <w:r w:rsidR="00CD2C2F">
        <w:rPr>
          <w:rFonts w:ascii="Arial" w:hAnsi="Arial" w:cs="Arial"/>
          <w:b/>
          <w:bCs/>
          <w:color w:val="000000"/>
        </w:rPr>
        <w:t>Figura 3</w:t>
      </w:r>
      <w:r w:rsidRPr="002E6948">
        <w:rPr>
          <w:rFonts w:ascii="Arial" w:hAnsi="Arial" w:cs="Arial"/>
          <w:bCs/>
          <w:color w:val="000000"/>
        </w:rPr>
        <w:t>)</w:t>
      </w:r>
      <w:r w:rsidRPr="00131EC3">
        <w:rPr>
          <w:rFonts w:ascii="Arial" w:hAnsi="Arial" w:cs="Arial"/>
          <w:color w:val="000000"/>
        </w:rPr>
        <w:t>, confirmando a eficácia do teste para as amostras destiladas.  </w:t>
      </w:r>
    </w:p>
    <w:p w:rsidR="006A1555" w:rsidRDefault="0049217F" w:rsidP="00E410F6">
      <w:pPr>
        <w:pStyle w:val="NormalWeb"/>
        <w:spacing w:before="0" w:beforeAutospacing="0" w:after="0" w:afterAutospacing="0" w:line="276" w:lineRule="auto"/>
        <w:ind w:firstLine="708"/>
        <w:jc w:val="both"/>
        <w:rPr>
          <w:rFonts w:ascii="Arial" w:hAnsi="Arial" w:cs="Arial"/>
          <w:color w:val="000000"/>
        </w:rPr>
      </w:pPr>
      <w:r>
        <w:rPr>
          <w:rFonts w:ascii="Arial" w:hAnsi="Arial" w:cs="Arial"/>
          <w:color w:val="000000"/>
        </w:rPr>
        <w:t xml:space="preserve">Comparando os gotejamentos realizados em duplicata (10 e 12 gotas), a nitidez é evidenciada, principalmente, no menisco das amostras. As de menor concentração para os dois gotejamentos (0,7 </w:t>
      </w:r>
      <w:r w:rsidR="001D792F">
        <w:rPr>
          <w:rFonts w:ascii="Arial" w:hAnsi="Arial" w:cs="Arial"/>
          <w:color w:val="000000"/>
        </w:rPr>
        <w:t>mg.L</w:t>
      </w:r>
      <w:r w:rsidRPr="00B965BA">
        <w:rPr>
          <w:rFonts w:ascii="Arial" w:hAnsi="Arial" w:cs="Arial"/>
          <w:color w:val="000000"/>
          <w:vertAlign w:val="superscript"/>
        </w:rPr>
        <w:t xml:space="preserve">-1 </w:t>
      </w:r>
      <w:r>
        <w:rPr>
          <w:rFonts w:ascii="Arial" w:hAnsi="Arial" w:cs="Arial"/>
          <w:color w:val="000000"/>
        </w:rPr>
        <w:t>e 1,7 mg.L</w:t>
      </w:r>
      <w:r w:rsidRPr="00B965BA">
        <w:rPr>
          <w:rFonts w:ascii="Arial" w:hAnsi="Arial" w:cs="Arial"/>
          <w:color w:val="000000"/>
          <w:vertAlign w:val="superscript"/>
        </w:rPr>
        <w:t>-1</w:t>
      </w:r>
      <w:r>
        <w:rPr>
          <w:rFonts w:ascii="Arial" w:hAnsi="Arial" w:cs="Arial"/>
          <w:color w:val="000000"/>
        </w:rPr>
        <w:t>), excluindo o branco, apresentaram maior diferença visual entre si, estando mais bem evidenciadas nas que receberam alíquotas de 12 gotas (</w:t>
      </w:r>
      <w:r>
        <w:rPr>
          <w:rFonts w:ascii="Arial" w:hAnsi="Arial" w:cs="Arial"/>
          <w:b/>
          <w:bCs/>
          <w:color w:val="000000"/>
        </w:rPr>
        <w:t>Figura</w:t>
      </w:r>
      <w:r w:rsidR="00CD2C2F">
        <w:rPr>
          <w:rFonts w:ascii="Arial" w:hAnsi="Arial" w:cs="Arial"/>
          <w:b/>
          <w:bCs/>
          <w:color w:val="000000"/>
        </w:rPr>
        <w:t xml:space="preserve"> 4</w:t>
      </w:r>
      <w:r>
        <w:rPr>
          <w:rFonts w:ascii="Arial" w:hAnsi="Arial" w:cs="Arial"/>
          <w:color w:val="000000"/>
        </w:rPr>
        <w:t>) , fazendo deste o padrão para realização dos sucessivos testes (</w:t>
      </w:r>
      <w:r w:rsidR="00CD2C2F">
        <w:rPr>
          <w:rFonts w:ascii="Arial" w:hAnsi="Arial" w:cs="Arial"/>
          <w:b/>
          <w:bCs/>
          <w:color w:val="000000"/>
        </w:rPr>
        <w:t>Figura 5</w:t>
      </w:r>
      <w:r>
        <w:rPr>
          <w:rFonts w:ascii="Arial" w:hAnsi="Arial" w:cs="Arial"/>
          <w:color w:val="000000"/>
        </w:rPr>
        <w:t>).</w:t>
      </w:r>
    </w:p>
    <w:p w:rsidR="0049217F" w:rsidRPr="0049217F" w:rsidRDefault="0049217F" w:rsidP="00E410F6">
      <w:pPr>
        <w:pStyle w:val="NormalWeb"/>
        <w:spacing w:before="0" w:beforeAutospacing="0" w:after="0" w:afterAutospacing="0" w:line="276" w:lineRule="auto"/>
        <w:ind w:firstLine="708"/>
        <w:jc w:val="both"/>
        <w:rPr>
          <w:noProof/>
        </w:rPr>
      </w:pPr>
    </w:p>
    <w:p w:rsidR="00DB4375" w:rsidRDefault="00131EC3" w:rsidP="00E410F6">
      <w:pPr>
        <w:spacing w:after="0" w:line="276" w:lineRule="auto"/>
        <w:jc w:val="center"/>
        <w:rPr>
          <w:rFonts w:ascii="Arial" w:hAnsi="Arial" w:cs="Arial"/>
          <w:b/>
          <w:sz w:val="24"/>
        </w:rPr>
      </w:pPr>
      <w:r>
        <w:rPr>
          <w:noProof/>
          <w:lang w:eastAsia="pt-BR"/>
        </w:rPr>
        <w:lastRenderedPageBreak/>
        <w:drawing>
          <wp:inline distT="0" distB="0" distL="0" distR="0">
            <wp:extent cx="1205637" cy="1446028"/>
            <wp:effectExtent l="0" t="0" r="0" b="0"/>
            <wp:docPr id="2" name="Imagem 2" descr="https://lh5.googleusercontent.com/Nux38DF78rKcORVkJ3swFncSyp639goVCD8qPGJAGPPhogTafoVHpdZFP7U79eBGK5BtOSH4kQ92osMnj_TqaE-38Q8KmQy4bUVHVqcJ_K5Ubwig17EL5Q7WAaYKY1vrHWsP13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Nux38DF78rKcORVkJ3swFncSyp639goVCD8qPGJAGPPhogTafoVHpdZFP7U79eBGK5BtOSH4kQ92osMnj_TqaE-38Q8KmQy4bUVHVqcJ_K5Ubwig17EL5Q7WAaYKY1vrHWsP13R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1447800"/>
                    </a:xfrm>
                    <a:prstGeom prst="rect">
                      <a:avLst/>
                    </a:prstGeom>
                    <a:noFill/>
                    <a:ln>
                      <a:noFill/>
                    </a:ln>
                  </pic:spPr>
                </pic:pic>
              </a:graphicData>
            </a:graphic>
          </wp:inline>
        </w:drawing>
      </w:r>
    </w:p>
    <w:p w:rsidR="00131EC3" w:rsidRPr="001D792F" w:rsidRDefault="00131EC3" w:rsidP="00E410F6">
      <w:pPr>
        <w:spacing w:after="0" w:line="276" w:lineRule="auto"/>
        <w:jc w:val="center"/>
        <w:rPr>
          <w:rFonts w:ascii="Arial" w:hAnsi="Arial" w:cs="Arial"/>
          <w:color w:val="000000"/>
          <w:sz w:val="20"/>
          <w:szCs w:val="20"/>
        </w:rPr>
      </w:pPr>
      <w:r w:rsidRPr="001D792F">
        <w:rPr>
          <w:rFonts w:ascii="Arial" w:hAnsi="Arial" w:cs="Arial"/>
          <w:b/>
          <w:bCs/>
          <w:color w:val="000000"/>
          <w:sz w:val="20"/>
          <w:szCs w:val="20"/>
        </w:rPr>
        <w:t xml:space="preserve">Figura </w:t>
      </w:r>
      <w:r w:rsidR="00E47B81" w:rsidRPr="001D792F">
        <w:rPr>
          <w:rFonts w:ascii="Arial" w:hAnsi="Arial" w:cs="Arial"/>
          <w:b/>
          <w:bCs/>
          <w:color w:val="000000"/>
          <w:sz w:val="20"/>
          <w:szCs w:val="20"/>
        </w:rPr>
        <w:t>3</w:t>
      </w:r>
      <w:r w:rsidRPr="001D792F">
        <w:rPr>
          <w:rFonts w:ascii="Arial" w:hAnsi="Arial" w:cs="Arial"/>
          <w:b/>
          <w:bCs/>
          <w:color w:val="000000"/>
          <w:sz w:val="20"/>
          <w:szCs w:val="20"/>
        </w:rPr>
        <w:t>.</w:t>
      </w:r>
      <w:r w:rsidRPr="001D792F">
        <w:rPr>
          <w:rFonts w:ascii="Arial" w:hAnsi="Arial" w:cs="Arial"/>
          <w:color w:val="000000"/>
          <w:sz w:val="20"/>
          <w:szCs w:val="20"/>
        </w:rPr>
        <w:t xml:space="preserve">   Solução supersaturada de NH</w:t>
      </w:r>
      <w:r w:rsidRPr="001D792F">
        <w:rPr>
          <w:rFonts w:ascii="Arial" w:hAnsi="Arial" w:cs="Arial"/>
          <w:color w:val="000000"/>
          <w:sz w:val="20"/>
          <w:szCs w:val="20"/>
          <w:vertAlign w:val="subscript"/>
        </w:rPr>
        <w:t>4</w:t>
      </w:r>
      <w:r w:rsidRPr="001D792F">
        <w:rPr>
          <w:rFonts w:ascii="Arial" w:hAnsi="Arial" w:cs="Arial"/>
          <w:color w:val="000000"/>
          <w:sz w:val="20"/>
          <w:szCs w:val="20"/>
        </w:rPr>
        <w:t xml:space="preserve">Cl (1g/L). </w:t>
      </w:r>
      <w:r w:rsidRPr="001D792F">
        <w:rPr>
          <w:rFonts w:ascii="Arial" w:hAnsi="Arial" w:cs="Arial"/>
          <w:b/>
          <w:bCs/>
          <w:color w:val="000000"/>
          <w:sz w:val="20"/>
          <w:szCs w:val="20"/>
        </w:rPr>
        <w:t xml:space="preserve">Fonte: </w:t>
      </w:r>
      <w:r w:rsidRPr="001D792F">
        <w:rPr>
          <w:rFonts w:ascii="Arial" w:hAnsi="Arial" w:cs="Arial"/>
          <w:color w:val="000000"/>
          <w:sz w:val="20"/>
          <w:szCs w:val="20"/>
        </w:rPr>
        <w:t>Autoria própria, 2017.</w:t>
      </w:r>
    </w:p>
    <w:p w:rsidR="006A1555" w:rsidRDefault="006A1555" w:rsidP="00E410F6">
      <w:pPr>
        <w:spacing w:after="0" w:line="276" w:lineRule="auto"/>
        <w:rPr>
          <w:rFonts w:ascii="Arial" w:hAnsi="Arial" w:cs="Arial"/>
          <w:b/>
          <w:sz w:val="24"/>
        </w:rPr>
      </w:pPr>
    </w:p>
    <w:p w:rsidR="000404D0" w:rsidRDefault="005643A9" w:rsidP="00E410F6">
      <w:pPr>
        <w:pStyle w:val="NormalWeb"/>
        <w:spacing w:before="0" w:beforeAutospacing="0" w:after="0" w:afterAutospacing="0" w:line="276" w:lineRule="auto"/>
        <w:jc w:val="center"/>
        <w:rPr>
          <w:noProof/>
        </w:rPr>
      </w:pPr>
      <w:r>
        <w:rPr>
          <w:rFonts w:asciiTheme="minorHAnsi" w:hAnsiTheme="minorHAnsi" w:cstheme="minorBidi"/>
          <w:noProof/>
          <w:sz w:val="22"/>
        </w:rPr>
        <w:pict>
          <v:rect id="_x0000_s1041" style="position:absolute;left:0;text-align:left;margin-left:359.75pt;margin-top:57.75pt;width:30.8pt;height:20.5pt;z-index:251663360">
            <v:textbox>
              <w:txbxContent>
                <w:p w:rsidR="0049217F" w:rsidRPr="000404D0" w:rsidRDefault="00CD2C2F" w:rsidP="0049217F">
                  <w:pPr>
                    <w:rPr>
                      <w:rFonts w:ascii="Arial" w:hAnsi="Arial" w:cs="Arial"/>
                      <w:sz w:val="24"/>
                    </w:rPr>
                  </w:pPr>
                  <w:r>
                    <w:rPr>
                      <w:rFonts w:ascii="Arial" w:hAnsi="Arial" w:cs="Arial"/>
                      <w:sz w:val="24"/>
                    </w:rPr>
                    <w:t>4</w:t>
                  </w:r>
                  <w:r w:rsidR="0049217F" w:rsidRPr="000404D0">
                    <w:rPr>
                      <w:rFonts w:ascii="Arial" w:hAnsi="Arial" w:cs="Arial"/>
                      <w:sz w:val="24"/>
                    </w:rPr>
                    <w:t>A</w:t>
                  </w:r>
                </w:p>
              </w:txbxContent>
            </v:textbox>
          </v:rect>
        </w:pict>
      </w:r>
      <w:r w:rsidR="000404D0">
        <w:rPr>
          <w:noProof/>
        </w:rPr>
        <w:drawing>
          <wp:inline distT="0" distB="0" distL="0" distR="0">
            <wp:extent cx="4171138" cy="1004693"/>
            <wp:effectExtent l="0" t="0" r="0" b="0"/>
            <wp:docPr id="8" name="Imagem 8" descr="https://lh5.googleusercontent.com/Z76UC8skGLfDetpiXv1QXoKGjmk40N4zo6SvMACcuBiywTUdbP_8HBolyXY14nzhb50c9Ly5_HBMkx8t_5r-JjwuUEBqy27GcdKmca3X4IUdZT5-ATd3NGsc9d55cskHHQQ9Zhq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Z76UC8skGLfDetpiXv1QXoKGjmk40N4zo6SvMACcuBiywTUdbP_8HBolyXY14nzhb50c9Ly5_HBMkx8t_5r-JjwuUEBqy27GcdKmca3X4IUdZT5-ATd3NGsc9d55cskHHQQ9ZhqF"/>
                    <pic:cNvPicPr>
                      <a:picLocks noChangeAspect="1" noChangeArrowheads="1"/>
                    </pic:cNvPicPr>
                  </pic:nvPicPr>
                  <pic:blipFill rotWithShape="1">
                    <a:blip r:embed="rId12">
                      <a:extLst>
                        <a:ext uri="{28A0092B-C50C-407E-A947-70E740481C1C}">
                          <a14:useLocalDpi xmlns:a14="http://schemas.microsoft.com/office/drawing/2010/main" val="0"/>
                        </a:ext>
                      </a:extLst>
                    </a:blip>
                    <a:srcRect l="2142" t="16208" r="28261" b="45813"/>
                    <a:stretch/>
                  </pic:blipFill>
                  <pic:spPr bwMode="auto">
                    <a:xfrm>
                      <a:off x="0" y="0"/>
                      <a:ext cx="4264408" cy="1027159"/>
                    </a:xfrm>
                    <a:prstGeom prst="rect">
                      <a:avLst/>
                    </a:prstGeom>
                    <a:noFill/>
                    <a:ln>
                      <a:noFill/>
                    </a:ln>
                    <a:extLst>
                      <a:ext uri="{53640926-AAD7-44D8-BBD7-CCE9431645EC}">
                        <a14:shadowObscured xmlns:a14="http://schemas.microsoft.com/office/drawing/2010/main"/>
                      </a:ext>
                    </a:extLst>
                  </pic:spPr>
                </pic:pic>
              </a:graphicData>
            </a:graphic>
          </wp:inline>
        </w:drawing>
      </w:r>
    </w:p>
    <w:p w:rsidR="00861C91" w:rsidRDefault="005643A9" w:rsidP="00E410F6">
      <w:pPr>
        <w:pStyle w:val="NormalWeb"/>
        <w:spacing w:before="0" w:beforeAutospacing="0" w:after="0" w:afterAutospacing="0" w:line="276" w:lineRule="auto"/>
        <w:jc w:val="center"/>
        <w:rPr>
          <w:noProof/>
        </w:rPr>
      </w:pPr>
      <w:r>
        <w:rPr>
          <w:noProof/>
        </w:rPr>
        <w:pict>
          <v:rect id="_x0000_s1038" style="position:absolute;left:0;text-align:left;margin-left:360.75pt;margin-top:59.4pt;width:30.8pt;height:20.7pt;z-index:251660288">
            <v:textbox style="mso-next-textbox:#_x0000_s1038">
              <w:txbxContent>
                <w:p w:rsidR="000404D0" w:rsidRPr="000404D0" w:rsidRDefault="00CD2C2F" w:rsidP="000404D0">
                  <w:pPr>
                    <w:rPr>
                      <w:rFonts w:ascii="Arial" w:hAnsi="Arial" w:cs="Arial"/>
                      <w:sz w:val="24"/>
                    </w:rPr>
                  </w:pPr>
                  <w:r>
                    <w:rPr>
                      <w:rFonts w:ascii="Arial" w:hAnsi="Arial" w:cs="Arial"/>
                      <w:sz w:val="24"/>
                    </w:rPr>
                    <w:t>4</w:t>
                  </w:r>
                  <w:r w:rsidR="000404D0">
                    <w:rPr>
                      <w:rFonts w:ascii="Arial" w:hAnsi="Arial" w:cs="Arial"/>
                      <w:sz w:val="24"/>
                    </w:rPr>
                    <w:t>B</w:t>
                  </w:r>
                </w:p>
              </w:txbxContent>
            </v:textbox>
          </v:rect>
        </w:pict>
      </w:r>
      <w:r w:rsidR="000404D0" w:rsidRPr="000404D0">
        <w:rPr>
          <w:noProof/>
        </w:rPr>
        <w:drawing>
          <wp:inline distT="0" distB="0" distL="0" distR="0">
            <wp:extent cx="4192659" cy="1025732"/>
            <wp:effectExtent l="0" t="0" r="0" b="0"/>
            <wp:docPr id="1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1"/>
                    <pic:cNvPicPr>
                      <a:picLocks noChangeAspect="1"/>
                    </pic:cNvPicPr>
                  </pic:nvPicPr>
                  <pic:blipFill rotWithShape="1">
                    <a:blip r:embed="rId13" cstate="print">
                      <a:extLst>
                        <a:ext uri="{28A0092B-C50C-407E-A947-70E740481C1C}">
                          <a14:useLocalDpi xmlns:a14="http://schemas.microsoft.com/office/drawing/2010/main" val="0"/>
                        </a:ext>
                      </a:extLst>
                    </a:blip>
                    <a:srcRect l="5822" t="34814" r="13070" b="26296"/>
                    <a:stretch/>
                  </pic:blipFill>
                  <pic:spPr bwMode="auto">
                    <a:xfrm>
                      <a:off x="0" y="0"/>
                      <a:ext cx="4344409" cy="1062857"/>
                    </a:xfrm>
                    <a:prstGeom prst="rect">
                      <a:avLst/>
                    </a:prstGeom>
                    <a:ln>
                      <a:noFill/>
                    </a:ln>
                    <a:extLst>
                      <a:ext uri="{53640926-AAD7-44D8-BBD7-CCE9431645EC}">
                        <a14:shadowObscured xmlns:a14="http://schemas.microsoft.com/office/drawing/2010/main"/>
                      </a:ext>
                    </a:extLst>
                  </pic:spPr>
                </pic:pic>
              </a:graphicData>
            </a:graphic>
          </wp:inline>
        </w:drawing>
      </w:r>
    </w:p>
    <w:p w:rsidR="00D4117A" w:rsidRPr="001D792F" w:rsidRDefault="00CD2C2F" w:rsidP="00E410F6">
      <w:pPr>
        <w:spacing w:after="0" w:line="276" w:lineRule="auto"/>
        <w:jc w:val="both"/>
        <w:rPr>
          <w:rFonts w:ascii="Arial" w:hAnsi="Arial" w:cs="Arial"/>
          <w:b/>
          <w:bCs/>
          <w:color w:val="000000"/>
          <w:sz w:val="20"/>
          <w:szCs w:val="20"/>
        </w:rPr>
      </w:pPr>
      <w:r w:rsidRPr="001D792F">
        <w:rPr>
          <w:rFonts w:ascii="Arial" w:hAnsi="Arial" w:cs="Arial"/>
          <w:b/>
          <w:bCs/>
          <w:color w:val="000000"/>
          <w:sz w:val="20"/>
          <w:szCs w:val="20"/>
        </w:rPr>
        <w:t>Figura 4</w:t>
      </w:r>
      <w:r w:rsidR="000404D0" w:rsidRPr="001D792F">
        <w:rPr>
          <w:rFonts w:ascii="Arial" w:hAnsi="Arial" w:cs="Arial"/>
          <w:b/>
          <w:bCs/>
          <w:color w:val="000000"/>
          <w:sz w:val="20"/>
          <w:szCs w:val="20"/>
        </w:rPr>
        <w:t>A.</w:t>
      </w:r>
      <w:r w:rsidR="000404D0" w:rsidRPr="001D792F">
        <w:rPr>
          <w:rFonts w:ascii="Arial" w:hAnsi="Arial" w:cs="Arial"/>
          <w:color w:val="000000"/>
          <w:sz w:val="20"/>
          <w:szCs w:val="20"/>
        </w:rPr>
        <w:t xml:space="preserve"> Após gotejamento de 10 gotas do reagente de Nessler nas soluções em ordem crescente de concentração de NH</w:t>
      </w:r>
      <w:r w:rsidR="000404D0" w:rsidRPr="001D792F">
        <w:rPr>
          <w:rFonts w:ascii="Arial" w:hAnsi="Arial" w:cs="Arial"/>
          <w:color w:val="000000"/>
          <w:sz w:val="20"/>
          <w:szCs w:val="20"/>
          <w:vertAlign w:val="subscript"/>
        </w:rPr>
        <w:t>4</w:t>
      </w:r>
      <w:r w:rsidR="000404D0" w:rsidRPr="001D792F">
        <w:rPr>
          <w:rFonts w:ascii="Arial" w:hAnsi="Arial" w:cs="Arial"/>
          <w:color w:val="000000"/>
          <w:sz w:val="20"/>
          <w:szCs w:val="20"/>
        </w:rPr>
        <w:t xml:space="preserve">Cl. </w:t>
      </w:r>
      <w:r w:rsidRPr="001D792F">
        <w:rPr>
          <w:rFonts w:ascii="Arial" w:hAnsi="Arial" w:cs="Arial"/>
          <w:b/>
          <w:bCs/>
          <w:color w:val="000000"/>
          <w:sz w:val="20"/>
          <w:szCs w:val="20"/>
        </w:rPr>
        <w:t>Figura 4</w:t>
      </w:r>
      <w:r w:rsidR="000404D0" w:rsidRPr="001D792F">
        <w:rPr>
          <w:rFonts w:ascii="Arial" w:hAnsi="Arial" w:cs="Arial"/>
          <w:b/>
          <w:bCs/>
          <w:color w:val="000000"/>
          <w:sz w:val="20"/>
          <w:szCs w:val="20"/>
        </w:rPr>
        <w:t xml:space="preserve">B. </w:t>
      </w:r>
      <w:r w:rsidR="000404D0" w:rsidRPr="001D792F">
        <w:rPr>
          <w:rFonts w:ascii="Arial" w:hAnsi="Arial" w:cs="Arial"/>
          <w:color w:val="000000"/>
          <w:sz w:val="20"/>
          <w:szCs w:val="20"/>
        </w:rPr>
        <w:t>Após gotejamento de 12 gotas do reagente de Nessler nas soluções em ordem crescente de concentração de NH</w:t>
      </w:r>
      <w:r w:rsidR="000404D0" w:rsidRPr="001D792F">
        <w:rPr>
          <w:rFonts w:ascii="Arial" w:hAnsi="Arial" w:cs="Arial"/>
          <w:color w:val="000000"/>
          <w:sz w:val="20"/>
          <w:szCs w:val="20"/>
          <w:vertAlign w:val="subscript"/>
        </w:rPr>
        <w:t>4</w:t>
      </w:r>
      <w:r w:rsidR="000404D0" w:rsidRPr="001D792F">
        <w:rPr>
          <w:rFonts w:ascii="Arial" w:hAnsi="Arial" w:cs="Arial"/>
          <w:color w:val="000000"/>
          <w:sz w:val="20"/>
          <w:szCs w:val="20"/>
        </w:rPr>
        <w:t>Cl.</w:t>
      </w:r>
      <w:r w:rsidR="000404D0" w:rsidRPr="001D792F">
        <w:rPr>
          <w:rFonts w:ascii="Arial" w:hAnsi="Arial" w:cs="Arial"/>
          <w:b/>
          <w:bCs/>
          <w:color w:val="000000"/>
          <w:sz w:val="20"/>
          <w:szCs w:val="20"/>
        </w:rPr>
        <w:t xml:space="preserve"> Fonte:</w:t>
      </w:r>
      <w:r w:rsidR="000404D0" w:rsidRPr="001D792F">
        <w:rPr>
          <w:rFonts w:ascii="Arial" w:hAnsi="Arial" w:cs="Arial"/>
          <w:color w:val="000000"/>
          <w:sz w:val="20"/>
          <w:szCs w:val="20"/>
        </w:rPr>
        <w:t xml:space="preserve"> Autoria própria, 2017.</w:t>
      </w:r>
      <w:r w:rsidR="00D4117A" w:rsidRPr="001D792F">
        <w:rPr>
          <w:rFonts w:ascii="Arial" w:hAnsi="Arial" w:cs="Arial"/>
          <w:b/>
          <w:bCs/>
          <w:color w:val="000000"/>
          <w:sz w:val="20"/>
          <w:szCs w:val="20"/>
        </w:rPr>
        <w:t xml:space="preserve"> </w:t>
      </w:r>
    </w:p>
    <w:p w:rsidR="001D792F" w:rsidRDefault="001D792F" w:rsidP="00E410F6">
      <w:pPr>
        <w:spacing w:after="0" w:line="276" w:lineRule="auto"/>
        <w:jc w:val="both"/>
        <w:rPr>
          <w:rFonts w:ascii="Arial" w:hAnsi="Arial" w:cs="Arial"/>
          <w:b/>
          <w:bCs/>
          <w:color w:val="000000"/>
          <w:sz w:val="20"/>
          <w:szCs w:val="20"/>
        </w:rPr>
      </w:pPr>
    </w:p>
    <w:p w:rsidR="001D792F" w:rsidRDefault="001D792F" w:rsidP="00E410F6">
      <w:pPr>
        <w:spacing w:after="0" w:line="276" w:lineRule="auto"/>
        <w:jc w:val="both"/>
        <w:rPr>
          <w:rFonts w:ascii="Arial" w:hAnsi="Arial" w:cs="Arial"/>
          <w:b/>
          <w:bCs/>
          <w:color w:val="000000"/>
          <w:sz w:val="20"/>
          <w:szCs w:val="20"/>
        </w:rPr>
      </w:pPr>
    </w:p>
    <w:p w:rsidR="001D792F" w:rsidRDefault="00D4117A" w:rsidP="00E410F6">
      <w:pPr>
        <w:spacing w:after="0" w:line="276" w:lineRule="auto"/>
        <w:jc w:val="center"/>
        <w:rPr>
          <w:rFonts w:ascii="Arial" w:hAnsi="Arial" w:cs="Arial"/>
          <w:b/>
          <w:bCs/>
          <w:color w:val="000000"/>
          <w:sz w:val="20"/>
          <w:szCs w:val="20"/>
        </w:rPr>
      </w:pPr>
      <w:r w:rsidRPr="00FA7FF4">
        <w:rPr>
          <w:rFonts w:ascii="Arial" w:hAnsi="Arial" w:cs="Arial"/>
          <w:noProof/>
          <w:sz w:val="24"/>
          <w:szCs w:val="24"/>
          <w:lang w:eastAsia="pt-BR"/>
        </w:rPr>
        <w:drawing>
          <wp:inline distT="0" distB="0" distL="0" distR="0">
            <wp:extent cx="4263390" cy="2038350"/>
            <wp:effectExtent l="0" t="0" r="0" b="0"/>
            <wp:docPr id="1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9"/>
                    <pic:cNvPicPr>
                      <a:picLocks noChangeAspect="1"/>
                    </pic:cNvPicPr>
                  </pic:nvPicPr>
                  <pic:blipFill rotWithShape="1">
                    <a:blip r:embed="rId14" cstate="print">
                      <a:extLst>
                        <a:ext uri="{28A0092B-C50C-407E-A947-70E740481C1C}">
                          <a14:useLocalDpi xmlns:a14="http://schemas.microsoft.com/office/drawing/2010/main" val="0"/>
                        </a:ext>
                      </a:extLst>
                    </a:blip>
                    <a:srcRect t="8612" b="3544"/>
                    <a:stretch/>
                  </pic:blipFill>
                  <pic:spPr bwMode="auto">
                    <a:xfrm>
                      <a:off x="0" y="0"/>
                      <a:ext cx="4263390" cy="2038350"/>
                    </a:xfrm>
                    <a:prstGeom prst="rect">
                      <a:avLst/>
                    </a:prstGeom>
                    <a:ln>
                      <a:noFill/>
                    </a:ln>
                    <a:extLst>
                      <a:ext uri="{53640926-AAD7-44D8-BBD7-CCE9431645EC}">
                        <a14:shadowObscured xmlns:a14="http://schemas.microsoft.com/office/drawing/2010/main"/>
                      </a:ext>
                    </a:extLst>
                  </pic:spPr>
                </pic:pic>
              </a:graphicData>
            </a:graphic>
          </wp:inline>
        </w:drawing>
      </w:r>
    </w:p>
    <w:p w:rsidR="00FA7FF4" w:rsidRDefault="00CD2C2F" w:rsidP="00E410F6">
      <w:pPr>
        <w:spacing w:after="0" w:line="276" w:lineRule="auto"/>
        <w:jc w:val="both"/>
      </w:pPr>
      <w:r>
        <w:rPr>
          <w:rFonts w:ascii="Arial" w:hAnsi="Arial" w:cs="Arial"/>
          <w:b/>
          <w:bCs/>
          <w:color w:val="000000"/>
          <w:sz w:val="20"/>
          <w:szCs w:val="20"/>
        </w:rPr>
        <w:t>Figura 5</w:t>
      </w:r>
      <w:r w:rsidR="00FA7FF4">
        <w:rPr>
          <w:rFonts w:ascii="Arial" w:hAnsi="Arial" w:cs="Arial"/>
          <w:b/>
          <w:bCs/>
          <w:color w:val="000000"/>
          <w:sz w:val="20"/>
          <w:szCs w:val="20"/>
        </w:rPr>
        <w:t xml:space="preserve">. </w:t>
      </w:r>
      <w:r w:rsidR="00FA7FF4">
        <w:rPr>
          <w:rFonts w:ascii="Arial" w:hAnsi="Arial" w:cs="Arial"/>
          <w:color w:val="000000"/>
          <w:sz w:val="20"/>
          <w:szCs w:val="20"/>
        </w:rPr>
        <w:t>Curva-Padrão colorimétrica utilizando o reagente de Nessler, evidenciando distinção</w:t>
      </w:r>
      <w:r w:rsidR="00C648B3">
        <w:rPr>
          <w:rFonts w:ascii="Arial" w:hAnsi="Arial" w:cs="Arial"/>
          <w:color w:val="000000"/>
          <w:sz w:val="20"/>
          <w:szCs w:val="20"/>
        </w:rPr>
        <w:t>, principalmente nos meniscos,</w:t>
      </w:r>
      <w:r w:rsidR="00FA7FF4">
        <w:rPr>
          <w:rFonts w:ascii="Arial" w:hAnsi="Arial" w:cs="Arial"/>
          <w:color w:val="000000"/>
          <w:sz w:val="20"/>
          <w:szCs w:val="20"/>
        </w:rPr>
        <w:t xml:space="preserve"> de cores em ordem crescente de concentração de NH</w:t>
      </w:r>
      <w:r w:rsidR="00FA7FF4" w:rsidRPr="00B965BA">
        <w:rPr>
          <w:rFonts w:ascii="Arial" w:hAnsi="Arial" w:cs="Arial"/>
          <w:color w:val="000000"/>
          <w:sz w:val="20"/>
          <w:szCs w:val="20"/>
          <w:vertAlign w:val="subscript"/>
        </w:rPr>
        <w:t>4</w:t>
      </w:r>
      <w:r w:rsidR="00FA7FF4">
        <w:rPr>
          <w:rFonts w:ascii="Arial" w:hAnsi="Arial" w:cs="Arial"/>
          <w:color w:val="000000"/>
          <w:sz w:val="20"/>
          <w:szCs w:val="20"/>
        </w:rPr>
        <w:t>Cl. Valores: 0</w:t>
      </w:r>
      <w:r w:rsidR="00D4117A">
        <w:rPr>
          <w:rFonts w:ascii="Arial" w:hAnsi="Arial" w:cs="Arial"/>
          <w:color w:val="000000"/>
          <w:sz w:val="20"/>
          <w:szCs w:val="20"/>
        </w:rPr>
        <w:t>,0</w:t>
      </w:r>
      <w:r w:rsidR="00FA7FF4">
        <w:rPr>
          <w:rFonts w:ascii="Arial" w:hAnsi="Arial" w:cs="Arial"/>
          <w:color w:val="000000"/>
          <w:sz w:val="20"/>
          <w:szCs w:val="20"/>
        </w:rPr>
        <w:t xml:space="preserve"> mg/L (B - Branco), 0,7 mg/L, 1,7 mg/L, 3,7 mg/L e 4,7 mg/L. </w:t>
      </w:r>
      <w:r w:rsidR="00FA7FF4">
        <w:rPr>
          <w:rFonts w:ascii="Arial" w:hAnsi="Arial" w:cs="Arial"/>
          <w:b/>
          <w:bCs/>
          <w:color w:val="000000"/>
          <w:sz w:val="20"/>
          <w:szCs w:val="20"/>
        </w:rPr>
        <w:t>Fonte:</w:t>
      </w:r>
      <w:r w:rsidR="00FA7FF4">
        <w:rPr>
          <w:rFonts w:ascii="Arial" w:hAnsi="Arial" w:cs="Arial"/>
          <w:color w:val="000000"/>
          <w:sz w:val="20"/>
          <w:szCs w:val="20"/>
        </w:rPr>
        <w:t xml:space="preserve"> Autoria própria, 2017.</w:t>
      </w:r>
    </w:p>
    <w:p w:rsidR="00131EC3" w:rsidRDefault="00131EC3" w:rsidP="00E410F6">
      <w:pPr>
        <w:spacing w:after="0" w:line="276" w:lineRule="auto"/>
        <w:rPr>
          <w:rFonts w:ascii="Arial" w:hAnsi="Arial" w:cs="Arial"/>
          <w:b/>
          <w:sz w:val="24"/>
        </w:rPr>
      </w:pPr>
    </w:p>
    <w:p w:rsidR="00812C46" w:rsidRPr="00812C46" w:rsidRDefault="00812C46" w:rsidP="00E410F6">
      <w:pPr>
        <w:spacing w:after="0" w:line="276" w:lineRule="auto"/>
        <w:ind w:firstLine="720"/>
        <w:jc w:val="both"/>
        <w:rPr>
          <w:rFonts w:ascii="Times New Roman" w:eastAsia="Times New Roman" w:hAnsi="Times New Roman" w:cs="Times New Roman"/>
          <w:sz w:val="24"/>
          <w:szCs w:val="24"/>
          <w:lang w:eastAsia="pt-BR"/>
        </w:rPr>
      </w:pPr>
      <w:r w:rsidRPr="00812C46">
        <w:rPr>
          <w:rFonts w:ascii="Arial" w:eastAsia="Times New Roman" w:hAnsi="Arial" w:cs="Arial"/>
          <w:color w:val="000000"/>
          <w:sz w:val="24"/>
          <w:szCs w:val="24"/>
          <w:lang w:eastAsia="pt-BR"/>
        </w:rPr>
        <w:t xml:space="preserve">Posto que os resultados dos testes para as amostras brutas ficaram mais evidentes nos tubos ensaio, devido ao baixo volume do líquido, do que nos béqueres, as amostras foram aliquotadas nos tubos para as posteriores análises. Em contrapartida, a curva-padrão foi evidenciada de forma mais nítida nos béqueres, bem como favoreceu uma melhor observação das microalgas presentes na amostra </w:t>
      </w:r>
      <w:r w:rsidRPr="00812C46">
        <w:rPr>
          <w:rFonts w:ascii="Arial" w:eastAsia="Times New Roman" w:hAnsi="Arial" w:cs="Arial"/>
          <w:color w:val="000000"/>
          <w:sz w:val="24"/>
          <w:szCs w:val="24"/>
          <w:lang w:eastAsia="pt-BR"/>
        </w:rPr>
        <w:lastRenderedPageBreak/>
        <w:t>do açude de Bodocongó (</w:t>
      </w:r>
      <w:r w:rsidR="00E47B81">
        <w:rPr>
          <w:rFonts w:ascii="Arial" w:eastAsia="Times New Roman" w:hAnsi="Arial" w:cs="Arial"/>
          <w:b/>
          <w:bCs/>
          <w:color w:val="000000"/>
          <w:sz w:val="24"/>
          <w:szCs w:val="24"/>
          <w:lang w:eastAsia="pt-BR"/>
        </w:rPr>
        <w:t>Figuras 4</w:t>
      </w:r>
      <w:r w:rsidRPr="00812C46">
        <w:rPr>
          <w:rFonts w:ascii="Arial" w:eastAsia="Times New Roman" w:hAnsi="Arial" w:cs="Arial"/>
          <w:b/>
          <w:bCs/>
          <w:color w:val="000000"/>
          <w:sz w:val="24"/>
          <w:szCs w:val="24"/>
          <w:lang w:eastAsia="pt-BR"/>
        </w:rPr>
        <w:t xml:space="preserve">B e </w:t>
      </w:r>
      <w:r w:rsidR="00E47B81">
        <w:rPr>
          <w:rFonts w:ascii="Arial" w:eastAsia="Times New Roman" w:hAnsi="Arial" w:cs="Arial"/>
          <w:b/>
          <w:bCs/>
          <w:color w:val="000000"/>
          <w:sz w:val="24"/>
          <w:szCs w:val="24"/>
          <w:lang w:eastAsia="pt-BR"/>
        </w:rPr>
        <w:t>5</w:t>
      </w:r>
      <w:r w:rsidRPr="00812C46">
        <w:rPr>
          <w:rFonts w:ascii="Arial" w:eastAsia="Times New Roman" w:hAnsi="Arial" w:cs="Arial"/>
          <w:color w:val="000000"/>
          <w:sz w:val="24"/>
          <w:szCs w:val="24"/>
          <w:lang w:eastAsia="pt-BR"/>
        </w:rPr>
        <w:t xml:space="preserve">, curva-padrão; </w:t>
      </w:r>
      <w:r w:rsidR="00E47B81">
        <w:rPr>
          <w:rFonts w:ascii="Arial" w:eastAsia="Times New Roman" w:hAnsi="Arial" w:cs="Arial"/>
          <w:b/>
          <w:bCs/>
          <w:color w:val="000000"/>
          <w:sz w:val="24"/>
          <w:szCs w:val="24"/>
          <w:lang w:eastAsia="pt-BR"/>
        </w:rPr>
        <w:t>Figura</w:t>
      </w:r>
      <w:r w:rsidR="001D792F">
        <w:rPr>
          <w:rFonts w:ascii="Arial" w:eastAsia="Times New Roman" w:hAnsi="Arial" w:cs="Arial"/>
          <w:b/>
          <w:bCs/>
          <w:color w:val="000000"/>
          <w:sz w:val="24"/>
          <w:szCs w:val="24"/>
          <w:lang w:eastAsia="pt-BR"/>
        </w:rPr>
        <w:t>s</w:t>
      </w:r>
      <w:r w:rsidR="00E47B81">
        <w:rPr>
          <w:rFonts w:ascii="Arial" w:eastAsia="Times New Roman" w:hAnsi="Arial" w:cs="Arial"/>
          <w:b/>
          <w:bCs/>
          <w:color w:val="000000"/>
          <w:sz w:val="24"/>
          <w:szCs w:val="24"/>
          <w:lang w:eastAsia="pt-BR"/>
        </w:rPr>
        <w:t xml:space="preserve"> 6</w:t>
      </w:r>
      <w:r w:rsidRPr="00812C46">
        <w:rPr>
          <w:rFonts w:ascii="Arial" w:eastAsia="Times New Roman" w:hAnsi="Arial" w:cs="Arial"/>
          <w:b/>
          <w:bCs/>
          <w:color w:val="000000"/>
          <w:sz w:val="24"/>
          <w:szCs w:val="24"/>
          <w:lang w:eastAsia="pt-BR"/>
        </w:rPr>
        <w:t xml:space="preserve"> e </w:t>
      </w:r>
      <w:r w:rsidR="00E47B81">
        <w:rPr>
          <w:rFonts w:ascii="Arial" w:eastAsia="Times New Roman" w:hAnsi="Arial" w:cs="Arial"/>
          <w:b/>
          <w:bCs/>
          <w:color w:val="000000"/>
          <w:sz w:val="24"/>
          <w:szCs w:val="24"/>
          <w:lang w:eastAsia="pt-BR"/>
        </w:rPr>
        <w:t>7</w:t>
      </w:r>
      <w:r w:rsidRPr="00812C46">
        <w:rPr>
          <w:rFonts w:ascii="Arial" w:eastAsia="Times New Roman" w:hAnsi="Arial" w:cs="Arial"/>
          <w:color w:val="000000"/>
          <w:sz w:val="24"/>
          <w:szCs w:val="24"/>
          <w:lang w:eastAsia="pt-BR"/>
        </w:rPr>
        <w:t xml:space="preserve">, alíquota do açude de Bodocongó). </w:t>
      </w:r>
    </w:p>
    <w:p w:rsidR="00812C46" w:rsidRPr="00812C46" w:rsidRDefault="00812C46" w:rsidP="00E410F6">
      <w:pPr>
        <w:spacing w:after="0" w:line="276" w:lineRule="auto"/>
        <w:ind w:firstLine="720"/>
        <w:jc w:val="both"/>
        <w:rPr>
          <w:rFonts w:ascii="Times New Roman" w:eastAsia="Times New Roman" w:hAnsi="Times New Roman" w:cs="Times New Roman"/>
          <w:sz w:val="24"/>
          <w:szCs w:val="24"/>
          <w:lang w:eastAsia="pt-BR"/>
        </w:rPr>
      </w:pPr>
      <w:r w:rsidRPr="00812C46">
        <w:rPr>
          <w:rFonts w:ascii="Arial" w:eastAsia="Times New Roman" w:hAnsi="Arial" w:cs="Arial"/>
          <w:color w:val="000000"/>
          <w:sz w:val="24"/>
          <w:szCs w:val="24"/>
          <w:lang w:eastAsia="pt-BR"/>
        </w:rPr>
        <w:t>Ao medir-se os pHs das amostras brutas e filtradas, verificou-se que o pH permaneceu constante, de modo que a água dos reservatórios de Bodocongó, Boqueirão e UNIFACISA apresentaram, respectivamente, pHs de 8,26,  8,5 e 9,43.</w:t>
      </w:r>
    </w:p>
    <w:p w:rsidR="00F30EAA" w:rsidRDefault="00F30EAA" w:rsidP="00E410F6">
      <w:pPr>
        <w:pStyle w:val="NormalWeb"/>
        <w:spacing w:before="0" w:beforeAutospacing="0" w:after="0" w:afterAutospacing="0" w:line="276" w:lineRule="auto"/>
        <w:ind w:firstLine="720"/>
        <w:jc w:val="both"/>
        <w:rPr>
          <w:rFonts w:ascii="Arial" w:hAnsi="Arial" w:cs="Arial"/>
          <w:color w:val="000000"/>
        </w:rPr>
      </w:pPr>
    </w:p>
    <w:p w:rsidR="00F30EAA" w:rsidRDefault="00F30EAA" w:rsidP="00E410F6">
      <w:pPr>
        <w:pStyle w:val="NormalWeb"/>
        <w:spacing w:before="0" w:beforeAutospacing="0" w:after="0" w:afterAutospacing="0" w:line="276" w:lineRule="auto"/>
        <w:jc w:val="center"/>
      </w:pPr>
      <w:r>
        <w:rPr>
          <w:noProof/>
        </w:rPr>
        <w:drawing>
          <wp:inline distT="0" distB="0" distL="0" distR="0">
            <wp:extent cx="1600200" cy="2276475"/>
            <wp:effectExtent l="0" t="0" r="0" b="0"/>
            <wp:docPr id="3" name="Imagem 3" descr="https://lh6.googleusercontent.com/0UQv9Eyn_z0xK0uKREMXEF3ZowVSgmODI48BfDrx1fP8k_e5CpLo0VVCbAzQthwo7OzbSDXqDNR6AaUhO9YyLAfYFB7ttDureN9aJ5W5G0RZ8Gg0xcQkG_sXs4ZyrZJrSbKZQ4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0UQv9Eyn_z0xK0uKREMXEF3ZowVSgmODI48BfDrx1fP8k_e5CpLo0VVCbAzQthwo7OzbSDXqDNR6AaUhO9YyLAfYFB7ttDureN9aJ5W5G0RZ8Gg0xcQkG_sXs4ZyrZJrSbKZQ4Q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2276475"/>
                    </a:xfrm>
                    <a:prstGeom prst="rect">
                      <a:avLst/>
                    </a:prstGeom>
                    <a:noFill/>
                    <a:ln>
                      <a:noFill/>
                    </a:ln>
                  </pic:spPr>
                </pic:pic>
              </a:graphicData>
            </a:graphic>
          </wp:inline>
        </w:drawing>
      </w:r>
    </w:p>
    <w:p w:rsidR="00F30EAA" w:rsidRPr="00F30EAA" w:rsidRDefault="00B958ED" w:rsidP="00E410F6">
      <w:pPr>
        <w:spacing w:after="0" w:line="276" w:lineRule="auto"/>
        <w:jc w:val="both"/>
        <w:rPr>
          <w:rFonts w:ascii="Times New Roman" w:eastAsia="Times New Roman" w:hAnsi="Times New Roman" w:cs="Times New Roman"/>
          <w:sz w:val="24"/>
          <w:szCs w:val="24"/>
          <w:lang w:eastAsia="pt-BR"/>
        </w:rPr>
      </w:pPr>
      <w:r>
        <w:rPr>
          <w:rFonts w:ascii="Arial" w:eastAsia="Times New Roman" w:hAnsi="Arial" w:cs="Arial"/>
          <w:b/>
          <w:bCs/>
          <w:color w:val="000000"/>
          <w:sz w:val="20"/>
          <w:szCs w:val="20"/>
          <w:lang w:eastAsia="pt-BR"/>
        </w:rPr>
        <w:t>Figura 6</w:t>
      </w:r>
      <w:r w:rsidR="00F30EAA" w:rsidRPr="00F30EAA">
        <w:rPr>
          <w:rFonts w:ascii="Arial" w:eastAsia="Times New Roman" w:hAnsi="Arial" w:cs="Arial"/>
          <w:b/>
          <w:bCs/>
          <w:color w:val="000000"/>
          <w:sz w:val="20"/>
          <w:szCs w:val="20"/>
          <w:lang w:eastAsia="pt-BR"/>
        </w:rPr>
        <w:t xml:space="preserve"> - </w:t>
      </w:r>
      <w:r w:rsidR="00F30EAA" w:rsidRPr="00F30EAA">
        <w:rPr>
          <w:rFonts w:ascii="Arial" w:eastAsia="Times New Roman" w:hAnsi="Arial" w:cs="Arial"/>
          <w:color w:val="000000"/>
          <w:sz w:val="20"/>
          <w:szCs w:val="20"/>
          <w:lang w:eastAsia="pt-BR"/>
        </w:rPr>
        <w:t>Amostra bruta do açude de Bodocongó, com aspecto turvo devido à presença de clorofila oriunda de seres fotossintetizantes presentes na amostra. Fonte: Autoria própria, 2017.</w:t>
      </w:r>
    </w:p>
    <w:p w:rsidR="00F30EAA" w:rsidRPr="00F30EAA" w:rsidRDefault="00F30EAA" w:rsidP="00E410F6">
      <w:pPr>
        <w:spacing w:after="0" w:line="276" w:lineRule="auto"/>
        <w:rPr>
          <w:rFonts w:ascii="Times New Roman" w:eastAsia="Times New Roman" w:hAnsi="Times New Roman" w:cs="Times New Roman"/>
          <w:sz w:val="24"/>
          <w:szCs w:val="24"/>
          <w:lang w:eastAsia="pt-BR"/>
        </w:rPr>
      </w:pPr>
    </w:p>
    <w:p w:rsidR="00812C46" w:rsidRPr="00812C46" w:rsidRDefault="00812C46" w:rsidP="00E410F6">
      <w:pPr>
        <w:spacing w:after="0" w:line="276" w:lineRule="auto"/>
        <w:ind w:right="140" w:firstLine="720"/>
        <w:jc w:val="both"/>
        <w:rPr>
          <w:rFonts w:ascii="Times New Roman" w:eastAsia="Times New Roman" w:hAnsi="Times New Roman" w:cs="Times New Roman"/>
          <w:sz w:val="24"/>
          <w:szCs w:val="24"/>
          <w:lang w:eastAsia="pt-BR"/>
        </w:rPr>
      </w:pPr>
      <w:r w:rsidRPr="00812C46">
        <w:rPr>
          <w:rFonts w:ascii="Arial" w:eastAsia="Times New Roman" w:hAnsi="Arial" w:cs="Arial"/>
          <w:color w:val="000000"/>
          <w:sz w:val="24"/>
          <w:szCs w:val="24"/>
          <w:shd w:val="clear" w:color="auto" w:fill="FFFFFF"/>
          <w:lang w:eastAsia="pt-BR"/>
        </w:rPr>
        <w:t xml:space="preserve">Considerando os limites de nitrogênio amoniacal para águas doces de classe 1, 2 e 3, para o açude de Bodocongó (pH 8,26), a alíquota de 2 ml da amostra bruta, verificou-se um valor de concentração entre 0,7 mg/L e 1,7 mg/L, mais próximo de 1,7mg/L, na curva-padrão colorimétrica elaborada, conforme a </w:t>
      </w:r>
      <w:r>
        <w:rPr>
          <w:rFonts w:ascii="Arial" w:eastAsia="Times New Roman" w:hAnsi="Arial" w:cs="Arial"/>
          <w:b/>
          <w:bCs/>
          <w:color w:val="000000"/>
          <w:sz w:val="24"/>
          <w:szCs w:val="24"/>
          <w:shd w:val="clear" w:color="auto" w:fill="FFFFFF"/>
          <w:lang w:eastAsia="pt-BR"/>
        </w:rPr>
        <w:t>Figura 7</w:t>
      </w:r>
      <w:r w:rsidRPr="00812C46">
        <w:rPr>
          <w:rFonts w:ascii="Arial" w:eastAsia="Times New Roman" w:hAnsi="Arial" w:cs="Arial"/>
          <w:color w:val="000000"/>
          <w:sz w:val="24"/>
          <w:szCs w:val="24"/>
          <w:shd w:val="clear" w:color="auto" w:fill="FFFFFF"/>
          <w:lang w:eastAsia="pt-BR"/>
        </w:rPr>
        <w:t>, não levando em consideração possíveis interferentes.</w:t>
      </w:r>
    </w:p>
    <w:p w:rsidR="00812C46" w:rsidRPr="00812C46" w:rsidRDefault="00812C46" w:rsidP="00E410F6">
      <w:pPr>
        <w:spacing w:after="0" w:line="276" w:lineRule="auto"/>
        <w:ind w:right="140" w:firstLine="720"/>
        <w:jc w:val="both"/>
        <w:rPr>
          <w:rFonts w:ascii="Times New Roman" w:eastAsia="Times New Roman" w:hAnsi="Times New Roman" w:cs="Times New Roman"/>
          <w:sz w:val="24"/>
          <w:szCs w:val="24"/>
          <w:lang w:eastAsia="pt-BR"/>
        </w:rPr>
      </w:pPr>
      <w:r w:rsidRPr="00812C46">
        <w:rPr>
          <w:rFonts w:ascii="Arial" w:eastAsia="Times New Roman" w:hAnsi="Arial" w:cs="Arial"/>
          <w:color w:val="000000"/>
          <w:sz w:val="24"/>
          <w:szCs w:val="24"/>
          <w:shd w:val="clear" w:color="auto" w:fill="FFFFFF"/>
          <w:lang w:eastAsia="pt-BR"/>
        </w:rPr>
        <w:t>Tendo em vista os limites de, até 1mg/L para as classes 1 e 2, e até 2,2 mg/L para a classe 3 de água doce, sugere-se uma incompatibilidade da amostra para com os dados instituídos pelo CONAMA para as classes 1 e 2. Sendo assim, analisando apenas o valor máximo permitido (VMP) de nitrogênio amoniacal para cada classe, verifica-se que essa alíquota tende a se enquadrar em águas doces do tipo 3. Considerando os limites instituídos para águas salobras, 0,4 mg/L e 0,7 mg/L, de classe 1 e 2, há uma relativa discrepância, não podendo, de acordo com o teste realizado, enquadrar essa amostra nessas classes de água</w:t>
      </w:r>
      <w:r w:rsidR="00B958ED">
        <w:rPr>
          <w:rFonts w:ascii="Arial" w:eastAsia="Times New Roman" w:hAnsi="Arial" w:cs="Arial"/>
          <w:color w:val="000000"/>
          <w:sz w:val="24"/>
          <w:szCs w:val="24"/>
          <w:shd w:val="clear" w:color="auto" w:fill="FFFFFF"/>
          <w:lang w:eastAsia="pt-BR"/>
        </w:rPr>
        <w:t>, conforme apresentado n</w:t>
      </w:r>
      <w:r w:rsidR="001D792F">
        <w:rPr>
          <w:rFonts w:ascii="Arial" w:eastAsia="Times New Roman" w:hAnsi="Arial" w:cs="Arial"/>
          <w:color w:val="000000"/>
          <w:sz w:val="24"/>
          <w:szCs w:val="24"/>
          <w:shd w:val="clear" w:color="auto" w:fill="FFFFFF"/>
          <w:lang w:eastAsia="pt-BR"/>
        </w:rPr>
        <w:t>o</w:t>
      </w:r>
      <w:r w:rsidR="00B958ED">
        <w:rPr>
          <w:rFonts w:ascii="Arial" w:eastAsia="Times New Roman" w:hAnsi="Arial" w:cs="Arial"/>
          <w:color w:val="000000"/>
          <w:sz w:val="24"/>
          <w:szCs w:val="24"/>
          <w:shd w:val="clear" w:color="auto" w:fill="FFFFFF"/>
          <w:lang w:eastAsia="pt-BR"/>
        </w:rPr>
        <w:t xml:space="preserve"> </w:t>
      </w:r>
      <w:r w:rsidR="001D792F">
        <w:rPr>
          <w:rFonts w:ascii="Arial" w:eastAsia="Times New Roman" w:hAnsi="Arial" w:cs="Arial"/>
          <w:b/>
          <w:color w:val="000000"/>
          <w:sz w:val="24"/>
          <w:szCs w:val="24"/>
          <w:shd w:val="clear" w:color="auto" w:fill="FFFFFF"/>
          <w:lang w:eastAsia="pt-BR"/>
        </w:rPr>
        <w:t>Quadro</w:t>
      </w:r>
      <w:r w:rsidR="00B958ED" w:rsidRPr="00B958ED">
        <w:rPr>
          <w:rFonts w:ascii="Arial" w:eastAsia="Times New Roman" w:hAnsi="Arial" w:cs="Arial"/>
          <w:b/>
          <w:color w:val="000000"/>
          <w:sz w:val="24"/>
          <w:szCs w:val="24"/>
          <w:shd w:val="clear" w:color="auto" w:fill="FFFFFF"/>
          <w:lang w:eastAsia="pt-BR"/>
        </w:rPr>
        <w:t xml:space="preserve"> 1</w:t>
      </w:r>
      <w:r w:rsidR="00B958ED">
        <w:rPr>
          <w:rFonts w:ascii="Arial" w:eastAsia="Times New Roman" w:hAnsi="Arial" w:cs="Arial"/>
          <w:color w:val="000000"/>
          <w:sz w:val="24"/>
          <w:szCs w:val="24"/>
          <w:shd w:val="clear" w:color="auto" w:fill="FFFFFF"/>
          <w:lang w:eastAsia="pt-BR"/>
        </w:rPr>
        <w:t>.</w:t>
      </w:r>
    </w:p>
    <w:p w:rsidR="00812C46" w:rsidRPr="00812C46" w:rsidRDefault="00812C46" w:rsidP="00E410F6">
      <w:pPr>
        <w:spacing w:after="0" w:line="276" w:lineRule="auto"/>
        <w:ind w:right="140" w:firstLine="720"/>
        <w:jc w:val="both"/>
        <w:rPr>
          <w:rFonts w:ascii="Times New Roman" w:eastAsia="Times New Roman" w:hAnsi="Times New Roman" w:cs="Times New Roman"/>
          <w:sz w:val="24"/>
          <w:szCs w:val="24"/>
          <w:lang w:eastAsia="pt-BR"/>
        </w:rPr>
      </w:pPr>
      <w:r w:rsidRPr="00812C46">
        <w:rPr>
          <w:rFonts w:ascii="Arial" w:eastAsia="Times New Roman" w:hAnsi="Arial" w:cs="Arial"/>
          <w:color w:val="000000"/>
          <w:sz w:val="24"/>
          <w:szCs w:val="24"/>
          <w:shd w:val="clear" w:color="auto" w:fill="FFFFFF"/>
          <w:lang w:eastAsia="pt-BR"/>
        </w:rPr>
        <w:t xml:space="preserve">Porém, para a classificação dessas águas, deve-se levar em consideração que a amostra foi coletada em apenas um único ponto do entorno de cada ambiente lêntico do estudo. Além disso, há outros parâmetros, além do nitrogênio amoniacal, que devem ser avaliados para definir-se o grau de trofia de cada ambiente, como por exemplo, clorofila a, ortofosfato solúvel e fósforo total (LAMPARELLI, 2004), mas devido ao fato do nitrogênio ser um nutriente limitante no ambiente e sua forma amoniacal ser a mais reativa </w:t>
      </w:r>
      <w:r w:rsidRPr="00812C46">
        <w:rPr>
          <w:rFonts w:ascii="Arial" w:eastAsia="Times New Roman" w:hAnsi="Arial" w:cs="Arial"/>
          <w:color w:val="000000"/>
          <w:sz w:val="24"/>
          <w:szCs w:val="24"/>
          <w:lang w:eastAsia="pt-BR"/>
        </w:rPr>
        <w:t>(ESTEVES, 1998 apud KINDLEIN, 2010)</w:t>
      </w:r>
      <w:r w:rsidRPr="00812C46">
        <w:rPr>
          <w:rFonts w:ascii="Arial" w:eastAsia="Times New Roman" w:hAnsi="Arial" w:cs="Arial"/>
          <w:color w:val="000000"/>
          <w:sz w:val="24"/>
          <w:szCs w:val="24"/>
          <w:shd w:val="clear" w:color="auto" w:fill="FFFFFF"/>
          <w:lang w:eastAsia="pt-BR"/>
        </w:rPr>
        <w:t xml:space="preserve">, a mensuração do VMP para o mesmo, faz-se de suma importância na análise semiquantitativa. </w:t>
      </w:r>
    </w:p>
    <w:p w:rsidR="00F30EAA" w:rsidRDefault="00812C46" w:rsidP="00E410F6">
      <w:pPr>
        <w:spacing w:after="0" w:line="276" w:lineRule="auto"/>
        <w:ind w:right="140" w:firstLine="720"/>
        <w:jc w:val="both"/>
        <w:rPr>
          <w:rFonts w:ascii="Arial" w:eastAsia="Times New Roman" w:hAnsi="Arial" w:cs="Arial"/>
          <w:color w:val="000000"/>
          <w:sz w:val="24"/>
          <w:szCs w:val="24"/>
          <w:shd w:val="clear" w:color="auto" w:fill="FFFFFF"/>
          <w:lang w:eastAsia="pt-BR"/>
        </w:rPr>
      </w:pPr>
      <w:r w:rsidRPr="00812C46">
        <w:rPr>
          <w:rFonts w:ascii="Arial" w:eastAsia="Times New Roman" w:hAnsi="Arial" w:cs="Arial"/>
          <w:color w:val="000000"/>
          <w:sz w:val="24"/>
          <w:szCs w:val="24"/>
          <w:shd w:val="clear" w:color="auto" w:fill="FFFFFF"/>
          <w:lang w:eastAsia="pt-BR"/>
        </w:rPr>
        <w:lastRenderedPageBreak/>
        <w:t xml:space="preserve">Para a alíquota previamente filtrada, observou-se uma leve redução colorimétrica, podendo estar relacionada à retirada parcial das microalgas e de impurezas. A presença das microalgas pode representar-se como interferente ao teste devido aos pigmentos fotossintetizantes que possuem. Conforme a </w:t>
      </w:r>
      <w:r w:rsidRPr="00812C46">
        <w:rPr>
          <w:rFonts w:ascii="Arial" w:eastAsia="Times New Roman" w:hAnsi="Arial" w:cs="Arial"/>
          <w:b/>
          <w:bCs/>
          <w:color w:val="000000"/>
          <w:sz w:val="24"/>
          <w:szCs w:val="24"/>
          <w:shd w:val="clear" w:color="auto" w:fill="FFFFFF"/>
          <w:lang w:eastAsia="pt-BR"/>
        </w:rPr>
        <w:t>Figura 7</w:t>
      </w:r>
      <w:r w:rsidRPr="00812C46">
        <w:rPr>
          <w:rFonts w:ascii="Arial" w:eastAsia="Times New Roman" w:hAnsi="Arial" w:cs="Arial"/>
          <w:color w:val="000000"/>
          <w:sz w:val="24"/>
          <w:szCs w:val="24"/>
          <w:shd w:val="clear" w:color="auto" w:fill="FFFFFF"/>
          <w:lang w:eastAsia="pt-BR"/>
        </w:rPr>
        <w:t>, é possível notar essa leve mudança colorimétrica na conformação dos meniscos das amostras 6 e 7, sendo a amostra 6, a previamente filtrada</w:t>
      </w:r>
      <w:r w:rsidR="00B958ED">
        <w:rPr>
          <w:rFonts w:ascii="Arial" w:eastAsia="Times New Roman" w:hAnsi="Arial" w:cs="Arial"/>
          <w:color w:val="000000"/>
          <w:sz w:val="24"/>
          <w:szCs w:val="24"/>
          <w:shd w:val="clear" w:color="auto" w:fill="FFFFFF"/>
          <w:lang w:eastAsia="pt-BR"/>
        </w:rPr>
        <w:t xml:space="preserve"> (BdF) e a 7, a bruta (BdB)</w:t>
      </w:r>
      <w:r w:rsidRPr="00812C46">
        <w:rPr>
          <w:rFonts w:ascii="Arial" w:eastAsia="Times New Roman" w:hAnsi="Arial" w:cs="Arial"/>
          <w:color w:val="000000"/>
          <w:sz w:val="24"/>
          <w:szCs w:val="24"/>
          <w:shd w:val="clear" w:color="auto" w:fill="FFFFFF"/>
          <w:lang w:eastAsia="pt-BR"/>
        </w:rPr>
        <w:t>.</w:t>
      </w:r>
    </w:p>
    <w:p w:rsidR="001D792F" w:rsidRPr="00812C46" w:rsidRDefault="001D792F" w:rsidP="00E410F6">
      <w:pPr>
        <w:spacing w:after="0" w:line="276" w:lineRule="auto"/>
        <w:ind w:right="140" w:firstLine="720"/>
        <w:jc w:val="both"/>
        <w:rPr>
          <w:rFonts w:ascii="Times New Roman" w:eastAsia="Times New Roman" w:hAnsi="Times New Roman" w:cs="Times New Roman"/>
          <w:sz w:val="24"/>
          <w:szCs w:val="24"/>
          <w:lang w:eastAsia="pt-BR"/>
        </w:rPr>
      </w:pPr>
    </w:p>
    <w:p w:rsidR="00CD2C2F" w:rsidRDefault="00CD2C2F" w:rsidP="00E410F6">
      <w:pPr>
        <w:pStyle w:val="NormalWeb"/>
        <w:spacing w:before="0" w:beforeAutospacing="0" w:after="0" w:afterAutospacing="0" w:line="276" w:lineRule="auto"/>
        <w:jc w:val="center"/>
      </w:pPr>
      <w:r w:rsidRPr="00CD2C2F">
        <w:rPr>
          <w:rFonts w:ascii="Arial" w:hAnsi="Arial" w:cs="Arial"/>
          <w:noProof/>
        </w:rPr>
        <w:drawing>
          <wp:inline distT="0" distB="0" distL="0" distR="0">
            <wp:extent cx="3796606" cy="1591295"/>
            <wp:effectExtent l="0" t="0" r="0" b="0"/>
            <wp:docPr id="14" name="Imagem 14" descr="C:\Users\alex_\Desktop\BDB B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_\Desktop\BDB BD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0946" cy="1630836"/>
                    </a:xfrm>
                    <a:prstGeom prst="rect">
                      <a:avLst/>
                    </a:prstGeom>
                    <a:noFill/>
                    <a:ln>
                      <a:noFill/>
                    </a:ln>
                  </pic:spPr>
                </pic:pic>
              </a:graphicData>
            </a:graphic>
          </wp:inline>
        </w:drawing>
      </w:r>
    </w:p>
    <w:p w:rsidR="00F30EAA" w:rsidRPr="001F283A" w:rsidRDefault="00CD2C2F" w:rsidP="00E410F6">
      <w:pPr>
        <w:pStyle w:val="NormalWeb"/>
        <w:spacing w:before="0" w:beforeAutospacing="0" w:after="0" w:afterAutospacing="0" w:line="276" w:lineRule="auto"/>
        <w:jc w:val="both"/>
        <w:rPr>
          <w:rFonts w:ascii="Arial" w:hAnsi="Arial" w:cs="Arial"/>
          <w:sz w:val="20"/>
        </w:rPr>
      </w:pPr>
      <w:r>
        <w:rPr>
          <w:rFonts w:ascii="Arial" w:hAnsi="Arial" w:cs="Arial"/>
          <w:b/>
          <w:sz w:val="20"/>
        </w:rPr>
        <w:t xml:space="preserve">Figura 7. </w:t>
      </w:r>
      <w:r w:rsidR="001F283A">
        <w:rPr>
          <w:rFonts w:ascii="Arial" w:hAnsi="Arial" w:cs="Arial"/>
          <w:sz w:val="20"/>
        </w:rPr>
        <w:t>Comparação de alíquotas das amostras do açude de Bodocongó com a curva colorimétrica</w:t>
      </w:r>
      <w:r w:rsidR="001F283A">
        <w:rPr>
          <w:rFonts w:ascii="Arial" w:hAnsi="Arial" w:cs="Arial"/>
          <w:b/>
          <w:sz w:val="20"/>
        </w:rPr>
        <w:t xml:space="preserve">. </w:t>
      </w:r>
      <w:r w:rsidR="001F283A">
        <w:rPr>
          <w:rFonts w:ascii="Arial" w:hAnsi="Arial" w:cs="Arial"/>
          <w:sz w:val="20"/>
        </w:rPr>
        <w:t>Fonte: Autoria própria, 2017.</w:t>
      </w:r>
    </w:p>
    <w:p w:rsidR="000B62C6" w:rsidRPr="00CD2C2F" w:rsidRDefault="000B62C6" w:rsidP="00E410F6">
      <w:pPr>
        <w:pStyle w:val="NormalWeb"/>
        <w:spacing w:before="0" w:beforeAutospacing="0" w:after="0" w:afterAutospacing="0" w:line="276" w:lineRule="auto"/>
        <w:rPr>
          <w:rFonts w:ascii="Arial" w:hAnsi="Arial" w:cs="Arial"/>
        </w:rPr>
      </w:pPr>
    </w:p>
    <w:p w:rsidR="00812C46" w:rsidRDefault="00812C46" w:rsidP="00E410F6">
      <w:pPr>
        <w:spacing w:after="0" w:line="276" w:lineRule="auto"/>
        <w:ind w:right="140" w:firstLine="720"/>
        <w:jc w:val="both"/>
        <w:rPr>
          <w:rFonts w:ascii="Arial" w:eastAsia="Times New Roman" w:hAnsi="Arial" w:cs="Arial"/>
          <w:color w:val="000000"/>
          <w:sz w:val="24"/>
          <w:szCs w:val="24"/>
          <w:shd w:val="clear" w:color="auto" w:fill="FFFFFF"/>
          <w:lang w:eastAsia="pt-BR"/>
        </w:rPr>
      </w:pPr>
      <w:r w:rsidRPr="00812C46">
        <w:rPr>
          <w:rFonts w:ascii="Arial" w:eastAsia="Times New Roman" w:hAnsi="Arial" w:cs="Arial"/>
          <w:color w:val="000000"/>
          <w:sz w:val="24"/>
          <w:szCs w:val="24"/>
          <w:shd w:val="clear" w:color="auto" w:fill="FFFFFF"/>
          <w:lang w:eastAsia="pt-BR"/>
        </w:rPr>
        <w:t>Devido às características abordadas anteriormente acerca da água deste açude no que se refere à insalubridade decorrente da atual demanda de efluentes clandestinos provenientes industriais e domésticos, ricos em matéria orgânica (DUARTE, 1998; ABÍLIO, 2006; DINIZ, 2006; CARVALHO, 2008 apud MOURA, 2012) e à salinidade excessiva do mesmo, pode-se compreender o porquê da mesma não ser própria para o consumo humano quando em estado bruto.</w:t>
      </w:r>
    </w:p>
    <w:p w:rsidR="001D792F" w:rsidRDefault="001D792F" w:rsidP="00E410F6">
      <w:pPr>
        <w:spacing w:after="0" w:line="276" w:lineRule="auto"/>
        <w:ind w:right="140" w:firstLine="720"/>
        <w:jc w:val="both"/>
        <w:rPr>
          <w:rFonts w:ascii="Arial" w:eastAsia="Times New Roman" w:hAnsi="Arial" w:cs="Arial"/>
          <w:color w:val="000000"/>
          <w:sz w:val="24"/>
          <w:szCs w:val="24"/>
          <w:shd w:val="clear" w:color="auto" w:fill="FFFFFF"/>
          <w:lang w:eastAsia="pt-BR"/>
        </w:rPr>
      </w:pPr>
      <w:r w:rsidRPr="00812C46">
        <w:rPr>
          <w:rFonts w:ascii="Arial" w:eastAsia="Times New Roman" w:hAnsi="Arial" w:cs="Arial"/>
          <w:color w:val="000000"/>
          <w:sz w:val="24"/>
          <w:szCs w:val="24"/>
          <w:shd w:val="clear" w:color="auto" w:fill="FFFFFF"/>
          <w:lang w:eastAsia="pt-BR"/>
        </w:rPr>
        <w:t>A amostra do açude de Boqueirão apresentou o VMP similar ao de Bodocongó para as classes de água doce, tendo em vista o pH aferido de 8,5. Em sua análise, verificou-se que as alíquotas aparentavam também estar entre 0,7mg/L e 1,7 mg/L. Todavia, dessa vez estando bem mais próximas de 0,7 mg/L do que de 1,7 mg/L (</w:t>
      </w:r>
      <w:r w:rsidRPr="00812C46">
        <w:rPr>
          <w:rFonts w:ascii="Arial" w:eastAsia="Times New Roman" w:hAnsi="Arial" w:cs="Arial"/>
          <w:b/>
          <w:bCs/>
          <w:color w:val="000000"/>
          <w:sz w:val="24"/>
          <w:szCs w:val="24"/>
          <w:shd w:val="clear" w:color="auto" w:fill="FFFFFF"/>
          <w:lang w:eastAsia="pt-BR"/>
        </w:rPr>
        <w:t>Figura 8</w:t>
      </w:r>
      <w:r w:rsidRPr="00812C46">
        <w:rPr>
          <w:rFonts w:ascii="Arial" w:eastAsia="Times New Roman" w:hAnsi="Arial" w:cs="Arial"/>
          <w:color w:val="000000"/>
          <w:sz w:val="24"/>
          <w:szCs w:val="24"/>
          <w:shd w:val="clear" w:color="auto" w:fill="FFFFFF"/>
          <w:lang w:eastAsia="pt-BR"/>
        </w:rPr>
        <w:t>), sugerindo então que seu enquadramento seria em classe 1 ou 2, ao contrário de Bodocongó. Também não levando em consideração possíveis interferentes.</w:t>
      </w:r>
    </w:p>
    <w:p w:rsidR="001D792F" w:rsidRPr="00812C46" w:rsidRDefault="001D792F" w:rsidP="00E410F6">
      <w:pPr>
        <w:spacing w:after="0" w:line="276" w:lineRule="auto"/>
        <w:ind w:right="140" w:firstLine="720"/>
        <w:jc w:val="both"/>
        <w:rPr>
          <w:rFonts w:ascii="Times New Roman" w:eastAsia="Times New Roman" w:hAnsi="Times New Roman" w:cs="Times New Roman"/>
          <w:sz w:val="24"/>
          <w:szCs w:val="24"/>
          <w:lang w:eastAsia="pt-BR"/>
        </w:rPr>
      </w:pPr>
    </w:p>
    <w:p w:rsidR="00055C2D" w:rsidRDefault="001D792F" w:rsidP="00E410F6">
      <w:pPr>
        <w:spacing w:after="0" w:line="276" w:lineRule="auto"/>
        <w:ind w:right="140" w:firstLine="720"/>
        <w:jc w:val="center"/>
        <w:rPr>
          <w:rFonts w:ascii="Arial" w:eastAsia="Times New Roman" w:hAnsi="Arial" w:cs="Arial"/>
          <w:color w:val="000000"/>
          <w:sz w:val="24"/>
          <w:szCs w:val="24"/>
          <w:shd w:val="clear" w:color="auto" w:fill="FFFFFF"/>
          <w:lang w:eastAsia="pt-BR"/>
        </w:rPr>
      </w:pPr>
      <w:r>
        <w:rPr>
          <w:rFonts w:ascii="Arial" w:eastAsia="Times New Roman" w:hAnsi="Arial" w:cs="Arial"/>
          <w:noProof/>
          <w:color w:val="000000"/>
          <w:sz w:val="24"/>
          <w:szCs w:val="24"/>
          <w:lang w:eastAsia="pt-BR"/>
        </w:rPr>
        <w:drawing>
          <wp:inline distT="0" distB="0" distL="0" distR="0">
            <wp:extent cx="4257447" cy="1807473"/>
            <wp:effectExtent l="0" t="0" r="0" b="0"/>
            <wp:docPr id="1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82897" cy="1818278"/>
                    </a:xfrm>
                    <a:prstGeom prst="rect">
                      <a:avLst/>
                    </a:prstGeom>
                  </pic:spPr>
                </pic:pic>
              </a:graphicData>
            </a:graphic>
          </wp:inline>
        </w:drawing>
      </w:r>
    </w:p>
    <w:p w:rsidR="008F0829" w:rsidRDefault="00812C46" w:rsidP="00E410F6">
      <w:pPr>
        <w:spacing w:after="0" w:line="276" w:lineRule="auto"/>
        <w:ind w:right="140"/>
        <w:jc w:val="both"/>
        <w:rPr>
          <w:rFonts w:ascii="Arial" w:eastAsia="Times New Roman" w:hAnsi="Arial" w:cs="Arial"/>
          <w:color w:val="000000"/>
          <w:sz w:val="20"/>
          <w:szCs w:val="24"/>
          <w:shd w:val="clear" w:color="auto" w:fill="FFFFFF"/>
          <w:lang w:eastAsia="pt-BR"/>
        </w:rPr>
      </w:pPr>
      <w:r w:rsidRPr="008F0829">
        <w:rPr>
          <w:rFonts w:ascii="Arial" w:eastAsia="Times New Roman" w:hAnsi="Arial" w:cs="Arial"/>
          <w:b/>
          <w:color w:val="000000"/>
          <w:sz w:val="20"/>
          <w:szCs w:val="24"/>
          <w:shd w:val="clear" w:color="auto" w:fill="FFFFFF"/>
          <w:lang w:eastAsia="pt-BR"/>
        </w:rPr>
        <w:lastRenderedPageBreak/>
        <w:t>F</w:t>
      </w:r>
      <w:r w:rsidRPr="00812C46">
        <w:rPr>
          <w:rFonts w:ascii="Arial" w:eastAsia="Times New Roman" w:hAnsi="Arial" w:cs="Arial"/>
          <w:b/>
          <w:color w:val="000000"/>
          <w:sz w:val="20"/>
          <w:szCs w:val="24"/>
          <w:shd w:val="clear" w:color="auto" w:fill="FFFFFF"/>
          <w:lang w:eastAsia="pt-BR"/>
        </w:rPr>
        <w:t>igura 8.</w:t>
      </w:r>
      <w:r w:rsidR="008F0829">
        <w:rPr>
          <w:rFonts w:ascii="Arial" w:eastAsia="Times New Roman" w:hAnsi="Arial" w:cs="Arial"/>
          <w:b/>
          <w:color w:val="000000"/>
          <w:sz w:val="20"/>
          <w:szCs w:val="24"/>
          <w:shd w:val="clear" w:color="auto" w:fill="FFFFFF"/>
          <w:lang w:eastAsia="pt-BR"/>
        </w:rPr>
        <w:t xml:space="preserve"> </w:t>
      </w:r>
      <w:r w:rsidR="008F0829">
        <w:rPr>
          <w:rFonts w:ascii="Arial" w:hAnsi="Arial" w:cs="Arial"/>
          <w:sz w:val="20"/>
        </w:rPr>
        <w:t>Comparação de alíquotas das amostras do açude de Boqueirão com a curva colorimétrica</w:t>
      </w:r>
      <w:r w:rsidR="008F0829">
        <w:rPr>
          <w:rFonts w:ascii="Arial" w:hAnsi="Arial" w:cs="Arial"/>
          <w:b/>
          <w:sz w:val="20"/>
        </w:rPr>
        <w:t xml:space="preserve">. </w:t>
      </w:r>
      <w:r w:rsidR="008F0829">
        <w:rPr>
          <w:rFonts w:ascii="Arial" w:eastAsia="Times New Roman" w:hAnsi="Arial" w:cs="Arial"/>
          <w:color w:val="000000"/>
          <w:sz w:val="20"/>
          <w:szCs w:val="24"/>
          <w:shd w:val="clear" w:color="auto" w:fill="FFFFFF"/>
          <w:lang w:eastAsia="pt-BR"/>
        </w:rPr>
        <w:t>Fonte: Autoria própria, 2017.</w:t>
      </w:r>
    </w:p>
    <w:p w:rsidR="001D792F" w:rsidRPr="00812C46" w:rsidRDefault="001D792F" w:rsidP="00E410F6">
      <w:pPr>
        <w:spacing w:after="0" w:line="276" w:lineRule="auto"/>
        <w:ind w:right="140"/>
        <w:jc w:val="both"/>
        <w:rPr>
          <w:rFonts w:ascii="Arial" w:eastAsia="Times New Roman" w:hAnsi="Arial" w:cs="Arial"/>
          <w:color w:val="000000"/>
          <w:sz w:val="20"/>
          <w:szCs w:val="24"/>
          <w:shd w:val="clear" w:color="auto" w:fill="FFFFFF"/>
          <w:lang w:eastAsia="pt-BR"/>
        </w:rPr>
      </w:pPr>
    </w:p>
    <w:p w:rsidR="00812C46" w:rsidRDefault="00812C46" w:rsidP="00E410F6">
      <w:pPr>
        <w:spacing w:after="0" w:line="276" w:lineRule="auto"/>
        <w:ind w:right="140" w:firstLine="720"/>
        <w:jc w:val="both"/>
        <w:rPr>
          <w:rFonts w:ascii="Arial" w:eastAsia="Times New Roman" w:hAnsi="Arial" w:cs="Arial"/>
          <w:color w:val="000000"/>
          <w:sz w:val="24"/>
          <w:szCs w:val="24"/>
          <w:shd w:val="clear" w:color="auto" w:fill="FFFFFF"/>
          <w:lang w:eastAsia="pt-BR"/>
        </w:rPr>
      </w:pPr>
      <w:r w:rsidRPr="00812C46">
        <w:rPr>
          <w:rFonts w:ascii="Arial" w:eastAsia="Times New Roman" w:hAnsi="Arial" w:cs="Arial"/>
          <w:color w:val="000000"/>
          <w:sz w:val="24"/>
          <w:szCs w:val="24"/>
          <w:shd w:val="clear" w:color="auto" w:fill="FFFFFF"/>
          <w:lang w:eastAsia="pt-BR"/>
        </w:rPr>
        <w:t>Além disso, pôde-se</w:t>
      </w:r>
      <w:r w:rsidR="007C75BE">
        <w:rPr>
          <w:rFonts w:ascii="Arial" w:eastAsia="Times New Roman" w:hAnsi="Arial" w:cs="Arial"/>
          <w:color w:val="000000"/>
          <w:sz w:val="24"/>
          <w:szCs w:val="24"/>
          <w:shd w:val="clear" w:color="auto" w:fill="FFFFFF"/>
          <w:lang w:eastAsia="pt-BR"/>
        </w:rPr>
        <w:t xml:space="preserve"> observar uma diferença entre a</w:t>
      </w:r>
      <w:r w:rsidRPr="00812C46">
        <w:rPr>
          <w:rFonts w:ascii="Arial" w:eastAsia="Times New Roman" w:hAnsi="Arial" w:cs="Arial"/>
          <w:color w:val="000000"/>
          <w:sz w:val="24"/>
          <w:szCs w:val="24"/>
          <w:shd w:val="clear" w:color="auto" w:fill="FFFFFF"/>
          <w:lang w:eastAsia="pt-BR"/>
        </w:rPr>
        <w:t xml:space="preserve"> alíquota bruta</w:t>
      </w:r>
      <w:r w:rsidR="007C75BE">
        <w:rPr>
          <w:rFonts w:ascii="Arial" w:eastAsia="Times New Roman" w:hAnsi="Arial" w:cs="Arial"/>
          <w:color w:val="000000"/>
          <w:sz w:val="24"/>
          <w:szCs w:val="24"/>
          <w:shd w:val="clear" w:color="auto" w:fill="FFFFFF"/>
          <w:lang w:eastAsia="pt-BR"/>
        </w:rPr>
        <w:t xml:space="preserve"> e a filtrada</w:t>
      </w:r>
      <w:r w:rsidRPr="00812C46">
        <w:rPr>
          <w:rFonts w:ascii="Arial" w:eastAsia="Times New Roman" w:hAnsi="Arial" w:cs="Arial"/>
          <w:color w:val="000000"/>
          <w:sz w:val="24"/>
          <w:szCs w:val="24"/>
          <w:shd w:val="clear" w:color="auto" w:fill="FFFFFF"/>
          <w:lang w:eastAsia="pt-BR"/>
        </w:rPr>
        <w:t>, de modo que a alíquota referente à água filtrada</w:t>
      </w:r>
      <w:r w:rsidR="007C75BE">
        <w:rPr>
          <w:rFonts w:ascii="Arial" w:eastAsia="Times New Roman" w:hAnsi="Arial" w:cs="Arial"/>
          <w:color w:val="000000"/>
          <w:sz w:val="24"/>
          <w:szCs w:val="24"/>
          <w:shd w:val="clear" w:color="auto" w:fill="FFFFFF"/>
          <w:lang w:eastAsia="pt-BR"/>
        </w:rPr>
        <w:t xml:space="preserve"> (BqF)</w:t>
      </w:r>
      <w:r w:rsidRPr="00812C46">
        <w:rPr>
          <w:rFonts w:ascii="Arial" w:eastAsia="Times New Roman" w:hAnsi="Arial" w:cs="Arial"/>
          <w:color w:val="000000"/>
          <w:sz w:val="24"/>
          <w:szCs w:val="24"/>
          <w:shd w:val="clear" w:color="auto" w:fill="FFFFFF"/>
          <w:lang w:eastAsia="pt-BR"/>
        </w:rPr>
        <w:t xml:space="preserve"> apresentou coloração mais forte do que a água bruta</w:t>
      </w:r>
      <w:r w:rsidR="007C75BE">
        <w:rPr>
          <w:rFonts w:ascii="Arial" w:eastAsia="Times New Roman" w:hAnsi="Arial" w:cs="Arial"/>
          <w:color w:val="000000"/>
          <w:sz w:val="24"/>
          <w:szCs w:val="24"/>
          <w:shd w:val="clear" w:color="auto" w:fill="FFFFFF"/>
          <w:lang w:eastAsia="pt-BR"/>
        </w:rPr>
        <w:t xml:space="preserve"> (BqB)</w:t>
      </w:r>
      <w:r w:rsidRPr="00812C46">
        <w:rPr>
          <w:rFonts w:ascii="Arial" w:eastAsia="Times New Roman" w:hAnsi="Arial" w:cs="Arial"/>
          <w:color w:val="000000"/>
          <w:sz w:val="24"/>
          <w:szCs w:val="24"/>
          <w:shd w:val="clear" w:color="auto" w:fill="FFFFFF"/>
          <w:lang w:eastAsia="pt-BR"/>
        </w:rPr>
        <w:t>. Isto pode ser explicado pela retenção de resíduos sólidos durante a filtração, o que pode ter promovido uma redução de interferentes para a análise.</w:t>
      </w:r>
      <w:r w:rsidRPr="00812C46">
        <w:rPr>
          <w:rFonts w:ascii="Arial" w:eastAsia="Times New Roman" w:hAnsi="Arial" w:cs="Arial"/>
          <w:color w:val="000000"/>
          <w:sz w:val="24"/>
          <w:szCs w:val="24"/>
          <w:shd w:val="clear" w:color="auto" w:fill="FFFFFF"/>
          <w:lang w:eastAsia="pt-BR"/>
        </w:rPr>
        <w:tab/>
      </w:r>
    </w:p>
    <w:p w:rsidR="001D792F" w:rsidRDefault="001D792F" w:rsidP="00E410F6">
      <w:pPr>
        <w:spacing w:after="0" w:line="276" w:lineRule="auto"/>
        <w:ind w:right="140" w:firstLine="720"/>
        <w:jc w:val="both"/>
        <w:rPr>
          <w:rFonts w:ascii="Arial" w:eastAsia="Times New Roman" w:hAnsi="Arial" w:cs="Arial"/>
          <w:color w:val="000000"/>
          <w:sz w:val="24"/>
          <w:szCs w:val="24"/>
          <w:lang w:eastAsia="pt-BR"/>
        </w:rPr>
      </w:pPr>
      <w:r w:rsidRPr="00812C46">
        <w:rPr>
          <w:rFonts w:ascii="Arial" w:eastAsia="Times New Roman" w:hAnsi="Arial" w:cs="Arial"/>
          <w:color w:val="000000"/>
          <w:sz w:val="24"/>
          <w:szCs w:val="24"/>
          <w:lang w:eastAsia="pt-BR"/>
        </w:rPr>
        <w:t xml:space="preserve">Ao aferir o pH do reservatório da UNIFACISA, verificou-se que este não se enquadra em nenhuma das classes de água delimitadas pelo CONAMA </w:t>
      </w:r>
      <w:r>
        <w:rPr>
          <w:rFonts w:ascii="Arial" w:eastAsia="Times New Roman" w:hAnsi="Arial" w:cs="Arial"/>
          <w:b/>
          <w:color w:val="000000"/>
          <w:sz w:val="24"/>
          <w:szCs w:val="24"/>
          <w:lang w:eastAsia="pt-BR"/>
        </w:rPr>
        <w:t xml:space="preserve">(Tabela 1) </w:t>
      </w:r>
      <w:r w:rsidRPr="00812C46">
        <w:rPr>
          <w:rFonts w:ascii="Arial" w:eastAsia="Times New Roman" w:hAnsi="Arial" w:cs="Arial"/>
          <w:color w:val="000000"/>
          <w:sz w:val="24"/>
          <w:szCs w:val="24"/>
          <w:lang w:eastAsia="pt-BR"/>
        </w:rPr>
        <w:t>para água doce ou salobra. Levando-se em conta a coloração obtida nos testes e utilizando os valores máximos permitidos à pH &gt; 8,5 para as Classes 1 e 2, e 3, de 0,5mg/L e 1 mg/L respectivamente, verifica-se que para a alíquota filtrada</w:t>
      </w:r>
      <w:r>
        <w:rPr>
          <w:rFonts w:ascii="Arial" w:eastAsia="Times New Roman" w:hAnsi="Arial" w:cs="Arial"/>
          <w:color w:val="000000"/>
          <w:sz w:val="24"/>
          <w:szCs w:val="24"/>
          <w:lang w:eastAsia="pt-BR"/>
        </w:rPr>
        <w:t xml:space="preserve"> (UfF)</w:t>
      </w:r>
      <w:r w:rsidRPr="00812C46">
        <w:rPr>
          <w:rFonts w:ascii="Arial" w:eastAsia="Times New Roman" w:hAnsi="Arial" w:cs="Arial"/>
          <w:color w:val="000000"/>
          <w:sz w:val="24"/>
          <w:szCs w:val="24"/>
          <w:lang w:eastAsia="pt-BR"/>
        </w:rPr>
        <w:t>, o valor encontra-se nas proximidades de 0,7 mg/L, enquanto que para a bruta</w:t>
      </w:r>
      <w:r>
        <w:rPr>
          <w:rFonts w:ascii="Arial" w:eastAsia="Times New Roman" w:hAnsi="Arial" w:cs="Arial"/>
          <w:color w:val="000000"/>
          <w:sz w:val="24"/>
          <w:szCs w:val="24"/>
          <w:lang w:eastAsia="pt-BR"/>
        </w:rPr>
        <w:t xml:space="preserve"> (UfB)</w:t>
      </w:r>
      <w:r w:rsidRPr="00812C46">
        <w:rPr>
          <w:rFonts w:ascii="Arial" w:eastAsia="Times New Roman" w:hAnsi="Arial" w:cs="Arial"/>
          <w:color w:val="000000"/>
          <w:sz w:val="24"/>
          <w:szCs w:val="24"/>
          <w:lang w:eastAsia="pt-BR"/>
        </w:rPr>
        <w:t>, esse valor está um pouco mais abaixo do que 0,7 mg/L (</w:t>
      </w:r>
      <w:r w:rsidRPr="00812C46">
        <w:rPr>
          <w:rFonts w:ascii="Arial" w:eastAsia="Times New Roman" w:hAnsi="Arial" w:cs="Arial"/>
          <w:b/>
          <w:bCs/>
          <w:color w:val="000000"/>
          <w:sz w:val="24"/>
          <w:szCs w:val="24"/>
          <w:lang w:eastAsia="pt-BR"/>
        </w:rPr>
        <w:t>Figura 9</w:t>
      </w:r>
      <w:r w:rsidRPr="00812C46">
        <w:rPr>
          <w:rFonts w:ascii="Arial" w:eastAsia="Times New Roman" w:hAnsi="Arial" w:cs="Arial"/>
          <w:color w:val="000000"/>
          <w:sz w:val="24"/>
          <w:szCs w:val="24"/>
          <w:lang w:eastAsia="pt-BR"/>
        </w:rPr>
        <w:t>). Da mesma maneira que para as alíquotas de Boqueirão, as amostras filtradas da UNIFACISA, assumiram coloração mais forte, provavelmente por estarem com resíduos sólidos reduzidos em relação à alíquota bruta.</w:t>
      </w:r>
    </w:p>
    <w:p w:rsidR="001D792F" w:rsidRPr="00812C46" w:rsidRDefault="001D792F" w:rsidP="00E410F6">
      <w:pPr>
        <w:spacing w:after="0" w:line="276" w:lineRule="auto"/>
        <w:ind w:right="140" w:firstLine="720"/>
        <w:jc w:val="both"/>
        <w:rPr>
          <w:rFonts w:ascii="Times New Roman" w:eastAsia="Times New Roman" w:hAnsi="Times New Roman" w:cs="Times New Roman"/>
          <w:sz w:val="24"/>
          <w:szCs w:val="24"/>
          <w:lang w:eastAsia="pt-BR"/>
        </w:rPr>
      </w:pPr>
    </w:p>
    <w:p w:rsidR="00055C2D" w:rsidRDefault="001D792F" w:rsidP="00E410F6">
      <w:pPr>
        <w:spacing w:after="0" w:line="276" w:lineRule="auto"/>
        <w:ind w:firstLine="720"/>
        <w:jc w:val="center"/>
        <w:rPr>
          <w:rFonts w:ascii="Arial" w:eastAsia="Times New Roman" w:hAnsi="Arial" w:cs="Arial"/>
          <w:color w:val="000000"/>
          <w:sz w:val="24"/>
          <w:szCs w:val="24"/>
          <w:lang w:eastAsia="pt-BR"/>
        </w:rPr>
      </w:pPr>
      <w:r w:rsidRPr="008F0829">
        <w:rPr>
          <w:rFonts w:ascii="Arial" w:eastAsia="Times New Roman" w:hAnsi="Arial" w:cs="Arial"/>
          <w:noProof/>
          <w:color w:val="000000"/>
          <w:sz w:val="24"/>
          <w:szCs w:val="24"/>
          <w:lang w:eastAsia="pt-BR"/>
        </w:rPr>
        <w:drawing>
          <wp:inline distT="0" distB="0" distL="0" distR="0">
            <wp:extent cx="4349062" cy="1806474"/>
            <wp:effectExtent l="0" t="0" r="0" b="0"/>
            <wp:docPr id="1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80123" cy="1819376"/>
                    </a:xfrm>
                    <a:prstGeom prst="rect">
                      <a:avLst/>
                    </a:prstGeom>
                  </pic:spPr>
                </pic:pic>
              </a:graphicData>
            </a:graphic>
          </wp:inline>
        </w:drawing>
      </w:r>
    </w:p>
    <w:p w:rsidR="00055C2D" w:rsidRDefault="008F0829" w:rsidP="00E410F6">
      <w:pPr>
        <w:spacing w:after="0" w:line="276" w:lineRule="auto"/>
        <w:jc w:val="both"/>
        <w:rPr>
          <w:rFonts w:ascii="Arial" w:eastAsia="Times New Roman" w:hAnsi="Arial" w:cs="Arial"/>
          <w:color w:val="000000"/>
          <w:sz w:val="24"/>
          <w:szCs w:val="24"/>
          <w:lang w:eastAsia="pt-BR"/>
        </w:rPr>
      </w:pPr>
      <w:r w:rsidRPr="008F0829">
        <w:rPr>
          <w:rFonts w:ascii="Arial" w:eastAsia="Times New Roman" w:hAnsi="Arial" w:cs="Arial"/>
          <w:b/>
          <w:color w:val="000000"/>
          <w:sz w:val="20"/>
          <w:szCs w:val="24"/>
          <w:shd w:val="clear" w:color="auto" w:fill="FFFFFF"/>
          <w:lang w:eastAsia="pt-BR"/>
        </w:rPr>
        <w:t>F</w:t>
      </w:r>
      <w:r>
        <w:rPr>
          <w:rFonts w:ascii="Arial" w:eastAsia="Times New Roman" w:hAnsi="Arial" w:cs="Arial"/>
          <w:b/>
          <w:color w:val="000000"/>
          <w:sz w:val="20"/>
          <w:szCs w:val="24"/>
          <w:shd w:val="clear" w:color="auto" w:fill="FFFFFF"/>
          <w:lang w:eastAsia="pt-BR"/>
        </w:rPr>
        <w:t>igura 9</w:t>
      </w:r>
      <w:r w:rsidRPr="00812C46">
        <w:rPr>
          <w:rFonts w:ascii="Arial" w:eastAsia="Times New Roman" w:hAnsi="Arial" w:cs="Arial"/>
          <w:b/>
          <w:color w:val="000000"/>
          <w:sz w:val="20"/>
          <w:szCs w:val="24"/>
          <w:shd w:val="clear" w:color="auto" w:fill="FFFFFF"/>
          <w:lang w:eastAsia="pt-BR"/>
        </w:rPr>
        <w:t>.</w:t>
      </w:r>
      <w:r>
        <w:rPr>
          <w:rFonts w:ascii="Arial" w:eastAsia="Times New Roman" w:hAnsi="Arial" w:cs="Arial"/>
          <w:b/>
          <w:color w:val="000000"/>
          <w:sz w:val="20"/>
          <w:szCs w:val="24"/>
          <w:shd w:val="clear" w:color="auto" w:fill="FFFFFF"/>
          <w:lang w:eastAsia="pt-BR"/>
        </w:rPr>
        <w:t xml:space="preserve"> </w:t>
      </w:r>
      <w:r>
        <w:rPr>
          <w:rFonts w:ascii="Arial" w:hAnsi="Arial" w:cs="Arial"/>
          <w:sz w:val="20"/>
        </w:rPr>
        <w:t>Comparação de alíquotas das amostras do reservatório da UNIFACISA com a curva colorimétrica</w:t>
      </w:r>
      <w:r>
        <w:rPr>
          <w:rFonts w:ascii="Arial" w:hAnsi="Arial" w:cs="Arial"/>
          <w:b/>
          <w:sz w:val="20"/>
        </w:rPr>
        <w:t xml:space="preserve">. </w:t>
      </w:r>
      <w:r>
        <w:rPr>
          <w:rFonts w:ascii="Arial" w:eastAsia="Times New Roman" w:hAnsi="Arial" w:cs="Arial"/>
          <w:color w:val="000000"/>
          <w:sz w:val="20"/>
          <w:szCs w:val="24"/>
          <w:shd w:val="clear" w:color="auto" w:fill="FFFFFF"/>
          <w:lang w:eastAsia="pt-BR"/>
        </w:rPr>
        <w:t>Fonte: Autoria própria, 2017.</w:t>
      </w:r>
    </w:p>
    <w:p w:rsidR="008F0829" w:rsidRPr="00055C2D" w:rsidRDefault="008F0829" w:rsidP="00E410F6">
      <w:pPr>
        <w:spacing w:after="0" w:line="276" w:lineRule="auto"/>
        <w:jc w:val="both"/>
        <w:rPr>
          <w:rFonts w:ascii="Arial" w:eastAsia="Times New Roman" w:hAnsi="Arial" w:cs="Arial"/>
          <w:color w:val="000000"/>
          <w:sz w:val="24"/>
          <w:szCs w:val="24"/>
          <w:lang w:eastAsia="pt-BR"/>
        </w:rPr>
      </w:pPr>
    </w:p>
    <w:p w:rsidR="00812C46" w:rsidRPr="00812C46" w:rsidRDefault="00055C2D" w:rsidP="00E410F6">
      <w:pPr>
        <w:pStyle w:val="NormalWeb"/>
        <w:spacing w:before="0" w:beforeAutospacing="0" w:after="0" w:afterAutospacing="0" w:line="276" w:lineRule="auto"/>
        <w:ind w:right="140"/>
        <w:jc w:val="both"/>
      </w:pPr>
      <w:r w:rsidRPr="00055C2D">
        <w:rPr>
          <w:rFonts w:ascii="Arial" w:hAnsi="Arial" w:cs="Arial"/>
          <w:color w:val="000000"/>
        </w:rPr>
        <w:tab/>
      </w:r>
      <w:r w:rsidR="00812C46" w:rsidRPr="00812C46">
        <w:rPr>
          <w:rFonts w:ascii="Arial" w:hAnsi="Arial" w:cs="Arial"/>
          <w:color w:val="000000"/>
        </w:rPr>
        <w:t xml:space="preserve">Não foi encontrado nenhum dado sobre o reservatório na literatura referente ao mesmo, porém sabe-se que há prédios sendo construídos próximos a este, o que se faz pensar na possibilidade de dejetos de construção, contendo os mais diversos sais alcalinos, estarem sendo depositados no lago e assim aumentando sua alcalinidade. </w:t>
      </w:r>
    </w:p>
    <w:p w:rsidR="00812C46" w:rsidRPr="00812C46" w:rsidRDefault="00812C46" w:rsidP="00E410F6">
      <w:pPr>
        <w:spacing w:after="0" w:line="276" w:lineRule="auto"/>
        <w:ind w:right="140" w:firstLine="720"/>
        <w:jc w:val="both"/>
        <w:rPr>
          <w:rFonts w:ascii="Times New Roman" w:eastAsia="Times New Roman" w:hAnsi="Times New Roman" w:cs="Times New Roman"/>
          <w:sz w:val="24"/>
          <w:szCs w:val="24"/>
          <w:lang w:eastAsia="pt-BR"/>
        </w:rPr>
      </w:pPr>
      <w:r w:rsidRPr="00812C46">
        <w:rPr>
          <w:rFonts w:ascii="Arial" w:eastAsia="Times New Roman" w:hAnsi="Arial" w:cs="Arial"/>
          <w:color w:val="000000"/>
          <w:sz w:val="24"/>
          <w:szCs w:val="24"/>
          <w:lang w:eastAsia="pt-BR"/>
        </w:rPr>
        <w:t>Sabe-se também que em pH muito alcalino, a funcionalidade do reagente de Nessler torna-se comprometida, principalmente pelo fato de que o nitrogênio amoniacal tende a ser oxidado mais rapidamente em pHs maiores que 9 (ESTEVES, 1998), tornando, dessa forma, os resultados do teste relativamente mais imprecisos.</w:t>
      </w:r>
    </w:p>
    <w:p w:rsidR="00812C46" w:rsidRPr="00812C46" w:rsidRDefault="00812C46" w:rsidP="00E410F6">
      <w:pPr>
        <w:spacing w:after="0" w:line="276" w:lineRule="auto"/>
        <w:ind w:right="140"/>
        <w:jc w:val="both"/>
        <w:rPr>
          <w:rFonts w:ascii="Times New Roman" w:eastAsia="Times New Roman" w:hAnsi="Times New Roman" w:cs="Times New Roman"/>
          <w:sz w:val="24"/>
          <w:szCs w:val="24"/>
          <w:lang w:eastAsia="pt-BR"/>
        </w:rPr>
      </w:pPr>
      <w:r w:rsidRPr="00812C46">
        <w:rPr>
          <w:rFonts w:ascii="Arial" w:eastAsia="Times New Roman" w:hAnsi="Arial" w:cs="Arial"/>
          <w:color w:val="000000"/>
          <w:sz w:val="24"/>
          <w:szCs w:val="24"/>
          <w:lang w:eastAsia="pt-BR"/>
        </w:rPr>
        <w:tab/>
        <w:t>Conforme exposto acima, além dos elementos citados com</w:t>
      </w:r>
      <w:r w:rsidR="00D46360">
        <w:rPr>
          <w:rFonts w:ascii="Arial" w:eastAsia="Times New Roman" w:hAnsi="Arial" w:cs="Arial"/>
          <w:color w:val="000000"/>
          <w:sz w:val="24"/>
          <w:szCs w:val="24"/>
          <w:lang w:eastAsia="pt-BR"/>
        </w:rPr>
        <w:t>o possíveis interferentes, como</w:t>
      </w:r>
      <w:r w:rsidRPr="00812C46">
        <w:rPr>
          <w:rFonts w:ascii="Arial" w:eastAsia="Times New Roman" w:hAnsi="Arial" w:cs="Arial"/>
          <w:color w:val="000000"/>
          <w:sz w:val="24"/>
          <w:szCs w:val="24"/>
          <w:lang w:eastAsia="pt-BR"/>
        </w:rPr>
        <w:t>, como a clorofila a, devido à presença de microrganismos e organismos autótrofos, a presença de íons como o ferro e</w:t>
      </w:r>
      <w:r w:rsidRPr="00812C46">
        <w:rPr>
          <w:rFonts w:ascii="Arial" w:eastAsia="Times New Roman" w:hAnsi="Arial" w:cs="Arial"/>
          <w:color w:val="000000"/>
          <w:sz w:val="24"/>
          <w:szCs w:val="24"/>
          <w:shd w:val="clear" w:color="auto" w:fill="FFFFFF"/>
          <w:lang w:eastAsia="pt-BR"/>
        </w:rPr>
        <w:t xml:space="preserve">m altas quantidades </w:t>
      </w:r>
      <w:r w:rsidRPr="00812C46">
        <w:rPr>
          <w:rFonts w:ascii="Arial" w:eastAsia="Times New Roman" w:hAnsi="Arial" w:cs="Arial"/>
          <w:color w:val="000000"/>
          <w:sz w:val="24"/>
          <w:szCs w:val="24"/>
          <w:shd w:val="clear" w:color="auto" w:fill="FFFFFF"/>
          <w:lang w:eastAsia="pt-BR"/>
        </w:rPr>
        <w:lastRenderedPageBreak/>
        <w:t>(elevação da turbidez, por se complexar com os sais do reagente de Nessler) e pH elevado devido à presença de alguns sais alcalinos como o carbonato de cálcio, também se caracterizam como interferentes, tendo em vista que as amostras foram processadas sem alteração induzida de pH, estando, portanto, susceptíveis à esses interferentes (BORGES, 2014; QUEIRÓZ, 2016).</w:t>
      </w:r>
    </w:p>
    <w:p w:rsidR="00AE1F93" w:rsidRPr="00AE1F93" w:rsidRDefault="00AE1F93" w:rsidP="00E410F6">
      <w:pPr>
        <w:spacing w:after="0" w:line="276" w:lineRule="auto"/>
        <w:ind w:right="140" w:firstLine="720"/>
        <w:jc w:val="both"/>
        <w:rPr>
          <w:rFonts w:ascii="Times New Roman" w:eastAsia="Times New Roman" w:hAnsi="Times New Roman" w:cs="Times New Roman"/>
          <w:sz w:val="24"/>
          <w:szCs w:val="24"/>
          <w:lang w:eastAsia="pt-BR"/>
        </w:rPr>
      </w:pPr>
      <w:r w:rsidRPr="00AE1F93">
        <w:rPr>
          <w:rFonts w:ascii="Arial" w:eastAsia="Times New Roman" w:hAnsi="Arial" w:cs="Arial"/>
          <w:color w:val="000000"/>
          <w:sz w:val="24"/>
          <w:szCs w:val="24"/>
          <w:shd w:val="clear" w:color="auto" w:fill="FFFFFF"/>
          <w:lang w:eastAsia="pt-BR"/>
        </w:rPr>
        <w:t>Em tese, para o parâmetro classificatório utilizado na metodologia do estudo, os açudes apresentaram sugestibilidade, com relação ao grau de trofia, de ambiente eutrófico para o açude de Bodocongó, levando em consideração os materiais flutuantes, as macrófitas observadas durante a coleta da amostra e a classe demonstrada pelo teste (Tipo 3), tendem a afirmar essa eutrofização, sem considerar possíveis interferentes no estudo.</w:t>
      </w:r>
    </w:p>
    <w:p w:rsidR="00AE1F93" w:rsidRPr="00AE1F93" w:rsidRDefault="00AE1F93" w:rsidP="00E410F6">
      <w:pPr>
        <w:spacing w:after="0" w:line="276" w:lineRule="auto"/>
        <w:ind w:right="140" w:firstLine="720"/>
        <w:jc w:val="both"/>
        <w:rPr>
          <w:rFonts w:ascii="Times New Roman" w:eastAsia="Times New Roman" w:hAnsi="Times New Roman" w:cs="Times New Roman"/>
          <w:sz w:val="24"/>
          <w:szCs w:val="24"/>
          <w:lang w:eastAsia="pt-BR"/>
        </w:rPr>
      </w:pPr>
      <w:r w:rsidRPr="00AE1F93">
        <w:rPr>
          <w:rFonts w:ascii="Arial" w:eastAsia="Times New Roman" w:hAnsi="Arial" w:cs="Arial"/>
          <w:color w:val="000000"/>
          <w:sz w:val="24"/>
          <w:szCs w:val="24"/>
          <w:shd w:val="clear" w:color="auto" w:fill="FFFFFF"/>
          <w:lang w:eastAsia="pt-BR"/>
        </w:rPr>
        <w:t xml:space="preserve">Com relação ao quadro apresentado pelo açude de Boqueirão, há uma indicação de ambiente mesotrófico a eutrófico, em virtude </w:t>
      </w:r>
      <w:r>
        <w:rPr>
          <w:rFonts w:ascii="Arial" w:eastAsia="Times New Roman" w:hAnsi="Arial" w:cs="Arial"/>
          <w:color w:val="000000"/>
          <w:sz w:val="24"/>
          <w:szCs w:val="24"/>
          <w:shd w:val="clear" w:color="auto" w:fill="FFFFFF"/>
          <w:lang w:eastAsia="pt-BR"/>
        </w:rPr>
        <w:t xml:space="preserve">tanto </w:t>
      </w:r>
      <w:r w:rsidRPr="00AE1F93">
        <w:rPr>
          <w:rFonts w:ascii="Arial" w:eastAsia="Times New Roman" w:hAnsi="Arial" w:cs="Arial"/>
          <w:color w:val="000000"/>
          <w:sz w:val="24"/>
          <w:szCs w:val="24"/>
          <w:shd w:val="clear" w:color="auto" w:fill="FFFFFF"/>
          <w:lang w:eastAsia="pt-BR"/>
        </w:rPr>
        <w:t>da coloração apresentada pelas suas amostras durante a coleta</w:t>
      </w:r>
      <w:r>
        <w:rPr>
          <w:rFonts w:ascii="Arial" w:eastAsia="Times New Roman" w:hAnsi="Arial" w:cs="Arial"/>
          <w:color w:val="000000"/>
          <w:sz w:val="24"/>
          <w:szCs w:val="24"/>
          <w:shd w:val="clear" w:color="auto" w:fill="FFFFFF"/>
          <w:lang w:eastAsia="pt-BR"/>
        </w:rPr>
        <w:t>,</w:t>
      </w:r>
      <w:r w:rsidRPr="00AE1F93">
        <w:rPr>
          <w:rFonts w:ascii="Arial" w:eastAsia="Times New Roman" w:hAnsi="Arial" w:cs="Arial"/>
          <w:color w:val="000000"/>
          <w:sz w:val="24"/>
          <w:szCs w:val="24"/>
          <w:shd w:val="clear" w:color="auto" w:fill="FFFFFF"/>
          <w:lang w:eastAsia="pt-BR"/>
        </w:rPr>
        <w:t xml:space="preserve"> </w:t>
      </w:r>
      <w:r>
        <w:rPr>
          <w:rFonts w:ascii="Arial" w:eastAsia="Times New Roman" w:hAnsi="Arial" w:cs="Arial"/>
          <w:color w:val="000000"/>
          <w:sz w:val="24"/>
          <w:szCs w:val="24"/>
          <w:shd w:val="clear" w:color="auto" w:fill="FFFFFF"/>
          <w:lang w:eastAsia="pt-BR"/>
        </w:rPr>
        <w:t>quanto durante</w:t>
      </w:r>
      <w:r w:rsidRPr="00AE1F93">
        <w:rPr>
          <w:rFonts w:ascii="Arial" w:eastAsia="Times New Roman" w:hAnsi="Arial" w:cs="Arial"/>
          <w:color w:val="000000"/>
          <w:sz w:val="24"/>
          <w:szCs w:val="24"/>
          <w:shd w:val="clear" w:color="auto" w:fill="FFFFFF"/>
          <w:lang w:eastAsia="pt-BR"/>
        </w:rPr>
        <w:t xml:space="preserve"> a reação, onde foi enquadrada pelo teste em água doce de classe 1 ou 2, mas que por conta da análise de outros parâmetros presentes na literatura, ela é considerada, atualmente, como de classe 2. Tal fato pode ser confirmado devido à maior crise hídrica pela qual o reservatório passou nesses últimos anos, chegando ao seu nível volumétrico mais crítico, denominado “volume morto”, volume que não tinha permissão para ser consumido para os fins convencionais da Bacia, tendo em vista que, em decorrência da redução de água no reservatório, houve um aumento significativo da concentração de sais, matéria orgânica e microrganismos no açude.</w:t>
      </w:r>
      <w:r w:rsidRPr="00AE1F93">
        <w:rPr>
          <w:rFonts w:ascii="Arial" w:eastAsia="Times New Roman" w:hAnsi="Arial" w:cs="Arial"/>
          <w:color w:val="000000"/>
          <w:sz w:val="24"/>
          <w:szCs w:val="24"/>
          <w:lang w:eastAsia="pt-BR"/>
        </w:rPr>
        <w:t xml:space="preserve"> (SANTOS, 2017).  </w:t>
      </w:r>
    </w:p>
    <w:p w:rsidR="00AE1F93" w:rsidRDefault="00AE1F93" w:rsidP="00E410F6">
      <w:pPr>
        <w:spacing w:after="0" w:line="276" w:lineRule="auto"/>
        <w:ind w:right="140" w:firstLine="720"/>
        <w:jc w:val="both"/>
        <w:rPr>
          <w:rFonts w:ascii="Arial" w:eastAsia="Times New Roman" w:hAnsi="Arial" w:cs="Arial"/>
          <w:color w:val="000000"/>
          <w:sz w:val="24"/>
          <w:szCs w:val="24"/>
          <w:lang w:eastAsia="pt-BR"/>
        </w:rPr>
      </w:pPr>
      <w:r w:rsidRPr="00AE1F93">
        <w:rPr>
          <w:rFonts w:ascii="Arial" w:eastAsia="Times New Roman" w:hAnsi="Arial" w:cs="Arial"/>
          <w:color w:val="000000"/>
          <w:sz w:val="24"/>
          <w:szCs w:val="24"/>
          <w:shd w:val="clear" w:color="auto" w:fill="FFFFFF"/>
          <w:lang w:eastAsia="pt-BR"/>
        </w:rPr>
        <w:t>Para o açude da UNIFACISA, não</w:t>
      </w:r>
      <w:r w:rsidRPr="00AE1F93">
        <w:rPr>
          <w:rFonts w:ascii="Arial" w:eastAsia="Times New Roman" w:hAnsi="Arial" w:cs="Arial"/>
          <w:color w:val="000000"/>
          <w:sz w:val="24"/>
          <w:szCs w:val="24"/>
          <w:lang w:eastAsia="pt-BR"/>
        </w:rPr>
        <w:t xml:space="preserve"> há dados suficientes para delimitação de um grau de trofia atualmente e, devido às condições nas quais o mesmo se encontra, não há enquadramento em nenhuma classe de água definida pelo CONAMA, seja doce, salobra ou salina, tendo em vista que o pH das amostras era extremamente alcalino, impossibilitando seu enquadramento e, além disso reduzindo consideravelmente a precisão do teste para identificação do VMP de nitrogênio amoniacal.</w:t>
      </w:r>
    </w:p>
    <w:p w:rsidR="00035177" w:rsidRDefault="00035177" w:rsidP="00E410F6">
      <w:pPr>
        <w:spacing w:after="0" w:line="276" w:lineRule="auto"/>
        <w:ind w:right="140"/>
        <w:jc w:val="both"/>
        <w:rPr>
          <w:rFonts w:ascii="Arial" w:eastAsia="Times New Roman" w:hAnsi="Arial" w:cs="Arial"/>
          <w:b/>
          <w:bCs/>
          <w:color w:val="000000"/>
          <w:sz w:val="24"/>
          <w:szCs w:val="24"/>
          <w:lang w:eastAsia="pt-BR"/>
        </w:rPr>
      </w:pPr>
    </w:p>
    <w:p w:rsidR="003B2ED8" w:rsidRDefault="003B2ED8" w:rsidP="00E410F6">
      <w:pPr>
        <w:spacing w:after="0" w:line="276" w:lineRule="auto"/>
        <w:ind w:right="140"/>
        <w:jc w:val="both"/>
        <w:rPr>
          <w:rFonts w:ascii="Arial" w:eastAsia="Times New Roman" w:hAnsi="Arial" w:cs="Arial"/>
          <w:b/>
          <w:bCs/>
          <w:color w:val="000000"/>
          <w:sz w:val="24"/>
          <w:szCs w:val="24"/>
          <w:lang w:eastAsia="pt-BR"/>
        </w:rPr>
      </w:pPr>
    </w:p>
    <w:p w:rsidR="00035177" w:rsidRDefault="00DB4375" w:rsidP="00E410F6">
      <w:pPr>
        <w:spacing w:after="0" w:line="276" w:lineRule="auto"/>
        <w:ind w:right="140"/>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4</w:t>
      </w:r>
      <w:r w:rsidR="00AE1F93" w:rsidRPr="00AE1F93">
        <w:rPr>
          <w:rFonts w:ascii="Arial" w:eastAsia="Times New Roman" w:hAnsi="Arial" w:cs="Arial"/>
          <w:b/>
          <w:bCs/>
          <w:color w:val="000000"/>
          <w:sz w:val="24"/>
          <w:szCs w:val="24"/>
          <w:lang w:eastAsia="pt-BR"/>
        </w:rPr>
        <w:t>. CON</w:t>
      </w:r>
      <w:r w:rsidR="00AE1F93">
        <w:rPr>
          <w:rFonts w:ascii="Arial" w:eastAsia="Times New Roman" w:hAnsi="Arial" w:cs="Arial"/>
          <w:b/>
          <w:bCs/>
          <w:color w:val="000000"/>
          <w:sz w:val="24"/>
          <w:szCs w:val="24"/>
          <w:lang w:eastAsia="pt-BR"/>
        </w:rPr>
        <w:t>CLUSÃO</w:t>
      </w:r>
    </w:p>
    <w:p w:rsidR="00035177" w:rsidRPr="00035177" w:rsidRDefault="00035177" w:rsidP="00E410F6">
      <w:pPr>
        <w:spacing w:after="0" w:line="276" w:lineRule="auto"/>
        <w:ind w:right="140"/>
        <w:jc w:val="both"/>
        <w:rPr>
          <w:rFonts w:ascii="Arial" w:eastAsia="Times New Roman" w:hAnsi="Arial" w:cs="Arial"/>
          <w:b/>
          <w:bCs/>
          <w:color w:val="000000"/>
          <w:sz w:val="24"/>
          <w:szCs w:val="24"/>
          <w:lang w:eastAsia="pt-BR"/>
        </w:rPr>
      </w:pPr>
    </w:p>
    <w:p w:rsidR="004E0625" w:rsidRDefault="00AE1F93" w:rsidP="00E410F6">
      <w:pPr>
        <w:spacing w:after="0" w:line="276" w:lineRule="auto"/>
        <w:ind w:firstLine="720"/>
        <w:jc w:val="both"/>
        <w:rPr>
          <w:rFonts w:ascii="Arial" w:eastAsia="Times New Roman" w:hAnsi="Arial" w:cs="Arial"/>
          <w:color w:val="000000"/>
          <w:sz w:val="24"/>
          <w:szCs w:val="24"/>
          <w:lang w:eastAsia="pt-BR"/>
        </w:rPr>
      </w:pPr>
      <w:r w:rsidRPr="00AE1F93">
        <w:rPr>
          <w:rFonts w:ascii="Arial" w:eastAsia="Times New Roman" w:hAnsi="Arial" w:cs="Arial"/>
          <w:color w:val="000000"/>
          <w:sz w:val="24"/>
          <w:szCs w:val="24"/>
          <w:lang w:eastAsia="pt-BR"/>
        </w:rPr>
        <w:t xml:space="preserve">Os testes realizados com as águas lênticas em questão dos açudes de Bodocongó, Boqueirão e centro universitário UNIFACISA, apontaram para a inadequação das mesmas para ingestão humana direta, ou seja, antes da realização de tratamentos adequados. </w:t>
      </w:r>
    </w:p>
    <w:p w:rsidR="00AE1F93" w:rsidRPr="00AE1F93" w:rsidRDefault="00AE1F93" w:rsidP="00E410F6">
      <w:pPr>
        <w:spacing w:after="0" w:line="276" w:lineRule="auto"/>
        <w:ind w:firstLine="720"/>
        <w:jc w:val="both"/>
        <w:rPr>
          <w:rFonts w:ascii="Times New Roman" w:eastAsia="Times New Roman" w:hAnsi="Times New Roman" w:cs="Times New Roman"/>
          <w:sz w:val="24"/>
          <w:szCs w:val="24"/>
          <w:lang w:eastAsia="pt-BR"/>
        </w:rPr>
      </w:pPr>
      <w:r w:rsidRPr="00AE1F93">
        <w:rPr>
          <w:rFonts w:ascii="Arial" w:eastAsia="Times New Roman" w:hAnsi="Arial" w:cs="Arial"/>
          <w:color w:val="000000"/>
          <w:sz w:val="24"/>
          <w:szCs w:val="24"/>
          <w:lang w:eastAsia="pt-BR"/>
        </w:rPr>
        <w:t>Com relação ao Açude de Boqueirão, com a chegada das águas advindas da transposição do Rio São Francisco, o volume do açude aumentará consideravelmente, havendo, portanto, uma redução significativa dos elementos poluentes do mesmo (“diluição”, se assim pode-se dizer) e consequentemente reduzindo o grau de trofia do mesmo.</w:t>
      </w:r>
    </w:p>
    <w:p w:rsidR="006A1555" w:rsidRDefault="00AE1F93" w:rsidP="00E410F6">
      <w:pPr>
        <w:spacing w:after="0" w:line="276" w:lineRule="auto"/>
        <w:ind w:firstLine="720"/>
        <w:jc w:val="both"/>
        <w:rPr>
          <w:rFonts w:ascii="Arial" w:hAnsi="Arial" w:cs="Arial"/>
          <w:b/>
          <w:sz w:val="24"/>
        </w:rPr>
      </w:pPr>
      <w:r w:rsidRPr="00AE1F93">
        <w:rPr>
          <w:rFonts w:ascii="Arial" w:eastAsia="Times New Roman" w:hAnsi="Arial" w:cs="Arial"/>
          <w:color w:val="000000"/>
          <w:sz w:val="24"/>
          <w:szCs w:val="24"/>
          <w:lang w:eastAsia="pt-BR"/>
        </w:rPr>
        <w:lastRenderedPageBreak/>
        <w:t>O presente estudo pôde sugerir a situação na qual cada ambiente lêntico em estudo se apresenta na realidade, com exceção do açude do centro universitário, que necessita da realização de mais testes para se traçar o perfil do mesmo.</w:t>
      </w:r>
      <w:r w:rsidR="001A0657">
        <w:rPr>
          <w:rFonts w:ascii="Arial" w:eastAsia="Times New Roman" w:hAnsi="Arial" w:cs="Arial"/>
          <w:color w:val="000000"/>
          <w:sz w:val="24"/>
          <w:szCs w:val="24"/>
          <w:lang w:eastAsia="pt-BR"/>
        </w:rPr>
        <w:t xml:space="preserve"> </w:t>
      </w:r>
      <w:r w:rsidR="001A0657">
        <w:rPr>
          <w:rFonts w:ascii="Arial" w:hAnsi="Arial" w:cs="Arial"/>
          <w:sz w:val="24"/>
        </w:rPr>
        <w:t xml:space="preserve">A pesquisa foi </w:t>
      </w:r>
      <w:r w:rsidR="00281036">
        <w:rPr>
          <w:rFonts w:ascii="Arial" w:hAnsi="Arial" w:cs="Arial"/>
          <w:sz w:val="24"/>
        </w:rPr>
        <w:t>significativa</w:t>
      </w:r>
      <w:r w:rsidR="001A0657">
        <w:rPr>
          <w:rFonts w:ascii="Arial" w:hAnsi="Arial" w:cs="Arial"/>
          <w:sz w:val="24"/>
        </w:rPr>
        <w:t xml:space="preserve"> </w:t>
      </w:r>
      <w:r w:rsidR="00281036">
        <w:rPr>
          <w:rFonts w:ascii="Arial" w:hAnsi="Arial" w:cs="Arial"/>
          <w:sz w:val="24"/>
        </w:rPr>
        <w:t>visto</w:t>
      </w:r>
      <w:r w:rsidR="001A0657">
        <w:rPr>
          <w:rFonts w:ascii="Arial" w:hAnsi="Arial" w:cs="Arial"/>
          <w:sz w:val="24"/>
        </w:rPr>
        <w:t xml:space="preserve"> </w:t>
      </w:r>
      <w:r w:rsidR="00281036">
        <w:rPr>
          <w:rFonts w:ascii="Arial" w:hAnsi="Arial" w:cs="Arial"/>
          <w:sz w:val="24"/>
        </w:rPr>
        <w:t>determinação de</w:t>
      </w:r>
      <w:r w:rsidR="001A0657">
        <w:rPr>
          <w:rFonts w:ascii="Arial" w:hAnsi="Arial" w:cs="Arial"/>
          <w:sz w:val="24"/>
        </w:rPr>
        <w:t xml:space="preserve"> “perfis” químicos pautados na reação proporcionada pelo reagente de Nessler dos reservatórios supracitados. </w:t>
      </w:r>
      <w:r w:rsidR="001A0657">
        <w:rPr>
          <w:rFonts w:ascii="Arial" w:hAnsi="Arial" w:cs="Arial"/>
          <w:b/>
          <w:sz w:val="24"/>
        </w:rPr>
        <w:tab/>
      </w:r>
    </w:p>
    <w:p w:rsidR="001A0657" w:rsidRPr="00CD2C2F" w:rsidRDefault="001A0657" w:rsidP="00E410F6">
      <w:pPr>
        <w:spacing w:after="0" w:line="276" w:lineRule="auto"/>
        <w:rPr>
          <w:rFonts w:ascii="Arial" w:hAnsi="Arial" w:cs="Arial"/>
          <w:b/>
          <w:sz w:val="24"/>
        </w:rPr>
      </w:pPr>
    </w:p>
    <w:p w:rsidR="00EA30CE" w:rsidRDefault="00DB4375" w:rsidP="00E410F6">
      <w:pPr>
        <w:spacing w:after="0" w:line="276" w:lineRule="auto"/>
        <w:rPr>
          <w:rFonts w:ascii="Arial" w:hAnsi="Arial" w:cs="Arial"/>
          <w:b/>
          <w:sz w:val="24"/>
        </w:rPr>
      </w:pPr>
      <w:r>
        <w:rPr>
          <w:rFonts w:ascii="Arial" w:hAnsi="Arial" w:cs="Arial"/>
          <w:b/>
          <w:sz w:val="24"/>
        </w:rPr>
        <w:t>5</w:t>
      </w:r>
      <w:r w:rsidR="008E408B" w:rsidRPr="00CD2C2F">
        <w:rPr>
          <w:rFonts w:ascii="Arial" w:hAnsi="Arial" w:cs="Arial"/>
          <w:b/>
          <w:sz w:val="24"/>
        </w:rPr>
        <w:t xml:space="preserve">. REFERÊNCIAS BIBLIOGRÁFICAS </w:t>
      </w:r>
    </w:p>
    <w:p w:rsidR="00EA30CE" w:rsidRPr="00EA30CE" w:rsidRDefault="00EA30CE" w:rsidP="00E410F6">
      <w:pPr>
        <w:spacing w:after="0" w:line="276" w:lineRule="auto"/>
        <w:rPr>
          <w:rFonts w:ascii="Arial" w:hAnsi="Arial" w:cs="Arial"/>
          <w:b/>
          <w:sz w:val="24"/>
        </w:rPr>
      </w:pPr>
    </w:p>
    <w:p w:rsidR="00EA30CE" w:rsidRPr="00AA2036" w:rsidRDefault="00EA30CE" w:rsidP="00E410F6">
      <w:pPr>
        <w:spacing w:after="0" w:line="276" w:lineRule="auto"/>
        <w:jc w:val="both"/>
        <w:rPr>
          <w:rFonts w:ascii="Arial" w:eastAsia="Times New Roman" w:hAnsi="Arial" w:cs="Arial"/>
          <w:color w:val="000000"/>
          <w:sz w:val="20"/>
          <w:szCs w:val="20"/>
          <w:lang w:val="en-US" w:eastAsia="pt-BR"/>
        </w:rPr>
      </w:pPr>
      <w:r>
        <w:rPr>
          <w:rFonts w:ascii="Arial" w:eastAsia="Times New Roman" w:hAnsi="Arial" w:cs="Arial"/>
          <w:color w:val="000000"/>
          <w:sz w:val="20"/>
          <w:szCs w:val="20"/>
          <w:lang w:eastAsia="pt-BR"/>
        </w:rPr>
        <w:t xml:space="preserve">ANA, Agência Nacional das Águas. </w:t>
      </w:r>
      <w:r w:rsidRPr="00EE5F11">
        <w:rPr>
          <w:rFonts w:ascii="Arial" w:eastAsia="Times New Roman" w:hAnsi="Arial" w:cs="Arial"/>
          <w:b/>
          <w:color w:val="000000"/>
          <w:sz w:val="20"/>
          <w:szCs w:val="20"/>
          <w:lang w:eastAsia="pt-BR"/>
        </w:rPr>
        <w:t>Indicadores de Qualidade – Índice do estado trófico</w:t>
      </w:r>
      <w:r>
        <w:rPr>
          <w:rFonts w:ascii="Arial" w:eastAsia="Times New Roman" w:hAnsi="Arial" w:cs="Arial"/>
          <w:color w:val="000000"/>
          <w:sz w:val="20"/>
          <w:szCs w:val="20"/>
          <w:lang w:eastAsia="pt-BR"/>
        </w:rPr>
        <w:t xml:space="preserve">. </w:t>
      </w:r>
      <w:r w:rsidRPr="00AA2036">
        <w:rPr>
          <w:rFonts w:ascii="Arial" w:eastAsia="Times New Roman" w:hAnsi="Arial" w:cs="Arial"/>
          <w:color w:val="000000"/>
          <w:sz w:val="20"/>
          <w:szCs w:val="20"/>
          <w:lang w:val="en-US" w:eastAsia="pt-BR"/>
        </w:rPr>
        <w:t>Availablefrom&lt;http://portalpnqa.ana.gov.br/indicadores-estado-trofico.aspx&gt;. accesson 10 Dec. 2017.</w:t>
      </w:r>
    </w:p>
    <w:p w:rsidR="00EA30CE" w:rsidRPr="00EA30CE" w:rsidRDefault="00EA30CE" w:rsidP="00E410F6">
      <w:pPr>
        <w:spacing w:after="0" w:line="276" w:lineRule="auto"/>
        <w:jc w:val="both"/>
        <w:rPr>
          <w:rFonts w:ascii="Arial" w:eastAsia="Times New Roman" w:hAnsi="Arial" w:cs="Arial"/>
          <w:sz w:val="24"/>
          <w:szCs w:val="24"/>
          <w:lang w:val="en-US" w:eastAsia="pt-BR"/>
        </w:rPr>
      </w:pPr>
    </w:p>
    <w:p w:rsidR="00EA30CE" w:rsidRDefault="00EA30CE" w:rsidP="00E410F6">
      <w:pPr>
        <w:spacing w:after="0" w:line="276" w:lineRule="auto"/>
        <w:jc w:val="both"/>
        <w:rPr>
          <w:rFonts w:ascii="Arial" w:eastAsia="Times New Roman" w:hAnsi="Arial" w:cs="Arial"/>
          <w:color w:val="000000"/>
          <w:sz w:val="20"/>
          <w:szCs w:val="20"/>
          <w:lang w:eastAsia="pt-BR"/>
        </w:rPr>
      </w:pPr>
      <w:r w:rsidRPr="00CD2C2F">
        <w:rPr>
          <w:rFonts w:ascii="Arial" w:eastAsia="Times New Roman" w:hAnsi="Arial" w:cs="Arial"/>
          <w:color w:val="000000"/>
          <w:sz w:val="20"/>
          <w:szCs w:val="20"/>
          <w:lang w:eastAsia="pt-BR"/>
        </w:rPr>
        <w:t xml:space="preserve">BAZANELLA, C. </w:t>
      </w:r>
      <w:r w:rsidRPr="00CD2C2F">
        <w:rPr>
          <w:rFonts w:ascii="Arial" w:eastAsia="Times New Roman" w:hAnsi="Arial" w:cs="Arial"/>
          <w:b/>
          <w:bCs/>
          <w:color w:val="000000"/>
          <w:sz w:val="20"/>
          <w:szCs w:val="20"/>
          <w:lang w:eastAsia="pt-BR"/>
        </w:rPr>
        <w:t>Monitoramento do índice de estado trófico do lago do centro universitário univates -Lajeado/RS</w:t>
      </w:r>
      <w:r w:rsidRPr="00CD2C2F">
        <w:rPr>
          <w:rFonts w:ascii="Arial" w:eastAsia="Times New Roman" w:hAnsi="Arial" w:cs="Arial"/>
          <w:color w:val="000000"/>
          <w:sz w:val="20"/>
          <w:szCs w:val="20"/>
          <w:lang w:eastAsia="pt-BR"/>
        </w:rPr>
        <w:t>.</w:t>
      </w:r>
      <w:r w:rsidR="00281036">
        <w:rPr>
          <w:rFonts w:ascii="Arial" w:eastAsia="Times New Roman" w:hAnsi="Arial" w:cs="Arial"/>
          <w:color w:val="000000"/>
          <w:sz w:val="20"/>
          <w:szCs w:val="20"/>
          <w:lang w:eastAsia="pt-BR"/>
        </w:rPr>
        <w:t xml:space="preserve"> </w:t>
      </w:r>
      <w:r w:rsidRPr="00CD2C2F">
        <w:rPr>
          <w:rFonts w:ascii="Arial" w:eastAsia="Times New Roman" w:hAnsi="Arial" w:cs="Arial"/>
          <w:color w:val="000000"/>
          <w:sz w:val="20"/>
          <w:szCs w:val="20"/>
          <w:lang w:eastAsia="pt-BR"/>
        </w:rPr>
        <w:t xml:space="preserve">Lajeado, 2015. </w:t>
      </w:r>
    </w:p>
    <w:p w:rsidR="00EA30CE" w:rsidRPr="00C50FAD" w:rsidRDefault="00EA30CE" w:rsidP="00E410F6">
      <w:pPr>
        <w:spacing w:after="0" w:line="276" w:lineRule="auto"/>
        <w:jc w:val="both"/>
        <w:rPr>
          <w:rFonts w:ascii="Arial" w:eastAsia="Times New Roman" w:hAnsi="Arial" w:cs="Arial"/>
          <w:color w:val="000000"/>
          <w:sz w:val="20"/>
          <w:szCs w:val="20"/>
          <w:lang w:eastAsia="pt-BR"/>
        </w:rPr>
      </w:pPr>
    </w:p>
    <w:p w:rsidR="00EA30CE" w:rsidRPr="003D0AB2" w:rsidRDefault="00EA30CE" w:rsidP="00E410F6">
      <w:pPr>
        <w:spacing w:after="0" w:line="276" w:lineRule="auto"/>
        <w:jc w:val="both"/>
        <w:rPr>
          <w:rFonts w:ascii="Arial" w:eastAsia="Times New Roman" w:hAnsi="Arial" w:cs="Arial"/>
          <w:sz w:val="24"/>
          <w:szCs w:val="24"/>
          <w:lang w:eastAsia="pt-BR"/>
        </w:rPr>
      </w:pPr>
      <w:r>
        <w:rPr>
          <w:rFonts w:ascii="Arial" w:hAnsi="Arial" w:cs="Arial"/>
          <w:sz w:val="20"/>
          <w:szCs w:val="20"/>
          <w:shd w:val="clear" w:color="auto" w:fill="FFFFFF"/>
        </w:rPr>
        <w:t xml:space="preserve">BORGES, J et al; </w:t>
      </w:r>
      <w:r w:rsidRPr="003D0AB2">
        <w:rPr>
          <w:rFonts w:ascii="Arial" w:hAnsi="Arial" w:cs="Arial"/>
          <w:b/>
          <w:sz w:val="20"/>
          <w:szCs w:val="20"/>
          <w:shd w:val="clear" w:color="auto" w:fill="FFFFFF"/>
        </w:rPr>
        <w:t>Determinação de nitrogênio amoniacal em efluente líquido da digestão anaeróbia de macro e microalgas</w:t>
      </w:r>
      <w:r w:rsidRPr="003D0AB2">
        <w:rPr>
          <w:rFonts w:ascii="Arial" w:hAnsi="Arial" w:cs="Arial"/>
          <w:sz w:val="20"/>
          <w:szCs w:val="20"/>
          <w:shd w:val="clear" w:color="auto" w:fill="FFFFFF"/>
        </w:rPr>
        <w:t>. In: </w:t>
      </w:r>
      <w:r w:rsidRPr="001F283A">
        <w:rPr>
          <w:rStyle w:val="Forte"/>
          <w:rFonts w:ascii="Arial" w:hAnsi="Arial" w:cs="Arial"/>
          <w:b w:val="0"/>
          <w:sz w:val="20"/>
          <w:szCs w:val="20"/>
          <w:shd w:val="clear" w:color="auto" w:fill="FFFFFF"/>
        </w:rPr>
        <w:t>Anais do XX Congresso Brasileiro de Engenharia Química -COBEQ 2014 [= Blucher</w:t>
      </w:r>
      <w:r w:rsidR="00281036">
        <w:rPr>
          <w:rStyle w:val="Forte"/>
          <w:rFonts w:ascii="Arial" w:hAnsi="Arial" w:cs="Arial"/>
          <w:b w:val="0"/>
          <w:sz w:val="20"/>
          <w:szCs w:val="20"/>
          <w:shd w:val="clear" w:color="auto" w:fill="FFFFFF"/>
        </w:rPr>
        <w:t xml:space="preserve"> </w:t>
      </w:r>
      <w:r w:rsidRPr="001F283A">
        <w:rPr>
          <w:rStyle w:val="Forte"/>
          <w:rFonts w:ascii="Arial" w:hAnsi="Arial" w:cs="Arial"/>
          <w:b w:val="0"/>
          <w:sz w:val="20"/>
          <w:szCs w:val="20"/>
          <w:shd w:val="clear" w:color="auto" w:fill="FFFFFF"/>
        </w:rPr>
        <w:t>Chemical</w:t>
      </w:r>
      <w:r w:rsidR="00281036">
        <w:rPr>
          <w:rStyle w:val="Forte"/>
          <w:rFonts w:ascii="Arial" w:hAnsi="Arial" w:cs="Arial"/>
          <w:b w:val="0"/>
          <w:sz w:val="20"/>
          <w:szCs w:val="20"/>
          <w:shd w:val="clear" w:color="auto" w:fill="FFFFFF"/>
        </w:rPr>
        <w:t xml:space="preserve"> </w:t>
      </w:r>
      <w:r w:rsidRPr="001F283A">
        <w:rPr>
          <w:rStyle w:val="Forte"/>
          <w:rFonts w:ascii="Arial" w:hAnsi="Arial" w:cs="Arial"/>
          <w:b w:val="0"/>
          <w:sz w:val="20"/>
          <w:szCs w:val="20"/>
          <w:shd w:val="clear" w:color="auto" w:fill="FFFFFF"/>
        </w:rPr>
        <w:t>Engineering</w:t>
      </w:r>
      <w:r w:rsidR="00281036">
        <w:rPr>
          <w:rStyle w:val="Forte"/>
          <w:rFonts w:ascii="Arial" w:hAnsi="Arial" w:cs="Arial"/>
          <w:b w:val="0"/>
          <w:sz w:val="20"/>
          <w:szCs w:val="20"/>
          <w:shd w:val="clear" w:color="auto" w:fill="FFFFFF"/>
        </w:rPr>
        <w:t xml:space="preserve"> </w:t>
      </w:r>
      <w:r w:rsidRPr="001F283A">
        <w:rPr>
          <w:rStyle w:val="Forte"/>
          <w:rFonts w:ascii="Arial" w:hAnsi="Arial" w:cs="Arial"/>
          <w:b w:val="0"/>
          <w:sz w:val="20"/>
          <w:szCs w:val="20"/>
          <w:shd w:val="clear" w:color="auto" w:fill="FFFFFF"/>
        </w:rPr>
        <w:t>Proceedings, v.1, n.2]</w:t>
      </w:r>
      <w:r w:rsidRPr="001F283A">
        <w:rPr>
          <w:rFonts w:ascii="Arial" w:hAnsi="Arial" w:cs="Arial"/>
          <w:b/>
          <w:sz w:val="20"/>
          <w:szCs w:val="20"/>
          <w:shd w:val="clear" w:color="auto" w:fill="FFFFFF"/>
        </w:rPr>
        <w:t>.</w:t>
      </w:r>
      <w:r w:rsidRPr="003D0AB2">
        <w:rPr>
          <w:rFonts w:ascii="Arial" w:hAnsi="Arial" w:cs="Arial"/>
          <w:sz w:val="20"/>
          <w:szCs w:val="20"/>
          <w:shd w:val="clear" w:color="auto" w:fill="FFFFFF"/>
        </w:rPr>
        <w:t xml:space="preserve"> São Paulo: Blucher, 2015. </w:t>
      </w:r>
      <w:r w:rsidRPr="003D0AB2">
        <w:rPr>
          <w:rFonts w:ascii="Arial" w:hAnsi="Arial" w:cs="Arial"/>
          <w:sz w:val="20"/>
          <w:szCs w:val="20"/>
        </w:rPr>
        <w:br/>
      </w:r>
      <w:r w:rsidRPr="003D0AB2">
        <w:rPr>
          <w:rFonts w:ascii="Arial" w:hAnsi="Arial" w:cs="Arial"/>
          <w:sz w:val="20"/>
          <w:szCs w:val="20"/>
          <w:shd w:val="clear" w:color="auto" w:fill="FFFFFF"/>
        </w:rPr>
        <w:t>ISSN 2359-1757, DOI 10.5151/chemeng-cobeq2014-0129-26897-164228</w:t>
      </w:r>
    </w:p>
    <w:p w:rsidR="00EA30CE" w:rsidRPr="00CD2C2F" w:rsidRDefault="00EA30CE" w:rsidP="00E410F6">
      <w:pPr>
        <w:spacing w:after="0" w:line="276" w:lineRule="auto"/>
        <w:jc w:val="both"/>
        <w:rPr>
          <w:rFonts w:ascii="Arial" w:eastAsia="Times New Roman" w:hAnsi="Arial" w:cs="Arial"/>
          <w:sz w:val="24"/>
          <w:szCs w:val="24"/>
          <w:lang w:eastAsia="pt-BR"/>
        </w:rPr>
      </w:pPr>
    </w:p>
    <w:p w:rsidR="00EA30CE" w:rsidRPr="00CD2C2F" w:rsidRDefault="00EA30CE" w:rsidP="00E410F6">
      <w:pPr>
        <w:spacing w:after="0" w:line="276" w:lineRule="auto"/>
        <w:jc w:val="both"/>
        <w:rPr>
          <w:rFonts w:ascii="Arial" w:eastAsia="Times New Roman" w:hAnsi="Arial" w:cs="Arial"/>
          <w:sz w:val="24"/>
          <w:szCs w:val="24"/>
          <w:lang w:eastAsia="pt-BR"/>
        </w:rPr>
      </w:pPr>
      <w:r w:rsidRPr="00CD2C2F">
        <w:rPr>
          <w:rFonts w:ascii="Arial" w:eastAsia="Times New Roman" w:hAnsi="Arial" w:cs="Arial"/>
          <w:color w:val="000000"/>
          <w:sz w:val="20"/>
          <w:szCs w:val="20"/>
          <w:lang w:eastAsia="pt-BR"/>
        </w:rPr>
        <w:t xml:space="preserve">BRANDELERO, S et al. </w:t>
      </w:r>
      <w:r w:rsidRPr="00CD2C2F">
        <w:rPr>
          <w:rFonts w:ascii="Arial" w:eastAsia="Times New Roman" w:hAnsi="Arial" w:cs="Arial"/>
          <w:b/>
          <w:bCs/>
          <w:color w:val="000000"/>
          <w:sz w:val="20"/>
          <w:szCs w:val="20"/>
          <w:shd w:val="clear" w:color="auto" w:fill="FFFFFF"/>
          <w:lang w:eastAsia="pt-BR"/>
        </w:rPr>
        <w:t>A cinética do nitrogênio em água superficial de ambiente lótico</w:t>
      </w:r>
      <w:r w:rsidRPr="00CD2C2F">
        <w:rPr>
          <w:rFonts w:ascii="Arial" w:eastAsia="Times New Roman" w:hAnsi="Arial" w:cs="Arial"/>
          <w:color w:val="000000"/>
          <w:sz w:val="20"/>
          <w:szCs w:val="20"/>
          <w:shd w:val="clear" w:color="auto" w:fill="FFFFFF"/>
          <w:lang w:eastAsia="pt-BR"/>
        </w:rPr>
        <w:t>.</w:t>
      </w:r>
      <w:r>
        <w:rPr>
          <w:rFonts w:ascii="Arial" w:eastAsia="Times New Roman" w:hAnsi="Arial" w:cs="Arial"/>
          <w:color w:val="000000"/>
          <w:sz w:val="20"/>
          <w:szCs w:val="20"/>
          <w:shd w:val="clear" w:color="auto" w:fill="FFFFFF"/>
          <w:lang w:eastAsia="pt-BR"/>
        </w:rPr>
        <w:t xml:space="preserve"> </w:t>
      </w:r>
      <w:r w:rsidRPr="00CD2C2F">
        <w:rPr>
          <w:rFonts w:ascii="Arial" w:eastAsia="Times New Roman" w:hAnsi="Arial" w:cs="Arial"/>
          <w:color w:val="000000"/>
          <w:sz w:val="20"/>
          <w:szCs w:val="20"/>
          <w:shd w:val="clear" w:color="auto" w:fill="FFFFFF"/>
          <w:lang w:eastAsia="pt-BR"/>
        </w:rPr>
        <w:t xml:space="preserve">Revista Ambiente &amp; Água </w:t>
      </w:r>
      <w:r w:rsidR="00281036">
        <w:rPr>
          <w:rFonts w:ascii="Arial" w:eastAsia="Times New Roman" w:hAnsi="Arial" w:cs="Arial"/>
          <w:color w:val="000000"/>
          <w:sz w:val="20"/>
          <w:szCs w:val="20"/>
          <w:shd w:val="clear" w:color="auto" w:fill="FFFFFF"/>
          <w:lang w:eastAsia="pt-BR"/>
        </w:rPr>
        <w:t>–</w:t>
      </w:r>
      <w:r w:rsidRPr="00CD2C2F">
        <w:rPr>
          <w:rFonts w:ascii="Arial" w:eastAsia="Times New Roman" w:hAnsi="Arial" w:cs="Arial"/>
          <w:color w:val="000000"/>
          <w:sz w:val="20"/>
          <w:szCs w:val="20"/>
          <w:shd w:val="clear" w:color="auto" w:fill="FFFFFF"/>
          <w:lang w:eastAsia="pt-BR"/>
        </w:rPr>
        <w:t xml:space="preserve"> </w:t>
      </w:r>
      <w:r w:rsidR="00281036">
        <w:rPr>
          <w:rFonts w:ascii="Arial" w:eastAsia="Times New Roman" w:hAnsi="Arial" w:cs="Arial"/>
          <w:color w:val="000000"/>
          <w:sz w:val="20"/>
          <w:szCs w:val="20"/>
          <w:shd w:val="clear" w:color="auto" w:fill="FFFFFF"/>
          <w:lang w:eastAsia="pt-BR"/>
        </w:rPr>
        <w:t xml:space="preserve">On </w:t>
      </w:r>
      <w:r w:rsidRPr="00CD2C2F">
        <w:rPr>
          <w:rFonts w:ascii="Arial" w:eastAsia="Times New Roman" w:hAnsi="Arial" w:cs="Arial"/>
          <w:color w:val="000000"/>
          <w:sz w:val="20"/>
          <w:szCs w:val="20"/>
          <w:shd w:val="clear" w:color="auto" w:fill="FFFFFF"/>
          <w:lang w:eastAsia="pt-BR"/>
        </w:rPr>
        <w:t>Interdisciplinary</w:t>
      </w:r>
      <w:r w:rsidR="00281036">
        <w:rPr>
          <w:rFonts w:ascii="Arial" w:eastAsia="Times New Roman" w:hAnsi="Arial" w:cs="Arial"/>
          <w:color w:val="000000"/>
          <w:sz w:val="20"/>
          <w:szCs w:val="20"/>
          <w:shd w:val="clear" w:color="auto" w:fill="FFFFFF"/>
          <w:lang w:eastAsia="pt-BR"/>
        </w:rPr>
        <w:t xml:space="preserve"> </w:t>
      </w:r>
      <w:r w:rsidRPr="00CD2C2F">
        <w:rPr>
          <w:rFonts w:ascii="Arial" w:eastAsia="Times New Roman" w:hAnsi="Arial" w:cs="Arial"/>
          <w:color w:val="000000"/>
          <w:sz w:val="20"/>
          <w:szCs w:val="20"/>
          <w:shd w:val="clear" w:color="auto" w:fill="FFFFFF"/>
          <w:lang w:eastAsia="pt-BR"/>
        </w:rPr>
        <w:t>Journal</w:t>
      </w:r>
      <w:r w:rsidR="00281036">
        <w:rPr>
          <w:rFonts w:ascii="Arial" w:eastAsia="Times New Roman" w:hAnsi="Arial" w:cs="Arial"/>
          <w:color w:val="000000"/>
          <w:sz w:val="20"/>
          <w:szCs w:val="20"/>
          <w:shd w:val="clear" w:color="auto" w:fill="FFFFFF"/>
          <w:lang w:eastAsia="pt-BR"/>
        </w:rPr>
        <w:t xml:space="preserve"> </w:t>
      </w:r>
      <w:r w:rsidRPr="00CD2C2F">
        <w:rPr>
          <w:rFonts w:ascii="Arial" w:eastAsia="Times New Roman" w:hAnsi="Arial" w:cs="Arial"/>
          <w:color w:val="000000"/>
          <w:sz w:val="20"/>
          <w:szCs w:val="20"/>
          <w:shd w:val="clear" w:color="auto" w:fill="FFFFFF"/>
          <w:lang w:eastAsia="pt-BR"/>
        </w:rPr>
        <w:t>of</w:t>
      </w:r>
      <w:r w:rsidR="00281036">
        <w:rPr>
          <w:rFonts w:ascii="Arial" w:eastAsia="Times New Roman" w:hAnsi="Arial" w:cs="Arial"/>
          <w:color w:val="000000"/>
          <w:sz w:val="20"/>
          <w:szCs w:val="20"/>
          <w:shd w:val="clear" w:color="auto" w:fill="FFFFFF"/>
          <w:lang w:eastAsia="pt-BR"/>
        </w:rPr>
        <w:t xml:space="preserve"> </w:t>
      </w:r>
      <w:r w:rsidRPr="00CD2C2F">
        <w:rPr>
          <w:rFonts w:ascii="Arial" w:eastAsia="Times New Roman" w:hAnsi="Arial" w:cs="Arial"/>
          <w:color w:val="000000"/>
          <w:sz w:val="20"/>
          <w:szCs w:val="20"/>
          <w:shd w:val="clear" w:color="auto" w:fill="FFFFFF"/>
          <w:lang w:eastAsia="pt-BR"/>
        </w:rPr>
        <w:t>Applied Science: v. 5, n. 3, 2010. Availablefrom</w:t>
      </w:r>
      <w:r w:rsidRPr="00CD2C2F">
        <w:rPr>
          <w:rFonts w:ascii="Arial" w:eastAsia="Times New Roman" w:hAnsi="Arial" w:cs="Arial"/>
          <w:color w:val="000000"/>
          <w:sz w:val="20"/>
          <w:szCs w:val="20"/>
          <w:lang w:eastAsia="pt-BR"/>
        </w:rPr>
        <w:t xml:space="preserve">&lt;http://doczz.com.br/doc/611435/a-cin%C3%A9tica-do-nitrog%C3%AAnio-em-%C3%A1gua-superficial-de-ambiente-...&gt;accesson 03 Dec. 2017. </w:t>
      </w:r>
      <w:r w:rsidRPr="00CD2C2F">
        <w:rPr>
          <w:rFonts w:ascii="Arial" w:eastAsia="Times New Roman" w:hAnsi="Arial" w:cs="Arial"/>
          <w:color w:val="000000"/>
          <w:sz w:val="20"/>
          <w:szCs w:val="20"/>
          <w:shd w:val="clear" w:color="auto" w:fill="FFFFFF"/>
          <w:lang w:eastAsia="pt-BR"/>
        </w:rPr>
        <w:t>Doi:10.4136/ambi-agua.159.</w:t>
      </w:r>
    </w:p>
    <w:p w:rsidR="00EA30CE" w:rsidRDefault="00EA30CE" w:rsidP="00E410F6">
      <w:pPr>
        <w:spacing w:after="0" w:line="276" w:lineRule="auto"/>
        <w:jc w:val="both"/>
        <w:rPr>
          <w:rFonts w:ascii="Arial" w:eastAsia="Times New Roman" w:hAnsi="Arial" w:cs="Arial"/>
          <w:color w:val="000000"/>
          <w:sz w:val="20"/>
          <w:szCs w:val="20"/>
          <w:lang w:eastAsia="pt-BR"/>
        </w:rPr>
      </w:pPr>
    </w:p>
    <w:p w:rsidR="00EA30CE" w:rsidRPr="00CD2C2F" w:rsidRDefault="00EA30CE" w:rsidP="00E410F6">
      <w:pPr>
        <w:spacing w:after="0" w:line="276" w:lineRule="auto"/>
        <w:jc w:val="both"/>
        <w:rPr>
          <w:rFonts w:ascii="Arial" w:eastAsia="Times New Roman" w:hAnsi="Arial" w:cs="Arial"/>
          <w:sz w:val="24"/>
          <w:szCs w:val="24"/>
          <w:lang w:eastAsia="pt-BR"/>
        </w:rPr>
      </w:pPr>
      <w:r w:rsidRPr="00CD2C2F">
        <w:rPr>
          <w:rFonts w:ascii="Arial" w:eastAsia="Times New Roman" w:hAnsi="Arial" w:cs="Arial"/>
          <w:color w:val="000000"/>
          <w:sz w:val="20"/>
          <w:szCs w:val="20"/>
          <w:lang w:eastAsia="pt-BR"/>
        </w:rPr>
        <w:t xml:space="preserve">BRASIL. </w:t>
      </w:r>
      <w:r w:rsidRPr="00CD2C2F">
        <w:rPr>
          <w:rFonts w:ascii="Arial" w:eastAsia="Times New Roman" w:hAnsi="Arial" w:cs="Arial"/>
          <w:b/>
          <w:bCs/>
          <w:color w:val="000000"/>
          <w:sz w:val="20"/>
          <w:szCs w:val="20"/>
          <w:lang w:eastAsia="pt-BR"/>
        </w:rPr>
        <w:t>Resolução do CONAMA nº 357, 17 de março de 2005</w:t>
      </w:r>
      <w:r w:rsidRPr="00CD2C2F">
        <w:rPr>
          <w:rFonts w:ascii="Arial" w:eastAsia="Times New Roman" w:hAnsi="Arial" w:cs="Arial"/>
          <w:color w:val="000000"/>
          <w:sz w:val="20"/>
          <w:szCs w:val="20"/>
          <w:lang w:eastAsia="pt-BR"/>
        </w:rPr>
        <w:t>. Dispõem sobre a classificação dos corpos de água e diretrizes ambientais para o seu enquadramento, bem como estabelece as condições e padrões de efluentes, e dá outras providências. Diário Oficial da União. Brasília, 2005. Availablefrom&lt;http://www.mma.gov.br/port/conama/legiabre.cfm?codlegi=459&gt;. accesson 02 Dec. 2017.</w:t>
      </w:r>
    </w:p>
    <w:p w:rsidR="00EA30CE" w:rsidRPr="00CD2C2F" w:rsidRDefault="00EA30CE" w:rsidP="00E410F6">
      <w:pPr>
        <w:spacing w:after="0" w:line="276" w:lineRule="auto"/>
        <w:jc w:val="both"/>
        <w:rPr>
          <w:rFonts w:ascii="Arial" w:eastAsia="Times New Roman" w:hAnsi="Arial" w:cs="Arial"/>
          <w:sz w:val="24"/>
          <w:szCs w:val="24"/>
          <w:lang w:eastAsia="pt-BR"/>
        </w:rPr>
      </w:pPr>
    </w:p>
    <w:p w:rsidR="00EA30CE" w:rsidRPr="00CD2C2F" w:rsidRDefault="00EA30CE" w:rsidP="00E410F6">
      <w:pPr>
        <w:spacing w:after="0" w:line="276" w:lineRule="auto"/>
        <w:jc w:val="both"/>
        <w:rPr>
          <w:rFonts w:ascii="Arial" w:hAnsi="Arial" w:cs="Arial"/>
          <w:sz w:val="20"/>
          <w:szCs w:val="20"/>
          <w:shd w:val="clear" w:color="auto" w:fill="FFFFFF"/>
        </w:rPr>
      </w:pPr>
      <w:r w:rsidRPr="00CD2C2F">
        <w:rPr>
          <w:rFonts w:ascii="Arial" w:eastAsia="Times New Roman" w:hAnsi="Arial" w:cs="Arial"/>
          <w:sz w:val="20"/>
          <w:szCs w:val="20"/>
          <w:lang w:eastAsia="pt-BR"/>
        </w:rPr>
        <w:t xml:space="preserve">CARVALHO, A et al. </w:t>
      </w:r>
      <w:r w:rsidRPr="00CD2C2F">
        <w:rPr>
          <w:rFonts w:ascii="Arial" w:hAnsi="Arial" w:cs="Arial"/>
          <w:b/>
          <w:sz w:val="20"/>
          <w:szCs w:val="20"/>
          <w:shd w:val="clear" w:color="auto" w:fill="FFFFFF"/>
        </w:rPr>
        <w:t>Determinaçao do indice de balneabilidade do açude de Bodocongo em Campina Grande-PB, Brasil, a partir de indicadores biológicos</w:t>
      </w:r>
      <w:r w:rsidRPr="00CD2C2F">
        <w:rPr>
          <w:rFonts w:ascii="Arial" w:hAnsi="Arial" w:cs="Arial"/>
          <w:sz w:val="20"/>
          <w:szCs w:val="20"/>
          <w:shd w:val="clear" w:color="auto" w:fill="FFFFFF"/>
        </w:rPr>
        <w:t>. 2009.  Educação Ambiental em Ação, v. 28, 2009.</w:t>
      </w:r>
    </w:p>
    <w:p w:rsidR="00EA30CE" w:rsidRPr="00CD2C2F" w:rsidRDefault="00EA30CE" w:rsidP="00E410F6">
      <w:pPr>
        <w:spacing w:after="0" w:line="276" w:lineRule="auto"/>
        <w:jc w:val="both"/>
        <w:rPr>
          <w:rFonts w:ascii="Arial" w:eastAsia="Times New Roman" w:hAnsi="Arial" w:cs="Arial"/>
          <w:sz w:val="24"/>
          <w:szCs w:val="24"/>
          <w:lang w:eastAsia="pt-BR"/>
        </w:rPr>
      </w:pPr>
    </w:p>
    <w:p w:rsidR="00EA30CE" w:rsidRPr="00CD2C2F" w:rsidRDefault="00EA30CE" w:rsidP="00E410F6">
      <w:pPr>
        <w:spacing w:after="0" w:line="276" w:lineRule="auto"/>
        <w:jc w:val="both"/>
        <w:rPr>
          <w:rFonts w:ascii="Arial" w:hAnsi="Arial" w:cs="Arial"/>
          <w:sz w:val="20"/>
        </w:rPr>
      </w:pPr>
      <w:r w:rsidRPr="00CD2C2F">
        <w:rPr>
          <w:rFonts w:ascii="Arial" w:hAnsi="Arial" w:cs="Arial"/>
          <w:sz w:val="20"/>
        </w:rPr>
        <w:t xml:space="preserve">COSTA, TCF. </w:t>
      </w:r>
      <w:r w:rsidRPr="00CD2C2F">
        <w:rPr>
          <w:rFonts w:ascii="Arial" w:hAnsi="Arial" w:cs="Arial"/>
          <w:b/>
          <w:sz w:val="20"/>
        </w:rPr>
        <w:t>Ações antrópicas de impactos negativos no açude de Bodocongó no municipio de Campina Grande – Paraíba</w:t>
      </w:r>
      <w:r w:rsidRPr="00CD2C2F">
        <w:rPr>
          <w:rFonts w:ascii="Arial" w:hAnsi="Arial" w:cs="Arial"/>
          <w:sz w:val="20"/>
        </w:rPr>
        <w:t>. Revista Brasileira de Informações Científicas. v.2, n.2, p.78-89. 2011. ISSN 2179-4413.</w:t>
      </w:r>
    </w:p>
    <w:p w:rsidR="00EA30CE" w:rsidRPr="00CD2C2F" w:rsidRDefault="00EA30CE" w:rsidP="00E410F6">
      <w:pPr>
        <w:spacing w:after="0" w:line="276" w:lineRule="auto"/>
        <w:jc w:val="both"/>
        <w:rPr>
          <w:rFonts w:ascii="Arial" w:eastAsia="Times New Roman" w:hAnsi="Arial" w:cs="Arial"/>
          <w:sz w:val="24"/>
          <w:szCs w:val="24"/>
          <w:lang w:eastAsia="pt-BR"/>
        </w:rPr>
      </w:pPr>
    </w:p>
    <w:p w:rsidR="00EA30CE" w:rsidRPr="00CD2C2F" w:rsidRDefault="00EA30CE" w:rsidP="00E410F6">
      <w:pPr>
        <w:spacing w:after="0" w:line="276" w:lineRule="auto"/>
        <w:jc w:val="both"/>
        <w:rPr>
          <w:rFonts w:ascii="Arial" w:eastAsia="Times New Roman" w:hAnsi="Arial" w:cs="Arial"/>
          <w:sz w:val="24"/>
          <w:szCs w:val="24"/>
          <w:lang w:eastAsia="pt-BR"/>
        </w:rPr>
      </w:pPr>
      <w:r w:rsidRPr="00CD2C2F">
        <w:rPr>
          <w:rFonts w:ascii="Arial" w:eastAsia="Times New Roman" w:hAnsi="Arial" w:cs="Arial"/>
          <w:color w:val="000000"/>
          <w:sz w:val="20"/>
          <w:szCs w:val="20"/>
          <w:shd w:val="clear" w:color="auto" w:fill="FFFFFF"/>
          <w:lang w:eastAsia="pt-BR"/>
        </w:rPr>
        <w:t xml:space="preserve">ESTEVES, F. de A. </w:t>
      </w:r>
      <w:r w:rsidRPr="00CD2C2F">
        <w:rPr>
          <w:rFonts w:ascii="Arial" w:eastAsia="Times New Roman" w:hAnsi="Arial" w:cs="Arial"/>
          <w:b/>
          <w:bCs/>
          <w:color w:val="000000"/>
          <w:sz w:val="20"/>
          <w:szCs w:val="20"/>
          <w:shd w:val="clear" w:color="auto" w:fill="FFFFFF"/>
          <w:lang w:eastAsia="pt-BR"/>
        </w:rPr>
        <w:t>Fundamentos de limnologia</w:t>
      </w:r>
      <w:r w:rsidRPr="00CD2C2F">
        <w:rPr>
          <w:rFonts w:ascii="Arial" w:eastAsia="Times New Roman" w:hAnsi="Arial" w:cs="Arial"/>
          <w:color w:val="000000"/>
          <w:sz w:val="20"/>
          <w:szCs w:val="20"/>
          <w:shd w:val="clear" w:color="auto" w:fill="FFFFFF"/>
          <w:lang w:eastAsia="pt-BR"/>
        </w:rPr>
        <w:t>. Interciência, 1998. 2ª Ed. – Rio de Janeiro: Interciência.</w:t>
      </w:r>
    </w:p>
    <w:p w:rsidR="00EA30CE" w:rsidRPr="00CD2C2F" w:rsidRDefault="00EA30CE" w:rsidP="00E410F6">
      <w:pPr>
        <w:spacing w:after="0" w:line="276" w:lineRule="auto"/>
        <w:jc w:val="both"/>
        <w:rPr>
          <w:rFonts w:ascii="Arial" w:eastAsia="Times New Roman" w:hAnsi="Arial" w:cs="Arial"/>
          <w:sz w:val="24"/>
          <w:szCs w:val="24"/>
          <w:lang w:eastAsia="pt-BR"/>
        </w:rPr>
      </w:pPr>
    </w:p>
    <w:p w:rsidR="00EA30CE" w:rsidRPr="00CD2C2F" w:rsidRDefault="00EA30CE" w:rsidP="00E410F6">
      <w:pPr>
        <w:spacing w:after="0" w:line="276" w:lineRule="auto"/>
        <w:jc w:val="both"/>
        <w:rPr>
          <w:rFonts w:ascii="Arial" w:eastAsia="Times New Roman" w:hAnsi="Arial" w:cs="Arial"/>
          <w:sz w:val="24"/>
          <w:szCs w:val="24"/>
          <w:lang w:eastAsia="pt-BR"/>
        </w:rPr>
      </w:pPr>
      <w:r w:rsidRPr="00CD2C2F">
        <w:rPr>
          <w:rFonts w:ascii="Arial" w:eastAsia="Times New Roman" w:hAnsi="Arial" w:cs="Arial"/>
          <w:color w:val="000000"/>
          <w:sz w:val="20"/>
          <w:szCs w:val="20"/>
          <w:lang w:eastAsia="pt-BR"/>
        </w:rPr>
        <w:t xml:space="preserve">FONSECA, J.M. </w:t>
      </w:r>
      <w:r w:rsidRPr="00CD2C2F">
        <w:rPr>
          <w:rFonts w:ascii="Arial" w:eastAsia="Times New Roman" w:hAnsi="Arial" w:cs="Arial"/>
          <w:b/>
          <w:bCs/>
          <w:color w:val="000000"/>
          <w:sz w:val="20"/>
          <w:szCs w:val="20"/>
          <w:lang w:eastAsia="pt-BR"/>
        </w:rPr>
        <w:t xml:space="preserve">Acompanhamento das atividades do laboratório de controle físico-químico de produtos de origem animal da faculdade de veterinária da Universidade Federal. </w:t>
      </w:r>
      <w:r w:rsidRPr="00CD2C2F">
        <w:rPr>
          <w:rFonts w:ascii="Arial" w:eastAsia="Times New Roman" w:hAnsi="Arial" w:cs="Arial"/>
          <w:color w:val="000000"/>
          <w:sz w:val="20"/>
          <w:szCs w:val="20"/>
          <w:lang w:eastAsia="pt-BR"/>
        </w:rPr>
        <w:t>Brasília,2012.  Availablefrom&lt;http://bdm.unb.br/bitstream/10483/4163/1/2012_JoseMariodeAlmeidaFonseca.pdf&gt; .accesson 04 Dec. 2017.</w:t>
      </w:r>
    </w:p>
    <w:p w:rsidR="00EA30CE" w:rsidRPr="00CD2C2F" w:rsidRDefault="00EA30CE" w:rsidP="00E410F6">
      <w:pPr>
        <w:spacing w:after="0" w:line="276" w:lineRule="auto"/>
        <w:jc w:val="both"/>
        <w:rPr>
          <w:rFonts w:ascii="Arial" w:eastAsia="Times New Roman" w:hAnsi="Arial" w:cs="Arial"/>
          <w:sz w:val="24"/>
          <w:szCs w:val="24"/>
          <w:lang w:eastAsia="pt-BR"/>
        </w:rPr>
      </w:pPr>
    </w:p>
    <w:p w:rsidR="00EA30CE" w:rsidRPr="00163EA2" w:rsidRDefault="00EA30CE" w:rsidP="00E410F6">
      <w:pPr>
        <w:spacing w:after="0" w:line="276" w:lineRule="auto"/>
        <w:jc w:val="both"/>
        <w:rPr>
          <w:rFonts w:ascii="Arial" w:eastAsia="Times New Roman" w:hAnsi="Arial" w:cs="Arial"/>
          <w:color w:val="000000"/>
          <w:sz w:val="20"/>
          <w:szCs w:val="20"/>
          <w:lang w:eastAsia="pt-BR"/>
        </w:rPr>
      </w:pPr>
      <w:r w:rsidRPr="00CD2C2F">
        <w:rPr>
          <w:rFonts w:ascii="Arial" w:eastAsia="Times New Roman" w:hAnsi="Arial" w:cs="Arial"/>
          <w:color w:val="000000"/>
          <w:sz w:val="20"/>
          <w:szCs w:val="20"/>
          <w:lang w:eastAsia="pt-BR"/>
        </w:rPr>
        <w:t xml:space="preserve">KINDLEIN, C. </w:t>
      </w:r>
      <w:r w:rsidRPr="00CD2C2F">
        <w:rPr>
          <w:rFonts w:ascii="Arial" w:eastAsia="Times New Roman" w:hAnsi="Arial" w:cs="Arial"/>
          <w:b/>
          <w:bCs/>
          <w:color w:val="000000"/>
          <w:sz w:val="20"/>
          <w:szCs w:val="20"/>
          <w:lang w:eastAsia="pt-BR"/>
        </w:rPr>
        <w:t>Determinação do teor de nitratos e nitritos na água de abastecimento do município de Nova Santa Rita</w:t>
      </w:r>
      <w:r w:rsidRPr="00CD2C2F">
        <w:rPr>
          <w:rFonts w:ascii="Arial" w:eastAsia="Times New Roman" w:hAnsi="Arial" w:cs="Arial"/>
          <w:color w:val="000000"/>
          <w:sz w:val="20"/>
          <w:szCs w:val="20"/>
          <w:lang w:eastAsia="pt-BR"/>
        </w:rPr>
        <w:t xml:space="preserve">. </w:t>
      </w:r>
      <w:r w:rsidRPr="00163EA2">
        <w:rPr>
          <w:rFonts w:ascii="Arial" w:eastAsia="Times New Roman" w:hAnsi="Arial" w:cs="Arial"/>
          <w:color w:val="000000"/>
          <w:sz w:val="20"/>
          <w:szCs w:val="20"/>
          <w:lang w:eastAsia="pt-BR"/>
        </w:rPr>
        <w:t>Canoas, 2010.</w:t>
      </w:r>
    </w:p>
    <w:p w:rsidR="00EA30CE" w:rsidRPr="00163EA2" w:rsidRDefault="00EA30CE" w:rsidP="00E410F6">
      <w:pPr>
        <w:spacing w:after="0" w:line="276" w:lineRule="auto"/>
        <w:jc w:val="both"/>
        <w:rPr>
          <w:rFonts w:ascii="Arial" w:eastAsia="Times New Roman" w:hAnsi="Arial" w:cs="Arial"/>
          <w:sz w:val="24"/>
          <w:szCs w:val="24"/>
          <w:lang w:eastAsia="pt-BR"/>
        </w:rPr>
      </w:pPr>
    </w:p>
    <w:p w:rsidR="00EA30CE" w:rsidRDefault="00EA30CE" w:rsidP="00E410F6">
      <w:pPr>
        <w:spacing w:after="0" w:line="276" w:lineRule="auto"/>
        <w:jc w:val="both"/>
        <w:rPr>
          <w:rFonts w:ascii="Arial" w:eastAsia="Times New Roman" w:hAnsi="Arial" w:cs="Arial"/>
          <w:color w:val="000000"/>
          <w:sz w:val="20"/>
          <w:szCs w:val="20"/>
          <w:lang w:eastAsia="pt-BR"/>
        </w:rPr>
      </w:pPr>
      <w:r w:rsidRPr="00CD2C2F">
        <w:rPr>
          <w:rFonts w:ascii="Arial" w:eastAsia="Times New Roman" w:hAnsi="Arial" w:cs="Arial"/>
          <w:color w:val="000000"/>
          <w:sz w:val="20"/>
          <w:szCs w:val="20"/>
          <w:lang w:eastAsia="pt-BR"/>
        </w:rPr>
        <w:t xml:space="preserve">LAMPARELLI, M. C. </w:t>
      </w:r>
      <w:r w:rsidRPr="00CD2C2F">
        <w:rPr>
          <w:rFonts w:ascii="Arial" w:eastAsia="Times New Roman" w:hAnsi="Arial" w:cs="Arial"/>
          <w:b/>
          <w:bCs/>
          <w:color w:val="000000"/>
          <w:sz w:val="20"/>
          <w:szCs w:val="20"/>
          <w:lang w:eastAsia="pt-BR"/>
        </w:rPr>
        <w:t>Grau de trofia em corpos d’água do estado de São Paulo: avaliação dos métodos de monitoramento</w:t>
      </w:r>
      <w:r w:rsidRPr="00CD2C2F">
        <w:rPr>
          <w:rFonts w:ascii="Arial" w:eastAsia="Times New Roman" w:hAnsi="Arial" w:cs="Arial"/>
          <w:color w:val="000000"/>
          <w:sz w:val="20"/>
          <w:szCs w:val="20"/>
          <w:lang w:eastAsia="pt-BR"/>
        </w:rPr>
        <w:t>. São Paulo: USP/ Departamento de Ecologia., 2004. 235 f. Tese de doutorado, Universidade de São Paulo, 2004.</w:t>
      </w:r>
    </w:p>
    <w:p w:rsidR="00EA30CE" w:rsidRPr="00CD2C2F" w:rsidRDefault="00EA30CE" w:rsidP="00E410F6">
      <w:pPr>
        <w:spacing w:after="0" w:line="276" w:lineRule="auto"/>
        <w:jc w:val="both"/>
        <w:rPr>
          <w:rFonts w:ascii="Arial" w:eastAsia="Times New Roman" w:hAnsi="Arial" w:cs="Arial"/>
          <w:sz w:val="24"/>
          <w:szCs w:val="24"/>
          <w:lang w:eastAsia="pt-BR"/>
        </w:rPr>
      </w:pPr>
    </w:p>
    <w:p w:rsidR="00EA30CE" w:rsidRDefault="00EA30CE" w:rsidP="00E410F6">
      <w:pPr>
        <w:spacing w:after="0" w:line="276" w:lineRule="auto"/>
        <w:jc w:val="both"/>
        <w:rPr>
          <w:rFonts w:ascii="Arial" w:eastAsia="Times New Roman" w:hAnsi="Arial" w:cs="Arial"/>
          <w:color w:val="000000"/>
          <w:sz w:val="20"/>
          <w:szCs w:val="20"/>
          <w:shd w:val="clear" w:color="auto" w:fill="FFFFFF"/>
          <w:lang w:eastAsia="pt-BR"/>
        </w:rPr>
      </w:pPr>
      <w:r w:rsidRPr="00CD2C2F">
        <w:rPr>
          <w:rFonts w:ascii="Arial" w:eastAsia="Times New Roman" w:hAnsi="Arial" w:cs="Arial"/>
          <w:color w:val="000000"/>
          <w:sz w:val="20"/>
          <w:szCs w:val="20"/>
          <w:shd w:val="clear" w:color="auto" w:fill="FFFFFF"/>
          <w:lang w:eastAsia="pt-BR"/>
        </w:rPr>
        <w:t xml:space="preserve">MARTINS, C et al. </w:t>
      </w:r>
      <w:r w:rsidRPr="00CD2C2F">
        <w:rPr>
          <w:rFonts w:ascii="Arial" w:eastAsia="Times New Roman" w:hAnsi="Arial" w:cs="Arial"/>
          <w:b/>
          <w:bCs/>
          <w:color w:val="000000"/>
          <w:sz w:val="20"/>
          <w:szCs w:val="20"/>
          <w:shd w:val="clear" w:color="auto" w:fill="FFFFFF"/>
          <w:lang w:eastAsia="pt-BR"/>
        </w:rPr>
        <w:t>Solubilidade das substâncias orgânicas</w:t>
      </w:r>
      <w:r w:rsidRPr="00CD2C2F">
        <w:rPr>
          <w:rFonts w:ascii="Arial" w:eastAsia="Times New Roman" w:hAnsi="Arial" w:cs="Arial"/>
          <w:color w:val="000000"/>
          <w:sz w:val="20"/>
          <w:szCs w:val="20"/>
          <w:shd w:val="clear" w:color="auto" w:fill="FFFFFF"/>
          <w:lang w:eastAsia="pt-BR"/>
        </w:rPr>
        <w:t>. Quím. Nova, São Paulo, v. 36, n. 8, p. 1248-1255, 2013.   </w:t>
      </w:r>
    </w:p>
    <w:p w:rsidR="00EA30CE" w:rsidRPr="00163EA2" w:rsidRDefault="00EA30CE" w:rsidP="00E410F6">
      <w:pPr>
        <w:spacing w:after="0" w:line="276" w:lineRule="auto"/>
        <w:jc w:val="both"/>
        <w:rPr>
          <w:rFonts w:ascii="Arial" w:eastAsia="Times New Roman" w:hAnsi="Arial" w:cs="Arial"/>
          <w:color w:val="000000"/>
          <w:sz w:val="18"/>
          <w:szCs w:val="20"/>
          <w:shd w:val="clear" w:color="auto" w:fill="FFFFFF"/>
          <w:lang w:eastAsia="pt-BR"/>
        </w:rPr>
      </w:pPr>
      <w:r w:rsidRPr="00163EA2">
        <w:rPr>
          <w:rFonts w:ascii="Arial" w:eastAsia="Times New Roman" w:hAnsi="Arial" w:cs="Arial"/>
          <w:color w:val="000000"/>
          <w:sz w:val="18"/>
          <w:szCs w:val="20"/>
          <w:shd w:val="clear" w:color="auto" w:fill="FFFFFF"/>
          <w:lang w:eastAsia="pt-BR"/>
        </w:rPr>
        <w:t xml:space="preserve"> </w:t>
      </w:r>
    </w:p>
    <w:p w:rsidR="00EA30CE" w:rsidRPr="001F283A" w:rsidRDefault="00EA30CE" w:rsidP="00E410F6">
      <w:pPr>
        <w:spacing w:after="0" w:line="276" w:lineRule="auto"/>
        <w:jc w:val="both"/>
        <w:rPr>
          <w:rFonts w:ascii="Arial" w:eastAsia="Times New Roman" w:hAnsi="Arial" w:cs="Arial"/>
          <w:szCs w:val="24"/>
          <w:lang w:eastAsia="pt-BR"/>
        </w:rPr>
      </w:pPr>
      <w:r w:rsidRPr="00163EA2">
        <w:rPr>
          <w:rFonts w:ascii="Arial" w:hAnsi="Arial" w:cs="Arial"/>
          <w:color w:val="000000"/>
          <w:sz w:val="20"/>
          <w:shd w:val="clear" w:color="auto" w:fill="FFFFFF"/>
        </w:rPr>
        <w:t xml:space="preserve">MOURA, G. C. et al. </w:t>
      </w:r>
      <w:r w:rsidRPr="001F283A">
        <w:rPr>
          <w:rFonts w:ascii="Arial" w:hAnsi="Arial" w:cs="Arial"/>
          <w:color w:val="000000"/>
          <w:sz w:val="20"/>
          <w:shd w:val="clear" w:color="auto" w:fill="FFFFFF"/>
        </w:rPr>
        <w:t>Evolução do estado trófico do reservatório de Bodocongó, semiárido, BRASIL. Encontro Nacional de Educação, Ciência e Tecnologia. UEPB. 2012.</w:t>
      </w:r>
    </w:p>
    <w:p w:rsidR="00EA30CE" w:rsidRPr="00CD2C2F" w:rsidRDefault="00EA30CE" w:rsidP="00E410F6">
      <w:pPr>
        <w:spacing w:after="0" w:line="276" w:lineRule="auto"/>
        <w:jc w:val="both"/>
        <w:rPr>
          <w:rFonts w:ascii="Arial" w:eastAsia="Times New Roman" w:hAnsi="Arial" w:cs="Arial"/>
          <w:sz w:val="24"/>
          <w:szCs w:val="24"/>
          <w:lang w:eastAsia="pt-BR"/>
        </w:rPr>
      </w:pPr>
    </w:p>
    <w:p w:rsidR="00EA30CE" w:rsidRPr="00C50FAD" w:rsidRDefault="00EA30CE" w:rsidP="00E410F6">
      <w:pPr>
        <w:spacing w:after="0" w:line="276" w:lineRule="auto"/>
        <w:jc w:val="both"/>
        <w:rPr>
          <w:rFonts w:ascii="Arial" w:eastAsia="Times New Roman" w:hAnsi="Arial" w:cs="Arial"/>
          <w:sz w:val="24"/>
          <w:szCs w:val="24"/>
          <w:lang w:val="en-US" w:eastAsia="pt-BR"/>
        </w:rPr>
      </w:pPr>
      <w:r w:rsidRPr="00CD2C2F">
        <w:rPr>
          <w:rFonts w:ascii="Arial" w:eastAsia="Times New Roman" w:hAnsi="Arial" w:cs="Arial"/>
          <w:color w:val="000000"/>
          <w:sz w:val="20"/>
          <w:szCs w:val="20"/>
          <w:lang w:eastAsia="pt-BR"/>
        </w:rPr>
        <w:t xml:space="preserve">OLIVEIRA, N. </w:t>
      </w:r>
      <w:r w:rsidRPr="00CD2C2F">
        <w:rPr>
          <w:rFonts w:ascii="Arial" w:eastAsia="Times New Roman" w:hAnsi="Arial" w:cs="Arial"/>
          <w:b/>
          <w:bCs/>
          <w:color w:val="000000"/>
          <w:sz w:val="20"/>
          <w:szCs w:val="20"/>
          <w:lang w:eastAsia="pt-BR"/>
        </w:rPr>
        <w:t>Aproveitamento de água de chuva de cobertura para fins não potáveis de próprios da educação da rede municipal de Guarulhos</w:t>
      </w:r>
      <w:r w:rsidRPr="00CD2C2F">
        <w:rPr>
          <w:rFonts w:ascii="Arial" w:eastAsia="Times New Roman" w:hAnsi="Arial" w:cs="Arial"/>
          <w:color w:val="000000"/>
          <w:sz w:val="20"/>
          <w:szCs w:val="20"/>
          <w:lang w:eastAsia="pt-BR"/>
        </w:rPr>
        <w:t xml:space="preserve">. </w:t>
      </w:r>
      <w:r w:rsidRPr="00C50FAD">
        <w:rPr>
          <w:rFonts w:ascii="Arial" w:eastAsia="Times New Roman" w:hAnsi="Arial" w:cs="Arial"/>
          <w:color w:val="000000"/>
          <w:sz w:val="20"/>
          <w:szCs w:val="20"/>
          <w:lang w:val="en-US" w:eastAsia="pt-BR"/>
        </w:rPr>
        <w:t>Guarulhos, 2008.  Available from</w:t>
      </w:r>
      <w:r w:rsidRPr="00C50FAD">
        <w:rPr>
          <w:lang w:val="en-US"/>
        </w:rPr>
        <w:t xml:space="preserve"> </w:t>
      </w:r>
      <w:r>
        <w:rPr>
          <w:lang w:val="en-US"/>
        </w:rPr>
        <w:t>&lt;</w:t>
      </w:r>
      <w:r w:rsidRPr="00C50FAD">
        <w:rPr>
          <w:rFonts w:ascii="Arial" w:eastAsia="Times New Roman" w:hAnsi="Arial" w:cs="Arial"/>
          <w:color w:val="000000"/>
          <w:sz w:val="20"/>
          <w:szCs w:val="20"/>
          <w:lang w:val="en-US" w:eastAsia="pt-BR"/>
        </w:rPr>
        <w:t>http://www.pliniotomaz.com.br/downloads/15nancy.pdf</w:t>
      </w:r>
      <w:r>
        <w:rPr>
          <w:rFonts w:ascii="Arial" w:eastAsia="Times New Roman" w:hAnsi="Arial" w:cs="Arial"/>
          <w:color w:val="000000"/>
          <w:sz w:val="20"/>
          <w:szCs w:val="20"/>
          <w:lang w:val="en-US" w:eastAsia="pt-BR"/>
        </w:rPr>
        <w:t>&gt;. access on 01 Dec. 2017.</w:t>
      </w:r>
    </w:p>
    <w:p w:rsidR="00EA30CE" w:rsidRPr="00EA30CE" w:rsidRDefault="00EA30CE" w:rsidP="00E410F6">
      <w:pPr>
        <w:spacing w:after="0" w:line="276" w:lineRule="auto"/>
        <w:jc w:val="both"/>
        <w:rPr>
          <w:rFonts w:ascii="Arial" w:eastAsia="Times New Roman" w:hAnsi="Arial" w:cs="Arial"/>
          <w:sz w:val="24"/>
          <w:szCs w:val="24"/>
          <w:lang w:val="en-US" w:eastAsia="pt-BR"/>
        </w:rPr>
      </w:pPr>
    </w:p>
    <w:p w:rsidR="00EA30CE" w:rsidRDefault="00EA30CE" w:rsidP="00E410F6">
      <w:pPr>
        <w:spacing w:after="0" w:line="276" w:lineRule="auto"/>
        <w:jc w:val="both"/>
        <w:rPr>
          <w:rFonts w:ascii="Arial" w:eastAsia="Times New Roman" w:hAnsi="Arial" w:cs="Arial"/>
          <w:color w:val="000000"/>
          <w:sz w:val="20"/>
          <w:szCs w:val="20"/>
          <w:lang w:eastAsia="pt-BR"/>
        </w:rPr>
      </w:pPr>
      <w:r w:rsidRPr="00CD2C2F">
        <w:rPr>
          <w:rFonts w:ascii="Arial" w:eastAsia="Times New Roman" w:hAnsi="Arial" w:cs="Arial"/>
          <w:color w:val="000000"/>
          <w:sz w:val="20"/>
          <w:szCs w:val="20"/>
          <w:lang w:eastAsia="pt-BR"/>
        </w:rPr>
        <w:t>ONU, Organização das Nações Unidas.</w:t>
      </w:r>
      <w:r w:rsidRPr="00CD2C2F">
        <w:rPr>
          <w:rFonts w:ascii="Arial" w:eastAsia="Times New Roman" w:hAnsi="Arial" w:cs="Arial"/>
          <w:b/>
          <w:bCs/>
          <w:color w:val="000000"/>
          <w:sz w:val="20"/>
          <w:szCs w:val="20"/>
          <w:lang w:eastAsia="pt-BR"/>
        </w:rPr>
        <w:t xml:space="preserve"> O Direito Humano à Água e Saneamento</w:t>
      </w:r>
      <w:r w:rsidRPr="00CD2C2F">
        <w:rPr>
          <w:rFonts w:ascii="Arial" w:eastAsia="Times New Roman" w:hAnsi="Arial" w:cs="Arial"/>
          <w:color w:val="000000"/>
          <w:sz w:val="20"/>
          <w:szCs w:val="20"/>
          <w:lang w:eastAsia="pt-BR"/>
        </w:rPr>
        <w:t>. 2010</w:t>
      </w:r>
    </w:p>
    <w:p w:rsidR="00EA30CE" w:rsidRPr="00866B9A" w:rsidRDefault="00EA30CE" w:rsidP="00E410F6">
      <w:pPr>
        <w:spacing w:after="0" w:line="276" w:lineRule="auto"/>
        <w:jc w:val="both"/>
        <w:rPr>
          <w:rFonts w:ascii="Times New Roman" w:eastAsia="Times New Roman" w:hAnsi="Times New Roman" w:cs="Times New Roman"/>
          <w:sz w:val="24"/>
          <w:szCs w:val="24"/>
          <w:lang w:eastAsia="pt-BR"/>
        </w:rPr>
      </w:pPr>
    </w:p>
    <w:p w:rsidR="00EA30CE" w:rsidRDefault="00EA30CE" w:rsidP="00E410F6">
      <w:pPr>
        <w:spacing w:after="0" w:line="276" w:lineRule="auto"/>
        <w:jc w:val="both"/>
        <w:rPr>
          <w:rFonts w:ascii="Arial" w:eastAsia="Times New Roman" w:hAnsi="Arial" w:cs="Arial"/>
          <w:color w:val="000000"/>
          <w:sz w:val="20"/>
          <w:szCs w:val="20"/>
          <w:lang w:eastAsia="pt-BR"/>
        </w:rPr>
      </w:pPr>
      <w:r w:rsidRPr="00866B9A">
        <w:rPr>
          <w:rFonts w:ascii="Arial" w:eastAsia="Times New Roman" w:hAnsi="Arial" w:cs="Arial"/>
          <w:color w:val="000000"/>
          <w:sz w:val="20"/>
          <w:szCs w:val="20"/>
          <w:lang w:eastAsia="pt-BR"/>
        </w:rPr>
        <w:t xml:space="preserve">PEREIRA, L. MERCANTE, C. </w:t>
      </w:r>
      <w:r w:rsidRPr="00866B9A">
        <w:rPr>
          <w:rFonts w:ascii="Arial" w:eastAsia="Times New Roman" w:hAnsi="Arial" w:cs="Arial"/>
          <w:b/>
          <w:bCs/>
          <w:color w:val="000000"/>
          <w:sz w:val="20"/>
          <w:szCs w:val="20"/>
          <w:lang w:eastAsia="pt-BR"/>
        </w:rPr>
        <w:t>A amônia nos sistemas de criação de peixes e seus efeitos sobre a qualidade da água. Uma revisão</w:t>
      </w:r>
      <w:r w:rsidRPr="00866B9A">
        <w:rPr>
          <w:rFonts w:ascii="Arial" w:eastAsia="Times New Roman" w:hAnsi="Arial" w:cs="Arial"/>
          <w:color w:val="000000"/>
          <w:sz w:val="20"/>
          <w:szCs w:val="20"/>
          <w:lang w:eastAsia="pt-BR"/>
        </w:rPr>
        <w:t xml:space="preserve">. </w:t>
      </w:r>
      <w:r w:rsidRPr="00EA30CE">
        <w:rPr>
          <w:rFonts w:ascii="Arial" w:eastAsia="Times New Roman" w:hAnsi="Arial" w:cs="Arial"/>
          <w:color w:val="000000"/>
          <w:sz w:val="20"/>
          <w:szCs w:val="20"/>
          <w:lang w:eastAsia="pt-BR"/>
        </w:rPr>
        <w:t xml:space="preserve">Available from&lt;ftp://ftp.sp.gov.br/ftppesca/Pereira_31_1.pdf&gt;. </w:t>
      </w:r>
      <w:r w:rsidRPr="00866B9A">
        <w:rPr>
          <w:rFonts w:ascii="Arial" w:eastAsia="Times New Roman" w:hAnsi="Arial" w:cs="Arial"/>
          <w:color w:val="000000"/>
          <w:sz w:val="20"/>
          <w:szCs w:val="20"/>
          <w:lang w:eastAsia="pt-BR"/>
        </w:rPr>
        <w:t>Access on 03 Dec. 2017.</w:t>
      </w:r>
    </w:p>
    <w:p w:rsidR="00EA30CE" w:rsidRDefault="00EA30CE" w:rsidP="00E410F6">
      <w:pPr>
        <w:spacing w:after="0" w:line="276" w:lineRule="auto"/>
        <w:jc w:val="both"/>
        <w:rPr>
          <w:rFonts w:ascii="Arial" w:eastAsia="Times New Roman" w:hAnsi="Arial" w:cs="Arial"/>
          <w:color w:val="000000"/>
          <w:sz w:val="20"/>
          <w:szCs w:val="20"/>
          <w:lang w:eastAsia="pt-BR"/>
        </w:rPr>
      </w:pPr>
    </w:p>
    <w:p w:rsidR="00EA30CE" w:rsidRDefault="00EA30CE" w:rsidP="00E410F6">
      <w:pPr>
        <w:spacing w:after="0" w:line="276" w:lineRule="auto"/>
        <w:jc w:val="both"/>
        <w:rPr>
          <w:rFonts w:ascii="Arial" w:hAnsi="Arial" w:cs="Arial"/>
          <w:sz w:val="20"/>
          <w:szCs w:val="21"/>
          <w:shd w:val="clear" w:color="auto" w:fill="FFFFFF"/>
        </w:rPr>
      </w:pPr>
      <w:r w:rsidRPr="003D0AB2">
        <w:rPr>
          <w:rFonts w:ascii="Arial" w:hAnsi="Arial" w:cs="Arial"/>
          <w:sz w:val="20"/>
          <w:szCs w:val="21"/>
          <w:shd w:val="clear" w:color="auto" w:fill="FFFFFF"/>
        </w:rPr>
        <w:t xml:space="preserve">QUEIRÓZ, A. B. de. </w:t>
      </w:r>
      <w:r w:rsidRPr="003D0AB2">
        <w:rPr>
          <w:rFonts w:ascii="Arial" w:hAnsi="Arial" w:cs="Arial"/>
          <w:b/>
          <w:sz w:val="20"/>
          <w:szCs w:val="21"/>
          <w:shd w:val="clear" w:color="auto" w:fill="FFFFFF"/>
        </w:rPr>
        <w:t>Utilização da cafeína como indicador de contaminação por esgotos domésticos no Açude Bodocongó em Campina Grande, PB</w:t>
      </w:r>
      <w:r w:rsidRPr="003D0AB2">
        <w:rPr>
          <w:rFonts w:ascii="Arial" w:hAnsi="Arial" w:cs="Arial"/>
          <w:sz w:val="20"/>
          <w:szCs w:val="21"/>
          <w:shd w:val="clear" w:color="auto" w:fill="FFFFFF"/>
        </w:rPr>
        <w:t xml:space="preserve">. 2016. 24f. Trabalho de Conclusão de Curso (Graduação em Engenharia Sanitária e </w:t>
      </w:r>
      <w:r w:rsidR="003B2ED8" w:rsidRPr="003D0AB2">
        <w:rPr>
          <w:rFonts w:ascii="Arial" w:hAnsi="Arial" w:cs="Arial"/>
          <w:sz w:val="20"/>
          <w:szCs w:val="21"/>
          <w:shd w:val="clear" w:color="auto" w:fill="FFFFFF"/>
        </w:rPr>
        <w:t>Ambiental) -</w:t>
      </w:r>
      <w:r w:rsidRPr="003D0AB2">
        <w:rPr>
          <w:rFonts w:ascii="Arial" w:hAnsi="Arial" w:cs="Arial"/>
          <w:sz w:val="20"/>
          <w:szCs w:val="21"/>
          <w:shd w:val="clear" w:color="auto" w:fill="FFFFFF"/>
        </w:rPr>
        <w:t xml:space="preserve"> Universidade Estadual da Paraíba, Campina Grande, 2016.</w:t>
      </w:r>
    </w:p>
    <w:p w:rsidR="00EA30CE" w:rsidRPr="003D0AB2" w:rsidRDefault="00EA30CE" w:rsidP="00E410F6">
      <w:pPr>
        <w:spacing w:after="0" w:line="276" w:lineRule="auto"/>
        <w:jc w:val="both"/>
        <w:rPr>
          <w:rFonts w:ascii="Arial" w:eastAsia="Times New Roman" w:hAnsi="Arial" w:cs="Arial"/>
          <w:sz w:val="18"/>
          <w:szCs w:val="20"/>
          <w:lang w:eastAsia="pt-BR"/>
        </w:rPr>
      </w:pPr>
    </w:p>
    <w:p w:rsidR="00EA30CE" w:rsidRDefault="00EA30CE" w:rsidP="00E410F6">
      <w:pPr>
        <w:spacing w:after="0" w:line="276" w:lineRule="auto"/>
        <w:jc w:val="both"/>
        <w:rPr>
          <w:rFonts w:ascii="Times New Roman" w:eastAsia="Times New Roman" w:hAnsi="Times New Roman" w:cs="Times New Roman"/>
          <w:sz w:val="24"/>
          <w:szCs w:val="24"/>
          <w:lang w:eastAsia="pt-BR"/>
        </w:rPr>
      </w:pPr>
      <w:r w:rsidRPr="00F21286">
        <w:rPr>
          <w:rFonts w:ascii="Arial" w:eastAsia="Times New Roman" w:hAnsi="Arial" w:cs="Arial"/>
          <w:color w:val="000000"/>
          <w:sz w:val="20"/>
          <w:szCs w:val="20"/>
          <w:lang w:eastAsia="pt-BR"/>
        </w:rPr>
        <w:t xml:space="preserve">ROSA, R et al. </w:t>
      </w:r>
      <w:r w:rsidRPr="00F21286">
        <w:rPr>
          <w:rFonts w:ascii="Arial" w:eastAsia="Times New Roman" w:hAnsi="Arial" w:cs="Arial"/>
          <w:b/>
          <w:bCs/>
          <w:color w:val="000000"/>
          <w:sz w:val="20"/>
          <w:szCs w:val="20"/>
          <w:lang w:eastAsia="pt-BR"/>
        </w:rPr>
        <w:t>Importância da compreensão dos ciclos biogeoquímicos para o desenvolvimento sustentável</w:t>
      </w:r>
      <w:r w:rsidRPr="00F21286">
        <w:rPr>
          <w:rFonts w:ascii="Arial" w:eastAsia="Times New Roman" w:hAnsi="Arial" w:cs="Arial"/>
          <w:color w:val="000000"/>
          <w:sz w:val="20"/>
          <w:szCs w:val="20"/>
          <w:lang w:eastAsia="pt-BR"/>
        </w:rPr>
        <w:t>. São Carlos, 2003. Availablefrom&lt;http://www.iqsc.usp.br/iqsc/servidores/docentes/pessoal/mrezende/arquivos/EDUC-AMB-Ciclos-Biogeoquimicos.pdf&gt;. accesson 04 Dec. 2017.</w:t>
      </w:r>
    </w:p>
    <w:p w:rsidR="00EA30CE" w:rsidRDefault="00EA30CE" w:rsidP="00E410F6">
      <w:pPr>
        <w:spacing w:after="0" w:line="276" w:lineRule="auto"/>
        <w:jc w:val="both"/>
        <w:rPr>
          <w:rFonts w:ascii="Times New Roman" w:eastAsia="Times New Roman" w:hAnsi="Times New Roman" w:cs="Times New Roman"/>
          <w:sz w:val="24"/>
          <w:szCs w:val="24"/>
          <w:lang w:eastAsia="pt-BR"/>
        </w:rPr>
      </w:pPr>
    </w:p>
    <w:p w:rsidR="00EA30CE" w:rsidRPr="00AE1F93" w:rsidRDefault="00EA30CE" w:rsidP="00E410F6">
      <w:pPr>
        <w:spacing w:after="0" w:line="276" w:lineRule="auto"/>
        <w:jc w:val="both"/>
        <w:rPr>
          <w:rFonts w:ascii="Arial" w:hAnsi="Arial" w:cs="Arial"/>
          <w:sz w:val="20"/>
          <w:szCs w:val="20"/>
          <w:shd w:val="clear" w:color="auto" w:fill="FFFFFF"/>
        </w:rPr>
      </w:pPr>
      <w:r w:rsidRPr="00AE1F93">
        <w:rPr>
          <w:rFonts w:ascii="Arial" w:hAnsi="Arial" w:cs="Arial"/>
          <w:sz w:val="20"/>
          <w:szCs w:val="20"/>
          <w:shd w:val="clear" w:color="auto" w:fill="FFFFFF"/>
        </w:rPr>
        <w:t xml:space="preserve">SANTOS, I. V. </w:t>
      </w:r>
      <w:r w:rsidRPr="00AE1F93">
        <w:rPr>
          <w:rFonts w:ascii="Arial" w:hAnsi="Arial" w:cs="Arial"/>
          <w:b/>
          <w:sz w:val="20"/>
          <w:szCs w:val="20"/>
          <w:shd w:val="clear" w:color="auto" w:fill="FFFFFF"/>
        </w:rPr>
        <w:t>Avaliação da qualidade da água do Açude Epitácio Pessoa em relação ao nível de água acumulado no período de 2015 e 2016. 2017</w:t>
      </w:r>
      <w:r w:rsidRPr="00AE1F93">
        <w:rPr>
          <w:rFonts w:ascii="Arial" w:hAnsi="Arial" w:cs="Arial"/>
          <w:sz w:val="20"/>
          <w:szCs w:val="20"/>
          <w:shd w:val="clear" w:color="auto" w:fill="FFFFFF"/>
        </w:rPr>
        <w:t xml:space="preserve">. 73f. Trabalho de Conclusão de Curso (Graduação em Engenharia Sanitária e </w:t>
      </w:r>
      <w:r w:rsidR="003B2ED8" w:rsidRPr="00AE1F93">
        <w:rPr>
          <w:rFonts w:ascii="Arial" w:hAnsi="Arial" w:cs="Arial"/>
          <w:sz w:val="20"/>
          <w:szCs w:val="20"/>
          <w:shd w:val="clear" w:color="auto" w:fill="FFFFFF"/>
        </w:rPr>
        <w:t>Ambiental) -</w:t>
      </w:r>
      <w:r w:rsidRPr="00AE1F93">
        <w:rPr>
          <w:rFonts w:ascii="Arial" w:hAnsi="Arial" w:cs="Arial"/>
          <w:sz w:val="20"/>
          <w:szCs w:val="20"/>
          <w:shd w:val="clear" w:color="auto" w:fill="FFFFFF"/>
        </w:rPr>
        <w:t xml:space="preserve"> Universidade Estadual da Paraíba, Campina Grande, 2017.</w:t>
      </w:r>
    </w:p>
    <w:p w:rsidR="00EA30CE" w:rsidRPr="00AE1F93" w:rsidRDefault="00EA30CE" w:rsidP="00E410F6">
      <w:pPr>
        <w:spacing w:after="0" w:line="276" w:lineRule="auto"/>
        <w:jc w:val="both"/>
        <w:rPr>
          <w:rFonts w:ascii="Times New Roman" w:eastAsia="Times New Roman" w:hAnsi="Times New Roman" w:cs="Times New Roman"/>
          <w:sz w:val="20"/>
          <w:szCs w:val="20"/>
          <w:lang w:eastAsia="pt-BR"/>
        </w:rPr>
      </w:pPr>
    </w:p>
    <w:p w:rsidR="00EA30CE" w:rsidRPr="00866B9A" w:rsidRDefault="00EA30CE" w:rsidP="00E410F6">
      <w:pPr>
        <w:spacing w:after="0" w:line="276" w:lineRule="auto"/>
        <w:jc w:val="both"/>
        <w:rPr>
          <w:rFonts w:ascii="Times New Roman" w:eastAsia="Times New Roman" w:hAnsi="Times New Roman" w:cs="Times New Roman"/>
          <w:sz w:val="24"/>
          <w:szCs w:val="24"/>
          <w:lang w:eastAsia="pt-BR"/>
        </w:rPr>
      </w:pPr>
      <w:r w:rsidRPr="00AE1F93">
        <w:rPr>
          <w:rFonts w:ascii="Arial" w:eastAsia="Times New Roman" w:hAnsi="Arial" w:cs="Arial"/>
          <w:color w:val="000000"/>
          <w:sz w:val="20"/>
          <w:szCs w:val="20"/>
          <w:lang w:eastAsia="pt-BR"/>
        </w:rPr>
        <w:t>SILVA, Salomão A. &amp; OLIVEIRA, Rui -</w:t>
      </w:r>
      <w:r w:rsidRPr="00866B9A">
        <w:rPr>
          <w:rFonts w:ascii="Arial" w:eastAsia="Times New Roman" w:hAnsi="Arial" w:cs="Arial"/>
          <w:b/>
          <w:bCs/>
          <w:color w:val="000000"/>
          <w:sz w:val="20"/>
          <w:szCs w:val="20"/>
          <w:lang w:eastAsia="pt-BR"/>
        </w:rPr>
        <w:t>MANUAL DE ANÁLISES FÍSICO-QUÍMICAS de Águas de Abastecimento e Residuárias</w:t>
      </w:r>
      <w:r w:rsidRPr="00866B9A">
        <w:rPr>
          <w:rFonts w:ascii="Arial" w:eastAsia="Times New Roman" w:hAnsi="Arial" w:cs="Arial"/>
          <w:color w:val="000000"/>
          <w:sz w:val="20"/>
          <w:szCs w:val="20"/>
          <w:lang w:eastAsia="pt-BR"/>
        </w:rPr>
        <w:t>, DEC/CCT/UFCG, Campina Grande, 2001, 270p.</w:t>
      </w:r>
    </w:p>
    <w:p w:rsidR="005770E3" w:rsidRDefault="005770E3" w:rsidP="001D792F">
      <w:pPr>
        <w:pStyle w:val="NormalWeb"/>
        <w:spacing w:before="0" w:beforeAutospacing="0" w:after="0" w:afterAutospacing="0"/>
        <w:jc w:val="both"/>
      </w:pPr>
    </w:p>
    <w:sectPr w:rsidR="005770E3" w:rsidSect="00A748C1">
      <w:footerReference w:type="first" r:id="rId19"/>
      <w:pgSz w:w="11906" w:h="16838"/>
      <w:pgMar w:top="1702" w:right="1133"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43A9" w:rsidRDefault="005643A9" w:rsidP="006A1555">
      <w:pPr>
        <w:spacing w:after="0" w:line="240" w:lineRule="auto"/>
      </w:pPr>
      <w:r>
        <w:separator/>
      </w:r>
    </w:p>
  </w:endnote>
  <w:endnote w:type="continuationSeparator" w:id="0">
    <w:p w:rsidR="005643A9" w:rsidRDefault="005643A9" w:rsidP="006A1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48C1" w:rsidRDefault="00A748C1" w:rsidP="00A748C1">
    <w:pPr>
      <w:pStyle w:val="NormalWeb"/>
      <w:pBdr>
        <w:bottom w:val="single" w:sz="6" w:space="1" w:color="auto"/>
      </w:pBdr>
      <w:spacing w:before="0" w:beforeAutospacing="0" w:after="0" w:afterAutospacing="0"/>
      <w:jc w:val="both"/>
      <w:rPr>
        <w:rFonts w:ascii="Arial" w:hAnsi="Arial" w:cs="Arial"/>
        <w:color w:val="000000"/>
        <w:sz w:val="20"/>
        <w:szCs w:val="20"/>
        <w:vertAlign w:val="superscript"/>
      </w:rPr>
    </w:pPr>
  </w:p>
  <w:p w:rsidR="00B958ED" w:rsidRPr="00A748C1" w:rsidRDefault="00B958ED" w:rsidP="00B958ED">
    <w:pPr>
      <w:pStyle w:val="NormalWeb"/>
      <w:spacing w:before="0" w:beforeAutospacing="0" w:after="0" w:afterAutospacing="0"/>
      <w:jc w:val="both"/>
      <w:rPr>
        <w:rFonts w:ascii="Arial" w:hAnsi="Arial" w:cs="Arial"/>
        <w:sz w:val="20"/>
        <w:szCs w:val="20"/>
      </w:rPr>
    </w:pPr>
    <w:r w:rsidRPr="00A748C1">
      <w:rPr>
        <w:rFonts w:ascii="Arial" w:hAnsi="Arial" w:cs="Arial"/>
        <w:color w:val="000000"/>
        <w:sz w:val="20"/>
        <w:szCs w:val="20"/>
        <w:vertAlign w:val="superscript"/>
      </w:rPr>
      <w:t>1</w:t>
    </w:r>
    <w:r w:rsidRPr="00924CEB">
      <w:rPr>
        <w:rFonts w:ascii="Arial" w:hAnsi="Arial" w:cs="Arial"/>
        <w:color w:val="000000"/>
        <w:sz w:val="20"/>
        <w:szCs w:val="20"/>
      </w:rPr>
      <w:t xml:space="preserve"> </w:t>
    </w:r>
    <w:r>
      <w:rPr>
        <w:rFonts w:ascii="Arial" w:hAnsi="Arial" w:cs="Arial"/>
        <w:color w:val="000000"/>
        <w:sz w:val="20"/>
        <w:szCs w:val="20"/>
      </w:rPr>
      <w:t xml:space="preserve">Professor Doutor da </w:t>
    </w:r>
    <w:r w:rsidRPr="00A748C1">
      <w:rPr>
        <w:rFonts w:ascii="Arial" w:hAnsi="Arial" w:cs="Arial"/>
        <w:color w:val="000000"/>
        <w:sz w:val="20"/>
        <w:szCs w:val="20"/>
      </w:rPr>
      <w:t>Faculdade de Ciências Médicas, Centro de Ensino Superior e Desenvolvimento. Av. Argemiro de Figueiredo, nº 1901, Itararé, CEP 5841</w:t>
    </w:r>
    <w:r>
      <w:rPr>
        <w:rFonts w:ascii="Arial" w:hAnsi="Arial" w:cs="Arial"/>
        <w:color w:val="000000"/>
        <w:sz w:val="20"/>
        <w:szCs w:val="20"/>
      </w:rPr>
      <w:t>1-020, Campina Grande (PB), E-mail: fabiogiovanni77@gmail.com.</w:t>
    </w:r>
  </w:p>
  <w:p w:rsidR="00B958ED" w:rsidRPr="00A748C1" w:rsidRDefault="00B958ED" w:rsidP="00B958ED">
    <w:pPr>
      <w:pStyle w:val="NormalWeb"/>
      <w:spacing w:before="0" w:beforeAutospacing="0" w:after="0" w:afterAutospacing="0"/>
      <w:jc w:val="both"/>
      <w:rPr>
        <w:rFonts w:ascii="Arial" w:hAnsi="Arial" w:cs="Arial"/>
        <w:sz w:val="20"/>
        <w:szCs w:val="20"/>
      </w:rPr>
    </w:pPr>
    <w:r w:rsidRPr="00A748C1">
      <w:rPr>
        <w:rFonts w:ascii="Arial" w:hAnsi="Arial" w:cs="Arial"/>
        <w:color w:val="000000"/>
        <w:sz w:val="20"/>
        <w:szCs w:val="20"/>
        <w:vertAlign w:val="superscript"/>
      </w:rPr>
      <w:t>2</w:t>
    </w:r>
    <w:r>
      <w:rPr>
        <w:rFonts w:ascii="Arial" w:hAnsi="Arial" w:cs="Arial"/>
        <w:color w:val="000000"/>
        <w:sz w:val="20"/>
        <w:szCs w:val="20"/>
        <w:vertAlign w:val="superscript"/>
      </w:rPr>
      <w:t>,3</w:t>
    </w:r>
    <w:r w:rsidRPr="00A748C1">
      <w:rPr>
        <w:rFonts w:ascii="Arial" w:hAnsi="Arial" w:cs="Arial"/>
        <w:color w:val="000000"/>
        <w:sz w:val="20"/>
        <w:szCs w:val="20"/>
      </w:rPr>
      <w:t>Graduand</w:t>
    </w:r>
    <w:r>
      <w:rPr>
        <w:rFonts w:ascii="Arial" w:hAnsi="Arial" w:cs="Arial"/>
        <w:color w:val="000000"/>
        <w:sz w:val="20"/>
        <w:szCs w:val="20"/>
      </w:rPr>
      <w:t>os</w:t>
    </w:r>
    <w:r w:rsidRPr="00A748C1">
      <w:rPr>
        <w:rFonts w:ascii="Arial" w:hAnsi="Arial" w:cs="Arial"/>
        <w:color w:val="000000"/>
        <w:sz w:val="20"/>
        <w:szCs w:val="20"/>
      </w:rPr>
      <w:t xml:space="preserve"> em Biomedicina,</w:t>
    </w:r>
    <w:r>
      <w:rPr>
        <w:rFonts w:ascii="Arial" w:hAnsi="Arial" w:cs="Arial"/>
        <w:color w:val="000000"/>
        <w:sz w:val="20"/>
        <w:szCs w:val="20"/>
      </w:rPr>
      <w:t xml:space="preserve"> </w:t>
    </w:r>
    <w:r w:rsidRPr="00A748C1">
      <w:rPr>
        <w:rFonts w:ascii="Arial" w:hAnsi="Arial" w:cs="Arial"/>
        <w:sz w:val="20"/>
        <w:szCs w:val="20"/>
      </w:rPr>
      <w:t xml:space="preserve">Faculdade de Ciências Médicas, Centro de Ensino Superior e Desenvolvimento. Av. Senador Argemiro de Figueiredo, nº 1901, Itararé, CEP 58411020, Campina Grande (PB), </w:t>
    </w:r>
    <w:r>
      <w:rPr>
        <w:rFonts w:ascii="Arial" w:hAnsi="Arial" w:cs="Arial"/>
        <w:sz w:val="20"/>
        <w:szCs w:val="20"/>
      </w:rPr>
      <w:t xml:space="preserve">E-mail: </w:t>
    </w:r>
    <w:r w:rsidRPr="00A748C1">
      <w:rPr>
        <w:rFonts w:ascii="Arial" w:hAnsi="Arial" w:cs="Arial"/>
        <w:sz w:val="20"/>
        <w:szCs w:val="20"/>
      </w:rPr>
      <w:t>alex_felipe_feitosa@hotmail.com</w:t>
    </w:r>
    <w:r>
      <w:rPr>
        <w:rFonts w:ascii="Arial" w:hAnsi="Arial" w:cs="Arial"/>
        <w:sz w:val="20"/>
        <w:szCs w:val="20"/>
      </w:rPr>
      <w:t xml:space="preserve">; </w:t>
    </w:r>
    <w:r w:rsidRPr="00A748C1">
      <w:rPr>
        <w:rFonts w:ascii="Arial" w:hAnsi="Arial" w:cs="Arial"/>
        <w:sz w:val="20"/>
        <w:szCs w:val="20"/>
      </w:rPr>
      <w:t>rafaelagomes6@gmail.com</w:t>
    </w:r>
    <w:r>
      <w:rPr>
        <w:rFonts w:ascii="Arial" w:hAnsi="Arial" w:cs="Arial"/>
        <w:sz w:val="20"/>
        <w:szCs w:val="20"/>
      </w:rPr>
      <w:t>.</w:t>
    </w:r>
  </w:p>
  <w:p w:rsidR="00A748C1" w:rsidRPr="00A748C1" w:rsidRDefault="00A748C1" w:rsidP="00B958ED">
    <w:pPr>
      <w:pStyle w:val="NormalWeb"/>
      <w:spacing w:before="0" w:beforeAutospacing="0" w:after="0" w:afterAutospacing="0"/>
      <w:jc w:val="both"/>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43A9" w:rsidRDefault="005643A9" w:rsidP="006A1555">
      <w:pPr>
        <w:spacing w:after="0" w:line="240" w:lineRule="auto"/>
      </w:pPr>
      <w:r>
        <w:separator/>
      </w:r>
    </w:p>
  </w:footnote>
  <w:footnote w:type="continuationSeparator" w:id="0">
    <w:p w:rsidR="005643A9" w:rsidRDefault="005643A9" w:rsidP="006A15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960pt;height:539.25pt;visibility:visible;mso-wrap-style:square" o:bullet="t">
        <v:imagedata r:id="rId1" o:title=""/>
      </v:shape>
    </w:pict>
  </w:numPicBullet>
  <w:abstractNum w:abstractNumId="0" w15:restartNumberingAfterBreak="0">
    <w:nsid w:val="07690602"/>
    <w:multiLevelType w:val="hybridMultilevel"/>
    <w:tmpl w:val="14624B84"/>
    <w:lvl w:ilvl="0" w:tplc="2C96D7FA">
      <w:start w:val="1"/>
      <w:numFmt w:val="decimal"/>
      <w:lvlText w:val="%1."/>
      <w:lvlJc w:val="left"/>
      <w:pPr>
        <w:ind w:left="720" w:hanging="360"/>
      </w:pPr>
      <w:rPr>
        <w:rFonts w:ascii="Arial" w:hAnsi="Arial" w:cs="Arial" w:hint="default"/>
        <w:color w:val="00000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B37712E"/>
    <w:multiLevelType w:val="hybridMultilevel"/>
    <w:tmpl w:val="F91AF41E"/>
    <w:lvl w:ilvl="0" w:tplc="8FFAF1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DB00F2C"/>
    <w:multiLevelType w:val="hybridMultilevel"/>
    <w:tmpl w:val="1D28E166"/>
    <w:lvl w:ilvl="0" w:tplc="5BECDE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8C30CFC"/>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9833C73"/>
    <w:multiLevelType w:val="hybridMultilevel"/>
    <w:tmpl w:val="876A66F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509562A"/>
    <w:multiLevelType w:val="multilevel"/>
    <w:tmpl w:val="C1383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450F21"/>
    <w:multiLevelType w:val="hybridMultilevel"/>
    <w:tmpl w:val="045814DA"/>
    <w:lvl w:ilvl="0" w:tplc="5E8EEE9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D900AAA"/>
    <w:multiLevelType w:val="hybridMultilevel"/>
    <w:tmpl w:val="14264F56"/>
    <w:lvl w:ilvl="0" w:tplc="157EE134">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8" w15:restartNumberingAfterBreak="0">
    <w:nsid w:val="40A95884"/>
    <w:multiLevelType w:val="hybridMultilevel"/>
    <w:tmpl w:val="03EE3FE4"/>
    <w:lvl w:ilvl="0" w:tplc="42645C0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21B3A76"/>
    <w:multiLevelType w:val="multilevel"/>
    <w:tmpl w:val="FC2E3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3D497A"/>
    <w:multiLevelType w:val="hybridMultilevel"/>
    <w:tmpl w:val="8E0A89B8"/>
    <w:lvl w:ilvl="0" w:tplc="E760CEF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BDB6783"/>
    <w:multiLevelType w:val="hybridMultilevel"/>
    <w:tmpl w:val="ED98A7A2"/>
    <w:lvl w:ilvl="0" w:tplc="F27C0FC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DC27BFB"/>
    <w:multiLevelType w:val="hybridMultilevel"/>
    <w:tmpl w:val="E9B2FF2A"/>
    <w:lvl w:ilvl="0" w:tplc="590C82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AA730F0"/>
    <w:multiLevelType w:val="hybridMultilevel"/>
    <w:tmpl w:val="02C6C234"/>
    <w:lvl w:ilvl="0" w:tplc="E0920076">
      <w:start w:val="1"/>
      <w:numFmt w:val="decimal"/>
      <w:lvlText w:val="%1-"/>
      <w:lvlJc w:val="left"/>
      <w:pPr>
        <w:ind w:left="360" w:hanging="360"/>
      </w:pPr>
      <w:rPr>
        <w:rFonts w:hint="default"/>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num w:numId="1">
    <w:abstractNumId w:val="13"/>
  </w:num>
  <w:num w:numId="2">
    <w:abstractNumId w:val="8"/>
  </w:num>
  <w:num w:numId="3">
    <w:abstractNumId w:val="1"/>
  </w:num>
  <w:num w:numId="4">
    <w:abstractNumId w:val="12"/>
  </w:num>
  <w:num w:numId="5">
    <w:abstractNumId w:val="2"/>
  </w:num>
  <w:num w:numId="6">
    <w:abstractNumId w:val="11"/>
  </w:num>
  <w:num w:numId="7">
    <w:abstractNumId w:val="6"/>
  </w:num>
  <w:num w:numId="8">
    <w:abstractNumId w:val="10"/>
  </w:num>
  <w:num w:numId="9">
    <w:abstractNumId w:val="9"/>
    <w:lvlOverride w:ilvl="0">
      <w:lvl w:ilvl="0">
        <w:numFmt w:val="lowerLetter"/>
        <w:lvlText w:val="%1."/>
        <w:lvlJc w:val="left"/>
      </w:lvl>
    </w:lvlOverride>
  </w:num>
  <w:num w:numId="10">
    <w:abstractNumId w:val="4"/>
  </w:num>
  <w:num w:numId="11">
    <w:abstractNumId w:val="3"/>
  </w:num>
  <w:num w:numId="12">
    <w:abstractNumId w:val="7"/>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2437E"/>
    <w:rsid w:val="00005434"/>
    <w:rsid w:val="00010BFC"/>
    <w:rsid w:val="00035177"/>
    <w:rsid w:val="00035C1F"/>
    <w:rsid w:val="000404D0"/>
    <w:rsid w:val="00055C2D"/>
    <w:rsid w:val="000603DC"/>
    <w:rsid w:val="000777A0"/>
    <w:rsid w:val="0007797A"/>
    <w:rsid w:val="000B62C6"/>
    <w:rsid w:val="000E7CE6"/>
    <w:rsid w:val="000F076E"/>
    <w:rsid w:val="000F5619"/>
    <w:rsid w:val="001060CB"/>
    <w:rsid w:val="001119E4"/>
    <w:rsid w:val="00116A87"/>
    <w:rsid w:val="00131EC3"/>
    <w:rsid w:val="001638F2"/>
    <w:rsid w:val="00183711"/>
    <w:rsid w:val="00190EC7"/>
    <w:rsid w:val="00194FF4"/>
    <w:rsid w:val="001A0657"/>
    <w:rsid w:val="001B4E53"/>
    <w:rsid w:val="001C0C2B"/>
    <w:rsid w:val="001C178E"/>
    <w:rsid w:val="001C25A8"/>
    <w:rsid w:val="001D5CD3"/>
    <w:rsid w:val="001D792F"/>
    <w:rsid w:val="001F283A"/>
    <w:rsid w:val="001F5352"/>
    <w:rsid w:val="00280E3C"/>
    <w:rsid w:val="00281036"/>
    <w:rsid w:val="002A2F46"/>
    <w:rsid w:val="002B71A3"/>
    <w:rsid w:val="002C53F2"/>
    <w:rsid w:val="002E6948"/>
    <w:rsid w:val="00324037"/>
    <w:rsid w:val="0035692A"/>
    <w:rsid w:val="00361595"/>
    <w:rsid w:val="00376298"/>
    <w:rsid w:val="003B28B2"/>
    <w:rsid w:val="003B2ED8"/>
    <w:rsid w:val="003D0AB2"/>
    <w:rsid w:val="003E179A"/>
    <w:rsid w:val="003E573C"/>
    <w:rsid w:val="003F04A2"/>
    <w:rsid w:val="00400498"/>
    <w:rsid w:val="00420439"/>
    <w:rsid w:val="00437E66"/>
    <w:rsid w:val="00462389"/>
    <w:rsid w:val="0046671B"/>
    <w:rsid w:val="0049217F"/>
    <w:rsid w:val="0049320C"/>
    <w:rsid w:val="004E0625"/>
    <w:rsid w:val="004E72DC"/>
    <w:rsid w:val="00500576"/>
    <w:rsid w:val="005112A5"/>
    <w:rsid w:val="005131B1"/>
    <w:rsid w:val="0054206B"/>
    <w:rsid w:val="005643A9"/>
    <w:rsid w:val="00573F76"/>
    <w:rsid w:val="005770E3"/>
    <w:rsid w:val="00592133"/>
    <w:rsid w:val="005E184A"/>
    <w:rsid w:val="005E2D07"/>
    <w:rsid w:val="00606713"/>
    <w:rsid w:val="006343CD"/>
    <w:rsid w:val="00670E04"/>
    <w:rsid w:val="00673866"/>
    <w:rsid w:val="00683417"/>
    <w:rsid w:val="006A1555"/>
    <w:rsid w:val="006C40F4"/>
    <w:rsid w:val="006C5DFA"/>
    <w:rsid w:val="006D765E"/>
    <w:rsid w:val="006E12B1"/>
    <w:rsid w:val="00701CE6"/>
    <w:rsid w:val="0071088E"/>
    <w:rsid w:val="007B16C6"/>
    <w:rsid w:val="007C75BE"/>
    <w:rsid w:val="00812C46"/>
    <w:rsid w:val="00822DCC"/>
    <w:rsid w:val="00850CCC"/>
    <w:rsid w:val="00861C91"/>
    <w:rsid w:val="00866B9A"/>
    <w:rsid w:val="00873C99"/>
    <w:rsid w:val="00876A10"/>
    <w:rsid w:val="008A2F1E"/>
    <w:rsid w:val="008A5370"/>
    <w:rsid w:val="008C1862"/>
    <w:rsid w:val="008D0FEA"/>
    <w:rsid w:val="008E408B"/>
    <w:rsid w:val="008F0829"/>
    <w:rsid w:val="008F59DD"/>
    <w:rsid w:val="009372E6"/>
    <w:rsid w:val="00937B38"/>
    <w:rsid w:val="00940BE3"/>
    <w:rsid w:val="00956C05"/>
    <w:rsid w:val="009F32EA"/>
    <w:rsid w:val="009F6A88"/>
    <w:rsid w:val="009F7305"/>
    <w:rsid w:val="00A54F72"/>
    <w:rsid w:val="00A748C1"/>
    <w:rsid w:val="00AD23B4"/>
    <w:rsid w:val="00AE1F93"/>
    <w:rsid w:val="00AE3CF2"/>
    <w:rsid w:val="00B115A9"/>
    <w:rsid w:val="00B27E6F"/>
    <w:rsid w:val="00B43358"/>
    <w:rsid w:val="00B475D2"/>
    <w:rsid w:val="00B647A2"/>
    <w:rsid w:val="00B70DC6"/>
    <w:rsid w:val="00B766EE"/>
    <w:rsid w:val="00B8418B"/>
    <w:rsid w:val="00B958ED"/>
    <w:rsid w:val="00B965BA"/>
    <w:rsid w:val="00BB15FD"/>
    <w:rsid w:val="00BC2863"/>
    <w:rsid w:val="00C05941"/>
    <w:rsid w:val="00C12961"/>
    <w:rsid w:val="00C1634B"/>
    <w:rsid w:val="00C20829"/>
    <w:rsid w:val="00C21F35"/>
    <w:rsid w:val="00C2437E"/>
    <w:rsid w:val="00C33D31"/>
    <w:rsid w:val="00C648B3"/>
    <w:rsid w:val="00C8059F"/>
    <w:rsid w:val="00C90E84"/>
    <w:rsid w:val="00C96CCB"/>
    <w:rsid w:val="00CB0766"/>
    <w:rsid w:val="00CD2C2F"/>
    <w:rsid w:val="00D05446"/>
    <w:rsid w:val="00D34156"/>
    <w:rsid w:val="00D4117A"/>
    <w:rsid w:val="00D46360"/>
    <w:rsid w:val="00D573FF"/>
    <w:rsid w:val="00D6612A"/>
    <w:rsid w:val="00D73BEB"/>
    <w:rsid w:val="00DA1739"/>
    <w:rsid w:val="00DA4C27"/>
    <w:rsid w:val="00DB4375"/>
    <w:rsid w:val="00DC64C0"/>
    <w:rsid w:val="00E00CD1"/>
    <w:rsid w:val="00E058DF"/>
    <w:rsid w:val="00E07599"/>
    <w:rsid w:val="00E410F6"/>
    <w:rsid w:val="00E47B81"/>
    <w:rsid w:val="00E81F44"/>
    <w:rsid w:val="00EA30CE"/>
    <w:rsid w:val="00EA48BE"/>
    <w:rsid w:val="00EC7596"/>
    <w:rsid w:val="00EE5F11"/>
    <w:rsid w:val="00EF29D8"/>
    <w:rsid w:val="00EF2DDF"/>
    <w:rsid w:val="00EF4D9A"/>
    <w:rsid w:val="00F16F20"/>
    <w:rsid w:val="00F21286"/>
    <w:rsid w:val="00F30EAA"/>
    <w:rsid w:val="00F42919"/>
    <w:rsid w:val="00F55D98"/>
    <w:rsid w:val="00F83013"/>
    <w:rsid w:val="00F850AB"/>
    <w:rsid w:val="00FA7FF4"/>
    <w:rsid w:val="00FB532A"/>
    <w:rsid w:val="00FC0DEA"/>
    <w:rsid w:val="00FC7E05"/>
    <w:rsid w:val="00FF7BD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5DE0E7"/>
  <w15:docId w15:val="{7CF39656-E9ED-45A1-99EE-13BDE5B2E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47A2"/>
  </w:style>
  <w:style w:type="paragraph" w:styleId="Ttulo1">
    <w:name w:val="heading 1"/>
    <w:basedOn w:val="Normal"/>
    <w:link w:val="Ttulo1Char"/>
    <w:uiPriority w:val="9"/>
    <w:qFormat/>
    <w:rsid w:val="00DA17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C2437E"/>
    <w:pPr>
      <w:ind w:left="720"/>
      <w:contextualSpacing/>
    </w:pPr>
  </w:style>
  <w:style w:type="character" w:styleId="Hyperlink">
    <w:name w:val="Hyperlink"/>
    <w:basedOn w:val="Fontepargpadro"/>
    <w:uiPriority w:val="99"/>
    <w:unhideWhenUsed/>
    <w:rsid w:val="00DC64C0"/>
    <w:rPr>
      <w:color w:val="0563C1" w:themeColor="hyperlink"/>
      <w:u w:val="single"/>
    </w:rPr>
  </w:style>
  <w:style w:type="character" w:styleId="HiperlinkVisitado">
    <w:name w:val="FollowedHyperlink"/>
    <w:basedOn w:val="Fontepargpadro"/>
    <w:uiPriority w:val="99"/>
    <w:semiHidden/>
    <w:unhideWhenUsed/>
    <w:rsid w:val="000E7CE6"/>
    <w:rPr>
      <w:color w:val="954F72" w:themeColor="followedHyperlink"/>
      <w:u w:val="single"/>
    </w:rPr>
  </w:style>
  <w:style w:type="table" w:styleId="Tabelacomgrade">
    <w:name w:val="Table Grid"/>
    <w:basedOn w:val="Tabelanormal"/>
    <w:uiPriority w:val="59"/>
    <w:rsid w:val="00B47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12A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5112A5"/>
  </w:style>
  <w:style w:type="paragraph" w:styleId="Legenda">
    <w:name w:val="caption"/>
    <w:basedOn w:val="Normal"/>
    <w:next w:val="Normal"/>
    <w:uiPriority w:val="35"/>
    <w:unhideWhenUsed/>
    <w:qFormat/>
    <w:rsid w:val="00B8418B"/>
    <w:pPr>
      <w:spacing w:after="200" w:line="240" w:lineRule="auto"/>
    </w:pPr>
    <w:rPr>
      <w:i/>
      <w:iCs/>
      <w:color w:val="44546A" w:themeColor="text2"/>
      <w:sz w:val="18"/>
      <w:szCs w:val="18"/>
    </w:rPr>
  </w:style>
  <w:style w:type="paragraph" w:styleId="Cabealho">
    <w:name w:val="header"/>
    <w:basedOn w:val="Normal"/>
    <w:link w:val="CabealhoChar"/>
    <w:uiPriority w:val="99"/>
    <w:unhideWhenUsed/>
    <w:rsid w:val="006A155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A1555"/>
  </w:style>
  <w:style w:type="paragraph" w:styleId="Rodap">
    <w:name w:val="footer"/>
    <w:basedOn w:val="Normal"/>
    <w:link w:val="RodapChar"/>
    <w:uiPriority w:val="99"/>
    <w:unhideWhenUsed/>
    <w:rsid w:val="006A1555"/>
    <w:pPr>
      <w:tabs>
        <w:tab w:val="center" w:pos="4252"/>
        <w:tab w:val="right" w:pos="8504"/>
      </w:tabs>
      <w:spacing w:after="0" w:line="240" w:lineRule="auto"/>
    </w:pPr>
  </w:style>
  <w:style w:type="character" w:customStyle="1" w:styleId="RodapChar">
    <w:name w:val="Rodapé Char"/>
    <w:basedOn w:val="Fontepargpadro"/>
    <w:link w:val="Rodap"/>
    <w:uiPriority w:val="99"/>
    <w:rsid w:val="006A1555"/>
  </w:style>
  <w:style w:type="character" w:styleId="Forte">
    <w:name w:val="Strong"/>
    <w:basedOn w:val="Fontepargpadro"/>
    <w:uiPriority w:val="22"/>
    <w:qFormat/>
    <w:rsid w:val="003D0AB2"/>
    <w:rPr>
      <w:b/>
      <w:bCs/>
    </w:rPr>
  </w:style>
  <w:style w:type="character" w:customStyle="1" w:styleId="Ttulo1Char">
    <w:name w:val="Título 1 Char"/>
    <w:basedOn w:val="Fontepargpadro"/>
    <w:link w:val="Ttulo1"/>
    <w:uiPriority w:val="9"/>
    <w:rsid w:val="00DA1739"/>
    <w:rPr>
      <w:rFonts w:ascii="Times New Roman" w:eastAsia="Times New Roman" w:hAnsi="Times New Roman" w:cs="Times New Roman"/>
      <w:b/>
      <w:bCs/>
      <w:kern w:val="36"/>
      <w:sz w:val="48"/>
      <w:szCs w:val="48"/>
      <w:lang w:eastAsia="pt-BR"/>
    </w:rPr>
  </w:style>
  <w:style w:type="paragraph" w:styleId="Textodebalo">
    <w:name w:val="Balloon Text"/>
    <w:basedOn w:val="Normal"/>
    <w:link w:val="TextodebaloChar"/>
    <w:uiPriority w:val="99"/>
    <w:semiHidden/>
    <w:unhideWhenUsed/>
    <w:rsid w:val="00DA173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A1739"/>
    <w:rPr>
      <w:rFonts w:ascii="Segoe UI" w:hAnsi="Segoe UI" w:cs="Segoe UI"/>
      <w:sz w:val="18"/>
      <w:szCs w:val="18"/>
    </w:rPr>
  </w:style>
  <w:style w:type="paragraph" w:styleId="Pr-formataoHTML">
    <w:name w:val="HTML Preformatted"/>
    <w:basedOn w:val="Normal"/>
    <w:link w:val="Pr-formataoHTMLChar"/>
    <w:uiPriority w:val="99"/>
    <w:semiHidden/>
    <w:unhideWhenUsed/>
    <w:rsid w:val="001C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1C0C2B"/>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70079">
      <w:bodyDiv w:val="1"/>
      <w:marLeft w:val="0"/>
      <w:marRight w:val="0"/>
      <w:marTop w:val="0"/>
      <w:marBottom w:val="0"/>
      <w:divBdr>
        <w:top w:val="none" w:sz="0" w:space="0" w:color="auto"/>
        <w:left w:val="none" w:sz="0" w:space="0" w:color="auto"/>
        <w:bottom w:val="none" w:sz="0" w:space="0" w:color="auto"/>
        <w:right w:val="none" w:sz="0" w:space="0" w:color="auto"/>
      </w:divBdr>
    </w:div>
    <w:div w:id="105276775">
      <w:bodyDiv w:val="1"/>
      <w:marLeft w:val="0"/>
      <w:marRight w:val="0"/>
      <w:marTop w:val="0"/>
      <w:marBottom w:val="0"/>
      <w:divBdr>
        <w:top w:val="none" w:sz="0" w:space="0" w:color="auto"/>
        <w:left w:val="none" w:sz="0" w:space="0" w:color="auto"/>
        <w:bottom w:val="none" w:sz="0" w:space="0" w:color="auto"/>
        <w:right w:val="none" w:sz="0" w:space="0" w:color="auto"/>
      </w:divBdr>
    </w:div>
    <w:div w:id="155656053">
      <w:bodyDiv w:val="1"/>
      <w:marLeft w:val="0"/>
      <w:marRight w:val="0"/>
      <w:marTop w:val="0"/>
      <w:marBottom w:val="0"/>
      <w:divBdr>
        <w:top w:val="none" w:sz="0" w:space="0" w:color="auto"/>
        <w:left w:val="none" w:sz="0" w:space="0" w:color="auto"/>
        <w:bottom w:val="none" w:sz="0" w:space="0" w:color="auto"/>
        <w:right w:val="none" w:sz="0" w:space="0" w:color="auto"/>
      </w:divBdr>
    </w:div>
    <w:div w:id="230385062">
      <w:bodyDiv w:val="1"/>
      <w:marLeft w:val="0"/>
      <w:marRight w:val="0"/>
      <w:marTop w:val="0"/>
      <w:marBottom w:val="0"/>
      <w:divBdr>
        <w:top w:val="none" w:sz="0" w:space="0" w:color="auto"/>
        <w:left w:val="none" w:sz="0" w:space="0" w:color="auto"/>
        <w:bottom w:val="none" w:sz="0" w:space="0" w:color="auto"/>
        <w:right w:val="none" w:sz="0" w:space="0" w:color="auto"/>
      </w:divBdr>
    </w:div>
    <w:div w:id="241720102">
      <w:bodyDiv w:val="1"/>
      <w:marLeft w:val="0"/>
      <w:marRight w:val="0"/>
      <w:marTop w:val="0"/>
      <w:marBottom w:val="0"/>
      <w:divBdr>
        <w:top w:val="none" w:sz="0" w:space="0" w:color="auto"/>
        <w:left w:val="none" w:sz="0" w:space="0" w:color="auto"/>
        <w:bottom w:val="none" w:sz="0" w:space="0" w:color="auto"/>
        <w:right w:val="none" w:sz="0" w:space="0" w:color="auto"/>
      </w:divBdr>
    </w:div>
    <w:div w:id="251282274">
      <w:bodyDiv w:val="1"/>
      <w:marLeft w:val="0"/>
      <w:marRight w:val="0"/>
      <w:marTop w:val="0"/>
      <w:marBottom w:val="0"/>
      <w:divBdr>
        <w:top w:val="none" w:sz="0" w:space="0" w:color="auto"/>
        <w:left w:val="none" w:sz="0" w:space="0" w:color="auto"/>
        <w:bottom w:val="none" w:sz="0" w:space="0" w:color="auto"/>
        <w:right w:val="none" w:sz="0" w:space="0" w:color="auto"/>
      </w:divBdr>
    </w:div>
    <w:div w:id="259609138">
      <w:bodyDiv w:val="1"/>
      <w:marLeft w:val="0"/>
      <w:marRight w:val="0"/>
      <w:marTop w:val="0"/>
      <w:marBottom w:val="0"/>
      <w:divBdr>
        <w:top w:val="none" w:sz="0" w:space="0" w:color="auto"/>
        <w:left w:val="none" w:sz="0" w:space="0" w:color="auto"/>
        <w:bottom w:val="none" w:sz="0" w:space="0" w:color="auto"/>
        <w:right w:val="none" w:sz="0" w:space="0" w:color="auto"/>
      </w:divBdr>
    </w:div>
    <w:div w:id="268661930">
      <w:bodyDiv w:val="1"/>
      <w:marLeft w:val="0"/>
      <w:marRight w:val="0"/>
      <w:marTop w:val="0"/>
      <w:marBottom w:val="0"/>
      <w:divBdr>
        <w:top w:val="none" w:sz="0" w:space="0" w:color="auto"/>
        <w:left w:val="none" w:sz="0" w:space="0" w:color="auto"/>
        <w:bottom w:val="none" w:sz="0" w:space="0" w:color="auto"/>
        <w:right w:val="none" w:sz="0" w:space="0" w:color="auto"/>
      </w:divBdr>
    </w:div>
    <w:div w:id="279578245">
      <w:bodyDiv w:val="1"/>
      <w:marLeft w:val="0"/>
      <w:marRight w:val="0"/>
      <w:marTop w:val="0"/>
      <w:marBottom w:val="0"/>
      <w:divBdr>
        <w:top w:val="none" w:sz="0" w:space="0" w:color="auto"/>
        <w:left w:val="none" w:sz="0" w:space="0" w:color="auto"/>
        <w:bottom w:val="none" w:sz="0" w:space="0" w:color="auto"/>
        <w:right w:val="none" w:sz="0" w:space="0" w:color="auto"/>
      </w:divBdr>
    </w:div>
    <w:div w:id="296647474">
      <w:bodyDiv w:val="1"/>
      <w:marLeft w:val="0"/>
      <w:marRight w:val="0"/>
      <w:marTop w:val="0"/>
      <w:marBottom w:val="0"/>
      <w:divBdr>
        <w:top w:val="none" w:sz="0" w:space="0" w:color="auto"/>
        <w:left w:val="none" w:sz="0" w:space="0" w:color="auto"/>
        <w:bottom w:val="none" w:sz="0" w:space="0" w:color="auto"/>
        <w:right w:val="none" w:sz="0" w:space="0" w:color="auto"/>
      </w:divBdr>
    </w:div>
    <w:div w:id="298076571">
      <w:bodyDiv w:val="1"/>
      <w:marLeft w:val="0"/>
      <w:marRight w:val="0"/>
      <w:marTop w:val="0"/>
      <w:marBottom w:val="0"/>
      <w:divBdr>
        <w:top w:val="none" w:sz="0" w:space="0" w:color="auto"/>
        <w:left w:val="none" w:sz="0" w:space="0" w:color="auto"/>
        <w:bottom w:val="none" w:sz="0" w:space="0" w:color="auto"/>
        <w:right w:val="none" w:sz="0" w:space="0" w:color="auto"/>
      </w:divBdr>
    </w:div>
    <w:div w:id="301691708">
      <w:bodyDiv w:val="1"/>
      <w:marLeft w:val="0"/>
      <w:marRight w:val="0"/>
      <w:marTop w:val="0"/>
      <w:marBottom w:val="0"/>
      <w:divBdr>
        <w:top w:val="none" w:sz="0" w:space="0" w:color="auto"/>
        <w:left w:val="none" w:sz="0" w:space="0" w:color="auto"/>
        <w:bottom w:val="none" w:sz="0" w:space="0" w:color="auto"/>
        <w:right w:val="none" w:sz="0" w:space="0" w:color="auto"/>
      </w:divBdr>
    </w:div>
    <w:div w:id="379091615">
      <w:bodyDiv w:val="1"/>
      <w:marLeft w:val="0"/>
      <w:marRight w:val="0"/>
      <w:marTop w:val="0"/>
      <w:marBottom w:val="0"/>
      <w:divBdr>
        <w:top w:val="none" w:sz="0" w:space="0" w:color="auto"/>
        <w:left w:val="none" w:sz="0" w:space="0" w:color="auto"/>
        <w:bottom w:val="none" w:sz="0" w:space="0" w:color="auto"/>
        <w:right w:val="none" w:sz="0" w:space="0" w:color="auto"/>
      </w:divBdr>
    </w:div>
    <w:div w:id="379283340">
      <w:bodyDiv w:val="1"/>
      <w:marLeft w:val="0"/>
      <w:marRight w:val="0"/>
      <w:marTop w:val="0"/>
      <w:marBottom w:val="0"/>
      <w:divBdr>
        <w:top w:val="none" w:sz="0" w:space="0" w:color="auto"/>
        <w:left w:val="none" w:sz="0" w:space="0" w:color="auto"/>
        <w:bottom w:val="none" w:sz="0" w:space="0" w:color="auto"/>
        <w:right w:val="none" w:sz="0" w:space="0" w:color="auto"/>
      </w:divBdr>
    </w:div>
    <w:div w:id="434832978">
      <w:bodyDiv w:val="1"/>
      <w:marLeft w:val="0"/>
      <w:marRight w:val="0"/>
      <w:marTop w:val="0"/>
      <w:marBottom w:val="0"/>
      <w:divBdr>
        <w:top w:val="none" w:sz="0" w:space="0" w:color="auto"/>
        <w:left w:val="none" w:sz="0" w:space="0" w:color="auto"/>
        <w:bottom w:val="none" w:sz="0" w:space="0" w:color="auto"/>
        <w:right w:val="none" w:sz="0" w:space="0" w:color="auto"/>
      </w:divBdr>
    </w:div>
    <w:div w:id="467938697">
      <w:bodyDiv w:val="1"/>
      <w:marLeft w:val="0"/>
      <w:marRight w:val="0"/>
      <w:marTop w:val="0"/>
      <w:marBottom w:val="0"/>
      <w:divBdr>
        <w:top w:val="none" w:sz="0" w:space="0" w:color="auto"/>
        <w:left w:val="none" w:sz="0" w:space="0" w:color="auto"/>
        <w:bottom w:val="none" w:sz="0" w:space="0" w:color="auto"/>
        <w:right w:val="none" w:sz="0" w:space="0" w:color="auto"/>
      </w:divBdr>
    </w:div>
    <w:div w:id="547955840">
      <w:bodyDiv w:val="1"/>
      <w:marLeft w:val="0"/>
      <w:marRight w:val="0"/>
      <w:marTop w:val="0"/>
      <w:marBottom w:val="0"/>
      <w:divBdr>
        <w:top w:val="none" w:sz="0" w:space="0" w:color="auto"/>
        <w:left w:val="none" w:sz="0" w:space="0" w:color="auto"/>
        <w:bottom w:val="none" w:sz="0" w:space="0" w:color="auto"/>
        <w:right w:val="none" w:sz="0" w:space="0" w:color="auto"/>
      </w:divBdr>
    </w:div>
    <w:div w:id="550313879">
      <w:bodyDiv w:val="1"/>
      <w:marLeft w:val="0"/>
      <w:marRight w:val="0"/>
      <w:marTop w:val="0"/>
      <w:marBottom w:val="0"/>
      <w:divBdr>
        <w:top w:val="none" w:sz="0" w:space="0" w:color="auto"/>
        <w:left w:val="none" w:sz="0" w:space="0" w:color="auto"/>
        <w:bottom w:val="none" w:sz="0" w:space="0" w:color="auto"/>
        <w:right w:val="none" w:sz="0" w:space="0" w:color="auto"/>
      </w:divBdr>
    </w:div>
    <w:div w:id="611595403">
      <w:bodyDiv w:val="1"/>
      <w:marLeft w:val="0"/>
      <w:marRight w:val="0"/>
      <w:marTop w:val="0"/>
      <w:marBottom w:val="0"/>
      <w:divBdr>
        <w:top w:val="none" w:sz="0" w:space="0" w:color="auto"/>
        <w:left w:val="none" w:sz="0" w:space="0" w:color="auto"/>
        <w:bottom w:val="none" w:sz="0" w:space="0" w:color="auto"/>
        <w:right w:val="none" w:sz="0" w:space="0" w:color="auto"/>
      </w:divBdr>
    </w:div>
    <w:div w:id="720448300">
      <w:bodyDiv w:val="1"/>
      <w:marLeft w:val="0"/>
      <w:marRight w:val="0"/>
      <w:marTop w:val="0"/>
      <w:marBottom w:val="0"/>
      <w:divBdr>
        <w:top w:val="none" w:sz="0" w:space="0" w:color="auto"/>
        <w:left w:val="none" w:sz="0" w:space="0" w:color="auto"/>
        <w:bottom w:val="none" w:sz="0" w:space="0" w:color="auto"/>
        <w:right w:val="none" w:sz="0" w:space="0" w:color="auto"/>
      </w:divBdr>
    </w:div>
    <w:div w:id="727652138">
      <w:bodyDiv w:val="1"/>
      <w:marLeft w:val="0"/>
      <w:marRight w:val="0"/>
      <w:marTop w:val="0"/>
      <w:marBottom w:val="0"/>
      <w:divBdr>
        <w:top w:val="none" w:sz="0" w:space="0" w:color="auto"/>
        <w:left w:val="none" w:sz="0" w:space="0" w:color="auto"/>
        <w:bottom w:val="none" w:sz="0" w:space="0" w:color="auto"/>
        <w:right w:val="none" w:sz="0" w:space="0" w:color="auto"/>
      </w:divBdr>
    </w:div>
    <w:div w:id="747045607">
      <w:bodyDiv w:val="1"/>
      <w:marLeft w:val="0"/>
      <w:marRight w:val="0"/>
      <w:marTop w:val="0"/>
      <w:marBottom w:val="0"/>
      <w:divBdr>
        <w:top w:val="none" w:sz="0" w:space="0" w:color="auto"/>
        <w:left w:val="none" w:sz="0" w:space="0" w:color="auto"/>
        <w:bottom w:val="none" w:sz="0" w:space="0" w:color="auto"/>
        <w:right w:val="none" w:sz="0" w:space="0" w:color="auto"/>
      </w:divBdr>
    </w:div>
    <w:div w:id="758410859">
      <w:bodyDiv w:val="1"/>
      <w:marLeft w:val="0"/>
      <w:marRight w:val="0"/>
      <w:marTop w:val="0"/>
      <w:marBottom w:val="0"/>
      <w:divBdr>
        <w:top w:val="none" w:sz="0" w:space="0" w:color="auto"/>
        <w:left w:val="none" w:sz="0" w:space="0" w:color="auto"/>
        <w:bottom w:val="none" w:sz="0" w:space="0" w:color="auto"/>
        <w:right w:val="none" w:sz="0" w:space="0" w:color="auto"/>
      </w:divBdr>
    </w:div>
    <w:div w:id="843587805">
      <w:bodyDiv w:val="1"/>
      <w:marLeft w:val="0"/>
      <w:marRight w:val="0"/>
      <w:marTop w:val="0"/>
      <w:marBottom w:val="0"/>
      <w:divBdr>
        <w:top w:val="none" w:sz="0" w:space="0" w:color="auto"/>
        <w:left w:val="none" w:sz="0" w:space="0" w:color="auto"/>
        <w:bottom w:val="none" w:sz="0" w:space="0" w:color="auto"/>
        <w:right w:val="none" w:sz="0" w:space="0" w:color="auto"/>
      </w:divBdr>
      <w:divsChild>
        <w:div w:id="496924833">
          <w:marLeft w:val="0"/>
          <w:marRight w:val="0"/>
          <w:marTop w:val="0"/>
          <w:marBottom w:val="0"/>
          <w:divBdr>
            <w:top w:val="none" w:sz="0" w:space="0" w:color="auto"/>
            <w:left w:val="none" w:sz="0" w:space="0" w:color="auto"/>
            <w:bottom w:val="none" w:sz="0" w:space="0" w:color="auto"/>
            <w:right w:val="none" w:sz="0" w:space="0" w:color="auto"/>
          </w:divBdr>
          <w:divsChild>
            <w:div w:id="2096126169">
              <w:marLeft w:val="0"/>
              <w:marRight w:val="0"/>
              <w:marTop w:val="0"/>
              <w:marBottom w:val="0"/>
              <w:divBdr>
                <w:top w:val="none" w:sz="0" w:space="0" w:color="auto"/>
                <w:left w:val="none" w:sz="0" w:space="0" w:color="auto"/>
                <w:bottom w:val="none" w:sz="0" w:space="0" w:color="auto"/>
                <w:right w:val="none" w:sz="0" w:space="0" w:color="auto"/>
              </w:divBdr>
              <w:divsChild>
                <w:div w:id="1145928199">
                  <w:marLeft w:val="0"/>
                  <w:marRight w:val="0"/>
                  <w:marTop w:val="0"/>
                  <w:marBottom w:val="0"/>
                  <w:divBdr>
                    <w:top w:val="none" w:sz="0" w:space="0" w:color="auto"/>
                    <w:left w:val="none" w:sz="0" w:space="0" w:color="auto"/>
                    <w:bottom w:val="none" w:sz="0" w:space="0" w:color="auto"/>
                    <w:right w:val="none" w:sz="0" w:space="0" w:color="auto"/>
                  </w:divBdr>
                  <w:divsChild>
                    <w:div w:id="292491720">
                      <w:marLeft w:val="0"/>
                      <w:marRight w:val="0"/>
                      <w:marTop w:val="0"/>
                      <w:marBottom w:val="0"/>
                      <w:divBdr>
                        <w:top w:val="none" w:sz="0" w:space="0" w:color="auto"/>
                        <w:left w:val="none" w:sz="0" w:space="0" w:color="auto"/>
                        <w:bottom w:val="none" w:sz="0" w:space="0" w:color="auto"/>
                        <w:right w:val="none" w:sz="0" w:space="0" w:color="auto"/>
                      </w:divBdr>
                      <w:divsChild>
                        <w:div w:id="1563638285">
                          <w:marLeft w:val="0"/>
                          <w:marRight w:val="0"/>
                          <w:marTop w:val="0"/>
                          <w:marBottom w:val="0"/>
                          <w:divBdr>
                            <w:top w:val="none" w:sz="0" w:space="0" w:color="auto"/>
                            <w:left w:val="none" w:sz="0" w:space="0" w:color="auto"/>
                            <w:bottom w:val="none" w:sz="0" w:space="0" w:color="auto"/>
                            <w:right w:val="none" w:sz="0" w:space="0" w:color="auto"/>
                          </w:divBdr>
                          <w:divsChild>
                            <w:div w:id="479808022">
                              <w:marLeft w:val="0"/>
                              <w:marRight w:val="0"/>
                              <w:marTop w:val="0"/>
                              <w:marBottom w:val="0"/>
                              <w:divBdr>
                                <w:top w:val="none" w:sz="0" w:space="0" w:color="auto"/>
                                <w:left w:val="none" w:sz="0" w:space="0" w:color="auto"/>
                                <w:bottom w:val="none" w:sz="0" w:space="0" w:color="auto"/>
                                <w:right w:val="none" w:sz="0" w:space="0" w:color="auto"/>
                              </w:divBdr>
                              <w:divsChild>
                                <w:div w:id="70855550">
                                  <w:marLeft w:val="0"/>
                                  <w:marRight w:val="0"/>
                                  <w:marTop w:val="0"/>
                                  <w:marBottom w:val="0"/>
                                  <w:divBdr>
                                    <w:top w:val="none" w:sz="0" w:space="0" w:color="auto"/>
                                    <w:left w:val="none" w:sz="0" w:space="0" w:color="auto"/>
                                    <w:bottom w:val="none" w:sz="0" w:space="0" w:color="auto"/>
                                    <w:right w:val="none" w:sz="0" w:space="0" w:color="auto"/>
                                  </w:divBdr>
                                  <w:divsChild>
                                    <w:div w:id="265575490">
                                      <w:marLeft w:val="0"/>
                                      <w:marRight w:val="0"/>
                                      <w:marTop w:val="0"/>
                                      <w:marBottom w:val="0"/>
                                      <w:divBdr>
                                        <w:top w:val="none" w:sz="0" w:space="0" w:color="auto"/>
                                        <w:left w:val="none" w:sz="0" w:space="0" w:color="auto"/>
                                        <w:bottom w:val="none" w:sz="0" w:space="0" w:color="auto"/>
                                        <w:right w:val="none" w:sz="0" w:space="0" w:color="auto"/>
                                      </w:divBdr>
                                      <w:divsChild>
                                        <w:div w:id="1241136773">
                                          <w:marLeft w:val="0"/>
                                          <w:marRight w:val="0"/>
                                          <w:marTop w:val="0"/>
                                          <w:marBottom w:val="0"/>
                                          <w:divBdr>
                                            <w:top w:val="none" w:sz="0" w:space="0" w:color="auto"/>
                                            <w:left w:val="none" w:sz="0" w:space="0" w:color="auto"/>
                                            <w:bottom w:val="none" w:sz="0" w:space="0" w:color="auto"/>
                                            <w:right w:val="none" w:sz="0" w:space="0" w:color="auto"/>
                                          </w:divBdr>
                                          <w:divsChild>
                                            <w:div w:id="1709380318">
                                              <w:marLeft w:val="0"/>
                                              <w:marRight w:val="0"/>
                                              <w:marTop w:val="0"/>
                                              <w:marBottom w:val="0"/>
                                              <w:divBdr>
                                                <w:top w:val="none" w:sz="0" w:space="0" w:color="auto"/>
                                                <w:left w:val="none" w:sz="0" w:space="0" w:color="auto"/>
                                                <w:bottom w:val="none" w:sz="0" w:space="0" w:color="auto"/>
                                                <w:right w:val="none" w:sz="0" w:space="0" w:color="auto"/>
                                              </w:divBdr>
                                              <w:divsChild>
                                                <w:div w:id="126421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1078341">
          <w:marLeft w:val="0"/>
          <w:marRight w:val="0"/>
          <w:marTop w:val="0"/>
          <w:marBottom w:val="0"/>
          <w:divBdr>
            <w:top w:val="none" w:sz="0" w:space="0" w:color="auto"/>
            <w:left w:val="none" w:sz="0" w:space="0" w:color="auto"/>
            <w:bottom w:val="none" w:sz="0" w:space="0" w:color="auto"/>
            <w:right w:val="none" w:sz="0" w:space="0" w:color="auto"/>
          </w:divBdr>
          <w:divsChild>
            <w:div w:id="2072460875">
              <w:marLeft w:val="0"/>
              <w:marRight w:val="0"/>
              <w:marTop w:val="0"/>
              <w:marBottom w:val="0"/>
              <w:divBdr>
                <w:top w:val="none" w:sz="0" w:space="0" w:color="auto"/>
                <w:left w:val="none" w:sz="0" w:space="0" w:color="auto"/>
                <w:bottom w:val="none" w:sz="0" w:space="0" w:color="auto"/>
                <w:right w:val="none" w:sz="0" w:space="0" w:color="auto"/>
              </w:divBdr>
              <w:divsChild>
                <w:div w:id="929313274">
                  <w:marLeft w:val="0"/>
                  <w:marRight w:val="0"/>
                  <w:marTop w:val="0"/>
                  <w:marBottom w:val="0"/>
                  <w:divBdr>
                    <w:top w:val="none" w:sz="0" w:space="0" w:color="auto"/>
                    <w:left w:val="none" w:sz="0" w:space="0" w:color="auto"/>
                    <w:bottom w:val="none" w:sz="0" w:space="0" w:color="auto"/>
                    <w:right w:val="none" w:sz="0" w:space="0" w:color="auto"/>
                  </w:divBdr>
                  <w:divsChild>
                    <w:div w:id="2141142415">
                      <w:marLeft w:val="0"/>
                      <w:marRight w:val="0"/>
                      <w:marTop w:val="0"/>
                      <w:marBottom w:val="0"/>
                      <w:divBdr>
                        <w:top w:val="none" w:sz="0" w:space="0" w:color="auto"/>
                        <w:left w:val="none" w:sz="0" w:space="0" w:color="auto"/>
                        <w:bottom w:val="none" w:sz="0" w:space="0" w:color="auto"/>
                        <w:right w:val="none" w:sz="0" w:space="0" w:color="auto"/>
                      </w:divBdr>
                      <w:divsChild>
                        <w:div w:id="1298873355">
                          <w:marLeft w:val="0"/>
                          <w:marRight w:val="0"/>
                          <w:marTop w:val="0"/>
                          <w:marBottom w:val="0"/>
                          <w:divBdr>
                            <w:top w:val="none" w:sz="0" w:space="0" w:color="auto"/>
                            <w:left w:val="none" w:sz="0" w:space="0" w:color="auto"/>
                            <w:bottom w:val="single" w:sz="6" w:space="0" w:color="EBEBEB"/>
                            <w:right w:val="none" w:sz="0" w:space="0" w:color="auto"/>
                          </w:divBdr>
                          <w:divsChild>
                            <w:div w:id="136380424">
                              <w:marLeft w:val="0"/>
                              <w:marRight w:val="0"/>
                              <w:marTop w:val="0"/>
                              <w:marBottom w:val="0"/>
                              <w:divBdr>
                                <w:top w:val="none" w:sz="0" w:space="0" w:color="auto"/>
                                <w:left w:val="none" w:sz="0" w:space="0" w:color="auto"/>
                                <w:bottom w:val="none" w:sz="0" w:space="0" w:color="auto"/>
                                <w:right w:val="none" w:sz="0" w:space="0" w:color="auto"/>
                              </w:divBdr>
                              <w:divsChild>
                                <w:div w:id="359090621">
                                  <w:marLeft w:val="0"/>
                                  <w:marRight w:val="0"/>
                                  <w:marTop w:val="0"/>
                                  <w:marBottom w:val="0"/>
                                  <w:divBdr>
                                    <w:top w:val="none" w:sz="0" w:space="0" w:color="auto"/>
                                    <w:left w:val="none" w:sz="0" w:space="0" w:color="auto"/>
                                    <w:bottom w:val="none" w:sz="0" w:space="0" w:color="auto"/>
                                    <w:right w:val="none" w:sz="0" w:space="0" w:color="auto"/>
                                  </w:divBdr>
                                  <w:divsChild>
                                    <w:div w:id="46610172">
                                      <w:marLeft w:val="0"/>
                                      <w:marRight w:val="0"/>
                                      <w:marTop w:val="0"/>
                                      <w:marBottom w:val="0"/>
                                      <w:divBdr>
                                        <w:top w:val="none" w:sz="0" w:space="0" w:color="auto"/>
                                        <w:left w:val="none" w:sz="0" w:space="0" w:color="auto"/>
                                        <w:bottom w:val="none" w:sz="0" w:space="0" w:color="auto"/>
                                        <w:right w:val="none" w:sz="0" w:space="0" w:color="auto"/>
                                      </w:divBdr>
                                      <w:divsChild>
                                        <w:div w:id="295912609">
                                          <w:marLeft w:val="0"/>
                                          <w:marRight w:val="0"/>
                                          <w:marTop w:val="0"/>
                                          <w:marBottom w:val="0"/>
                                          <w:divBdr>
                                            <w:top w:val="none" w:sz="0" w:space="0" w:color="auto"/>
                                            <w:left w:val="none" w:sz="0" w:space="0" w:color="auto"/>
                                            <w:bottom w:val="none" w:sz="0" w:space="0" w:color="auto"/>
                                            <w:right w:val="none" w:sz="0" w:space="0" w:color="auto"/>
                                          </w:divBdr>
                                          <w:divsChild>
                                            <w:div w:id="763300972">
                                              <w:marLeft w:val="0"/>
                                              <w:marRight w:val="0"/>
                                              <w:marTop w:val="0"/>
                                              <w:marBottom w:val="0"/>
                                              <w:divBdr>
                                                <w:top w:val="none" w:sz="0" w:space="0" w:color="auto"/>
                                                <w:left w:val="none" w:sz="0" w:space="0" w:color="auto"/>
                                                <w:bottom w:val="none" w:sz="0" w:space="0" w:color="auto"/>
                                                <w:right w:val="none" w:sz="0" w:space="0" w:color="auto"/>
                                              </w:divBdr>
                                              <w:divsChild>
                                                <w:div w:id="172767594">
                                                  <w:marLeft w:val="0"/>
                                                  <w:marRight w:val="0"/>
                                                  <w:marTop w:val="0"/>
                                                  <w:marBottom w:val="0"/>
                                                  <w:divBdr>
                                                    <w:top w:val="none" w:sz="0" w:space="0" w:color="auto"/>
                                                    <w:left w:val="none" w:sz="0" w:space="0" w:color="auto"/>
                                                    <w:bottom w:val="none" w:sz="0" w:space="0" w:color="auto"/>
                                                    <w:right w:val="none" w:sz="0" w:space="0" w:color="auto"/>
                                                  </w:divBdr>
                                                  <w:divsChild>
                                                    <w:div w:id="1458796330">
                                                      <w:marLeft w:val="2250"/>
                                                      <w:marRight w:val="0"/>
                                                      <w:marTop w:val="0"/>
                                                      <w:marBottom w:val="0"/>
                                                      <w:divBdr>
                                                        <w:top w:val="none" w:sz="0" w:space="0" w:color="auto"/>
                                                        <w:left w:val="none" w:sz="0" w:space="0" w:color="auto"/>
                                                        <w:bottom w:val="single" w:sz="18" w:space="9" w:color="4285F4"/>
                                                        <w:right w:val="none" w:sz="0" w:space="0" w:color="auto"/>
                                                      </w:divBdr>
                                                    </w:div>
                                                    <w:div w:id="711417725">
                                                      <w:marLeft w:val="0"/>
                                                      <w:marRight w:val="0"/>
                                                      <w:marTop w:val="0"/>
                                                      <w:marBottom w:val="0"/>
                                                      <w:divBdr>
                                                        <w:top w:val="none" w:sz="0" w:space="0" w:color="auto"/>
                                                        <w:left w:val="none" w:sz="0" w:space="0" w:color="auto"/>
                                                        <w:bottom w:val="none" w:sz="0" w:space="0" w:color="auto"/>
                                                        <w:right w:val="none" w:sz="0" w:space="0" w:color="auto"/>
                                                      </w:divBdr>
                                                    </w:div>
                                                    <w:div w:id="1832260288">
                                                      <w:marLeft w:val="0"/>
                                                      <w:marRight w:val="0"/>
                                                      <w:marTop w:val="0"/>
                                                      <w:marBottom w:val="0"/>
                                                      <w:divBdr>
                                                        <w:top w:val="none" w:sz="0" w:space="0" w:color="auto"/>
                                                        <w:left w:val="none" w:sz="0" w:space="0" w:color="auto"/>
                                                        <w:bottom w:val="none" w:sz="0" w:space="0" w:color="auto"/>
                                                        <w:right w:val="none" w:sz="0" w:space="0" w:color="auto"/>
                                                      </w:divBdr>
                                                    </w:div>
                                                    <w:div w:id="1410468140">
                                                      <w:marLeft w:val="0"/>
                                                      <w:marRight w:val="0"/>
                                                      <w:marTop w:val="0"/>
                                                      <w:marBottom w:val="0"/>
                                                      <w:divBdr>
                                                        <w:top w:val="none" w:sz="0" w:space="0" w:color="auto"/>
                                                        <w:left w:val="none" w:sz="0" w:space="0" w:color="auto"/>
                                                        <w:bottom w:val="none" w:sz="0" w:space="0" w:color="auto"/>
                                                        <w:right w:val="none" w:sz="0" w:space="0" w:color="auto"/>
                                                      </w:divBdr>
                                                    </w:div>
                                                    <w:div w:id="196804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8129703">
      <w:bodyDiv w:val="1"/>
      <w:marLeft w:val="0"/>
      <w:marRight w:val="0"/>
      <w:marTop w:val="0"/>
      <w:marBottom w:val="0"/>
      <w:divBdr>
        <w:top w:val="none" w:sz="0" w:space="0" w:color="auto"/>
        <w:left w:val="none" w:sz="0" w:space="0" w:color="auto"/>
        <w:bottom w:val="none" w:sz="0" w:space="0" w:color="auto"/>
        <w:right w:val="none" w:sz="0" w:space="0" w:color="auto"/>
      </w:divBdr>
    </w:div>
    <w:div w:id="989939962">
      <w:bodyDiv w:val="1"/>
      <w:marLeft w:val="0"/>
      <w:marRight w:val="0"/>
      <w:marTop w:val="0"/>
      <w:marBottom w:val="0"/>
      <w:divBdr>
        <w:top w:val="none" w:sz="0" w:space="0" w:color="auto"/>
        <w:left w:val="none" w:sz="0" w:space="0" w:color="auto"/>
        <w:bottom w:val="none" w:sz="0" w:space="0" w:color="auto"/>
        <w:right w:val="none" w:sz="0" w:space="0" w:color="auto"/>
      </w:divBdr>
    </w:div>
    <w:div w:id="1005745502">
      <w:bodyDiv w:val="1"/>
      <w:marLeft w:val="0"/>
      <w:marRight w:val="0"/>
      <w:marTop w:val="0"/>
      <w:marBottom w:val="0"/>
      <w:divBdr>
        <w:top w:val="none" w:sz="0" w:space="0" w:color="auto"/>
        <w:left w:val="none" w:sz="0" w:space="0" w:color="auto"/>
        <w:bottom w:val="none" w:sz="0" w:space="0" w:color="auto"/>
        <w:right w:val="none" w:sz="0" w:space="0" w:color="auto"/>
      </w:divBdr>
    </w:div>
    <w:div w:id="1049761755">
      <w:bodyDiv w:val="1"/>
      <w:marLeft w:val="0"/>
      <w:marRight w:val="0"/>
      <w:marTop w:val="0"/>
      <w:marBottom w:val="0"/>
      <w:divBdr>
        <w:top w:val="none" w:sz="0" w:space="0" w:color="auto"/>
        <w:left w:val="none" w:sz="0" w:space="0" w:color="auto"/>
        <w:bottom w:val="none" w:sz="0" w:space="0" w:color="auto"/>
        <w:right w:val="none" w:sz="0" w:space="0" w:color="auto"/>
      </w:divBdr>
    </w:div>
    <w:div w:id="1058240757">
      <w:bodyDiv w:val="1"/>
      <w:marLeft w:val="0"/>
      <w:marRight w:val="0"/>
      <w:marTop w:val="0"/>
      <w:marBottom w:val="0"/>
      <w:divBdr>
        <w:top w:val="none" w:sz="0" w:space="0" w:color="auto"/>
        <w:left w:val="none" w:sz="0" w:space="0" w:color="auto"/>
        <w:bottom w:val="none" w:sz="0" w:space="0" w:color="auto"/>
        <w:right w:val="none" w:sz="0" w:space="0" w:color="auto"/>
      </w:divBdr>
    </w:div>
    <w:div w:id="1149321661">
      <w:bodyDiv w:val="1"/>
      <w:marLeft w:val="0"/>
      <w:marRight w:val="0"/>
      <w:marTop w:val="0"/>
      <w:marBottom w:val="0"/>
      <w:divBdr>
        <w:top w:val="none" w:sz="0" w:space="0" w:color="auto"/>
        <w:left w:val="none" w:sz="0" w:space="0" w:color="auto"/>
        <w:bottom w:val="none" w:sz="0" w:space="0" w:color="auto"/>
        <w:right w:val="none" w:sz="0" w:space="0" w:color="auto"/>
      </w:divBdr>
    </w:div>
    <w:div w:id="1164321478">
      <w:bodyDiv w:val="1"/>
      <w:marLeft w:val="0"/>
      <w:marRight w:val="0"/>
      <w:marTop w:val="0"/>
      <w:marBottom w:val="0"/>
      <w:divBdr>
        <w:top w:val="none" w:sz="0" w:space="0" w:color="auto"/>
        <w:left w:val="none" w:sz="0" w:space="0" w:color="auto"/>
        <w:bottom w:val="none" w:sz="0" w:space="0" w:color="auto"/>
        <w:right w:val="none" w:sz="0" w:space="0" w:color="auto"/>
      </w:divBdr>
    </w:div>
    <w:div w:id="1166438950">
      <w:bodyDiv w:val="1"/>
      <w:marLeft w:val="0"/>
      <w:marRight w:val="0"/>
      <w:marTop w:val="0"/>
      <w:marBottom w:val="0"/>
      <w:divBdr>
        <w:top w:val="none" w:sz="0" w:space="0" w:color="auto"/>
        <w:left w:val="none" w:sz="0" w:space="0" w:color="auto"/>
        <w:bottom w:val="none" w:sz="0" w:space="0" w:color="auto"/>
        <w:right w:val="none" w:sz="0" w:space="0" w:color="auto"/>
      </w:divBdr>
    </w:div>
    <w:div w:id="1201822100">
      <w:bodyDiv w:val="1"/>
      <w:marLeft w:val="0"/>
      <w:marRight w:val="0"/>
      <w:marTop w:val="0"/>
      <w:marBottom w:val="0"/>
      <w:divBdr>
        <w:top w:val="none" w:sz="0" w:space="0" w:color="auto"/>
        <w:left w:val="none" w:sz="0" w:space="0" w:color="auto"/>
        <w:bottom w:val="none" w:sz="0" w:space="0" w:color="auto"/>
        <w:right w:val="none" w:sz="0" w:space="0" w:color="auto"/>
      </w:divBdr>
    </w:div>
    <w:div w:id="1211260779">
      <w:bodyDiv w:val="1"/>
      <w:marLeft w:val="0"/>
      <w:marRight w:val="0"/>
      <w:marTop w:val="0"/>
      <w:marBottom w:val="0"/>
      <w:divBdr>
        <w:top w:val="none" w:sz="0" w:space="0" w:color="auto"/>
        <w:left w:val="none" w:sz="0" w:space="0" w:color="auto"/>
        <w:bottom w:val="none" w:sz="0" w:space="0" w:color="auto"/>
        <w:right w:val="none" w:sz="0" w:space="0" w:color="auto"/>
      </w:divBdr>
    </w:div>
    <w:div w:id="1223563648">
      <w:bodyDiv w:val="1"/>
      <w:marLeft w:val="0"/>
      <w:marRight w:val="0"/>
      <w:marTop w:val="0"/>
      <w:marBottom w:val="0"/>
      <w:divBdr>
        <w:top w:val="none" w:sz="0" w:space="0" w:color="auto"/>
        <w:left w:val="none" w:sz="0" w:space="0" w:color="auto"/>
        <w:bottom w:val="none" w:sz="0" w:space="0" w:color="auto"/>
        <w:right w:val="none" w:sz="0" w:space="0" w:color="auto"/>
      </w:divBdr>
    </w:div>
    <w:div w:id="1227381075">
      <w:bodyDiv w:val="1"/>
      <w:marLeft w:val="0"/>
      <w:marRight w:val="0"/>
      <w:marTop w:val="0"/>
      <w:marBottom w:val="0"/>
      <w:divBdr>
        <w:top w:val="none" w:sz="0" w:space="0" w:color="auto"/>
        <w:left w:val="none" w:sz="0" w:space="0" w:color="auto"/>
        <w:bottom w:val="none" w:sz="0" w:space="0" w:color="auto"/>
        <w:right w:val="none" w:sz="0" w:space="0" w:color="auto"/>
      </w:divBdr>
    </w:div>
    <w:div w:id="1259097139">
      <w:bodyDiv w:val="1"/>
      <w:marLeft w:val="0"/>
      <w:marRight w:val="0"/>
      <w:marTop w:val="0"/>
      <w:marBottom w:val="0"/>
      <w:divBdr>
        <w:top w:val="none" w:sz="0" w:space="0" w:color="auto"/>
        <w:left w:val="none" w:sz="0" w:space="0" w:color="auto"/>
        <w:bottom w:val="none" w:sz="0" w:space="0" w:color="auto"/>
        <w:right w:val="none" w:sz="0" w:space="0" w:color="auto"/>
      </w:divBdr>
    </w:div>
    <w:div w:id="1269389760">
      <w:bodyDiv w:val="1"/>
      <w:marLeft w:val="0"/>
      <w:marRight w:val="0"/>
      <w:marTop w:val="0"/>
      <w:marBottom w:val="0"/>
      <w:divBdr>
        <w:top w:val="none" w:sz="0" w:space="0" w:color="auto"/>
        <w:left w:val="none" w:sz="0" w:space="0" w:color="auto"/>
        <w:bottom w:val="none" w:sz="0" w:space="0" w:color="auto"/>
        <w:right w:val="none" w:sz="0" w:space="0" w:color="auto"/>
      </w:divBdr>
    </w:div>
    <w:div w:id="1295912446">
      <w:bodyDiv w:val="1"/>
      <w:marLeft w:val="0"/>
      <w:marRight w:val="0"/>
      <w:marTop w:val="0"/>
      <w:marBottom w:val="0"/>
      <w:divBdr>
        <w:top w:val="none" w:sz="0" w:space="0" w:color="auto"/>
        <w:left w:val="none" w:sz="0" w:space="0" w:color="auto"/>
        <w:bottom w:val="none" w:sz="0" w:space="0" w:color="auto"/>
        <w:right w:val="none" w:sz="0" w:space="0" w:color="auto"/>
      </w:divBdr>
    </w:div>
    <w:div w:id="1342663357">
      <w:bodyDiv w:val="1"/>
      <w:marLeft w:val="0"/>
      <w:marRight w:val="0"/>
      <w:marTop w:val="0"/>
      <w:marBottom w:val="0"/>
      <w:divBdr>
        <w:top w:val="none" w:sz="0" w:space="0" w:color="auto"/>
        <w:left w:val="none" w:sz="0" w:space="0" w:color="auto"/>
        <w:bottom w:val="none" w:sz="0" w:space="0" w:color="auto"/>
        <w:right w:val="none" w:sz="0" w:space="0" w:color="auto"/>
      </w:divBdr>
    </w:div>
    <w:div w:id="1355613450">
      <w:bodyDiv w:val="1"/>
      <w:marLeft w:val="0"/>
      <w:marRight w:val="0"/>
      <w:marTop w:val="0"/>
      <w:marBottom w:val="0"/>
      <w:divBdr>
        <w:top w:val="none" w:sz="0" w:space="0" w:color="auto"/>
        <w:left w:val="none" w:sz="0" w:space="0" w:color="auto"/>
        <w:bottom w:val="none" w:sz="0" w:space="0" w:color="auto"/>
        <w:right w:val="none" w:sz="0" w:space="0" w:color="auto"/>
      </w:divBdr>
    </w:div>
    <w:div w:id="1362587495">
      <w:bodyDiv w:val="1"/>
      <w:marLeft w:val="0"/>
      <w:marRight w:val="0"/>
      <w:marTop w:val="0"/>
      <w:marBottom w:val="0"/>
      <w:divBdr>
        <w:top w:val="none" w:sz="0" w:space="0" w:color="auto"/>
        <w:left w:val="none" w:sz="0" w:space="0" w:color="auto"/>
        <w:bottom w:val="none" w:sz="0" w:space="0" w:color="auto"/>
        <w:right w:val="none" w:sz="0" w:space="0" w:color="auto"/>
      </w:divBdr>
    </w:div>
    <w:div w:id="1407531217">
      <w:bodyDiv w:val="1"/>
      <w:marLeft w:val="0"/>
      <w:marRight w:val="0"/>
      <w:marTop w:val="0"/>
      <w:marBottom w:val="0"/>
      <w:divBdr>
        <w:top w:val="none" w:sz="0" w:space="0" w:color="auto"/>
        <w:left w:val="none" w:sz="0" w:space="0" w:color="auto"/>
        <w:bottom w:val="none" w:sz="0" w:space="0" w:color="auto"/>
        <w:right w:val="none" w:sz="0" w:space="0" w:color="auto"/>
      </w:divBdr>
    </w:div>
    <w:div w:id="1427312276">
      <w:bodyDiv w:val="1"/>
      <w:marLeft w:val="0"/>
      <w:marRight w:val="0"/>
      <w:marTop w:val="0"/>
      <w:marBottom w:val="0"/>
      <w:divBdr>
        <w:top w:val="none" w:sz="0" w:space="0" w:color="auto"/>
        <w:left w:val="none" w:sz="0" w:space="0" w:color="auto"/>
        <w:bottom w:val="none" w:sz="0" w:space="0" w:color="auto"/>
        <w:right w:val="none" w:sz="0" w:space="0" w:color="auto"/>
      </w:divBdr>
    </w:div>
    <w:div w:id="1436903050">
      <w:bodyDiv w:val="1"/>
      <w:marLeft w:val="0"/>
      <w:marRight w:val="0"/>
      <w:marTop w:val="0"/>
      <w:marBottom w:val="0"/>
      <w:divBdr>
        <w:top w:val="none" w:sz="0" w:space="0" w:color="auto"/>
        <w:left w:val="none" w:sz="0" w:space="0" w:color="auto"/>
        <w:bottom w:val="none" w:sz="0" w:space="0" w:color="auto"/>
        <w:right w:val="none" w:sz="0" w:space="0" w:color="auto"/>
      </w:divBdr>
    </w:div>
    <w:div w:id="1471051179">
      <w:bodyDiv w:val="1"/>
      <w:marLeft w:val="0"/>
      <w:marRight w:val="0"/>
      <w:marTop w:val="0"/>
      <w:marBottom w:val="0"/>
      <w:divBdr>
        <w:top w:val="none" w:sz="0" w:space="0" w:color="auto"/>
        <w:left w:val="none" w:sz="0" w:space="0" w:color="auto"/>
        <w:bottom w:val="none" w:sz="0" w:space="0" w:color="auto"/>
        <w:right w:val="none" w:sz="0" w:space="0" w:color="auto"/>
      </w:divBdr>
    </w:div>
    <w:div w:id="1482427226">
      <w:bodyDiv w:val="1"/>
      <w:marLeft w:val="0"/>
      <w:marRight w:val="0"/>
      <w:marTop w:val="0"/>
      <w:marBottom w:val="0"/>
      <w:divBdr>
        <w:top w:val="none" w:sz="0" w:space="0" w:color="auto"/>
        <w:left w:val="none" w:sz="0" w:space="0" w:color="auto"/>
        <w:bottom w:val="none" w:sz="0" w:space="0" w:color="auto"/>
        <w:right w:val="none" w:sz="0" w:space="0" w:color="auto"/>
      </w:divBdr>
    </w:div>
    <w:div w:id="1530295295">
      <w:bodyDiv w:val="1"/>
      <w:marLeft w:val="0"/>
      <w:marRight w:val="0"/>
      <w:marTop w:val="0"/>
      <w:marBottom w:val="0"/>
      <w:divBdr>
        <w:top w:val="none" w:sz="0" w:space="0" w:color="auto"/>
        <w:left w:val="none" w:sz="0" w:space="0" w:color="auto"/>
        <w:bottom w:val="none" w:sz="0" w:space="0" w:color="auto"/>
        <w:right w:val="none" w:sz="0" w:space="0" w:color="auto"/>
      </w:divBdr>
    </w:div>
    <w:div w:id="1555652547">
      <w:bodyDiv w:val="1"/>
      <w:marLeft w:val="0"/>
      <w:marRight w:val="0"/>
      <w:marTop w:val="0"/>
      <w:marBottom w:val="0"/>
      <w:divBdr>
        <w:top w:val="none" w:sz="0" w:space="0" w:color="auto"/>
        <w:left w:val="none" w:sz="0" w:space="0" w:color="auto"/>
        <w:bottom w:val="none" w:sz="0" w:space="0" w:color="auto"/>
        <w:right w:val="none" w:sz="0" w:space="0" w:color="auto"/>
      </w:divBdr>
    </w:div>
    <w:div w:id="1657412909">
      <w:bodyDiv w:val="1"/>
      <w:marLeft w:val="0"/>
      <w:marRight w:val="0"/>
      <w:marTop w:val="0"/>
      <w:marBottom w:val="0"/>
      <w:divBdr>
        <w:top w:val="none" w:sz="0" w:space="0" w:color="auto"/>
        <w:left w:val="none" w:sz="0" w:space="0" w:color="auto"/>
        <w:bottom w:val="none" w:sz="0" w:space="0" w:color="auto"/>
        <w:right w:val="none" w:sz="0" w:space="0" w:color="auto"/>
      </w:divBdr>
    </w:div>
    <w:div w:id="1667706487">
      <w:bodyDiv w:val="1"/>
      <w:marLeft w:val="0"/>
      <w:marRight w:val="0"/>
      <w:marTop w:val="0"/>
      <w:marBottom w:val="0"/>
      <w:divBdr>
        <w:top w:val="none" w:sz="0" w:space="0" w:color="auto"/>
        <w:left w:val="none" w:sz="0" w:space="0" w:color="auto"/>
        <w:bottom w:val="none" w:sz="0" w:space="0" w:color="auto"/>
        <w:right w:val="none" w:sz="0" w:space="0" w:color="auto"/>
      </w:divBdr>
    </w:div>
    <w:div w:id="1680306843">
      <w:bodyDiv w:val="1"/>
      <w:marLeft w:val="0"/>
      <w:marRight w:val="0"/>
      <w:marTop w:val="0"/>
      <w:marBottom w:val="0"/>
      <w:divBdr>
        <w:top w:val="none" w:sz="0" w:space="0" w:color="auto"/>
        <w:left w:val="none" w:sz="0" w:space="0" w:color="auto"/>
        <w:bottom w:val="none" w:sz="0" w:space="0" w:color="auto"/>
        <w:right w:val="none" w:sz="0" w:space="0" w:color="auto"/>
      </w:divBdr>
    </w:div>
    <w:div w:id="1721129923">
      <w:bodyDiv w:val="1"/>
      <w:marLeft w:val="0"/>
      <w:marRight w:val="0"/>
      <w:marTop w:val="0"/>
      <w:marBottom w:val="0"/>
      <w:divBdr>
        <w:top w:val="none" w:sz="0" w:space="0" w:color="auto"/>
        <w:left w:val="none" w:sz="0" w:space="0" w:color="auto"/>
        <w:bottom w:val="none" w:sz="0" w:space="0" w:color="auto"/>
        <w:right w:val="none" w:sz="0" w:space="0" w:color="auto"/>
      </w:divBdr>
    </w:div>
    <w:div w:id="1761373141">
      <w:bodyDiv w:val="1"/>
      <w:marLeft w:val="0"/>
      <w:marRight w:val="0"/>
      <w:marTop w:val="0"/>
      <w:marBottom w:val="0"/>
      <w:divBdr>
        <w:top w:val="none" w:sz="0" w:space="0" w:color="auto"/>
        <w:left w:val="none" w:sz="0" w:space="0" w:color="auto"/>
        <w:bottom w:val="none" w:sz="0" w:space="0" w:color="auto"/>
        <w:right w:val="none" w:sz="0" w:space="0" w:color="auto"/>
      </w:divBdr>
    </w:div>
    <w:div w:id="1815216497">
      <w:bodyDiv w:val="1"/>
      <w:marLeft w:val="0"/>
      <w:marRight w:val="0"/>
      <w:marTop w:val="0"/>
      <w:marBottom w:val="0"/>
      <w:divBdr>
        <w:top w:val="none" w:sz="0" w:space="0" w:color="auto"/>
        <w:left w:val="none" w:sz="0" w:space="0" w:color="auto"/>
        <w:bottom w:val="none" w:sz="0" w:space="0" w:color="auto"/>
        <w:right w:val="none" w:sz="0" w:space="0" w:color="auto"/>
      </w:divBdr>
    </w:div>
    <w:div w:id="1828015536">
      <w:bodyDiv w:val="1"/>
      <w:marLeft w:val="0"/>
      <w:marRight w:val="0"/>
      <w:marTop w:val="0"/>
      <w:marBottom w:val="0"/>
      <w:divBdr>
        <w:top w:val="none" w:sz="0" w:space="0" w:color="auto"/>
        <w:left w:val="none" w:sz="0" w:space="0" w:color="auto"/>
        <w:bottom w:val="none" w:sz="0" w:space="0" w:color="auto"/>
        <w:right w:val="none" w:sz="0" w:space="0" w:color="auto"/>
      </w:divBdr>
    </w:div>
    <w:div w:id="1865747349">
      <w:bodyDiv w:val="1"/>
      <w:marLeft w:val="0"/>
      <w:marRight w:val="0"/>
      <w:marTop w:val="0"/>
      <w:marBottom w:val="0"/>
      <w:divBdr>
        <w:top w:val="none" w:sz="0" w:space="0" w:color="auto"/>
        <w:left w:val="none" w:sz="0" w:space="0" w:color="auto"/>
        <w:bottom w:val="none" w:sz="0" w:space="0" w:color="auto"/>
        <w:right w:val="none" w:sz="0" w:space="0" w:color="auto"/>
      </w:divBdr>
    </w:div>
    <w:div w:id="1875000316">
      <w:bodyDiv w:val="1"/>
      <w:marLeft w:val="0"/>
      <w:marRight w:val="0"/>
      <w:marTop w:val="0"/>
      <w:marBottom w:val="0"/>
      <w:divBdr>
        <w:top w:val="none" w:sz="0" w:space="0" w:color="auto"/>
        <w:left w:val="none" w:sz="0" w:space="0" w:color="auto"/>
        <w:bottom w:val="none" w:sz="0" w:space="0" w:color="auto"/>
        <w:right w:val="none" w:sz="0" w:space="0" w:color="auto"/>
      </w:divBdr>
    </w:div>
    <w:div w:id="1883783930">
      <w:bodyDiv w:val="1"/>
      <w:marLeft w:val="0"/>
      <w:marRight w:val="0"/>
      <w:marTop w:val="0"/>
      <w:marBottom w:val="0"/>
      <w:divBdr>
        <w:top w:val="none" w:sz="0" w:space="0" w:color="auto"/>
        <w:left w:val="none" w:sz="0" w:space="0" w:color="auto"/>
        <w:bottom w:val="none" w:sz="0" w:space="0" w:color="auto"/>
        <w:right w:val="none" w:sz="0" w:space="0" w:color="auto"/>
      </w:divBdr>
    </w:div>
    <w:div w:id="1915580397">
      <w:bodyDiv w:val="1"/>
      <w:marLeft w:val="0"/>
      <w:marRight w:val="0"/>
      <w:marTop w:val="0"/>
      <w:marBottom w:val="0"/>
      <w:divBdr>
        <w:top w:val="none" w:sz="0" w:space="0" w:color="auto"/>
        <w:left w:val="none" w:sz="0" w:space="0" w:color="auto"/>
        <w:bottom w:val="none" w:sz="0" w:space="0" w:color="auto"/>
        <w:right w:val="none" w:sz="0" w:space="0" w:color="auto"/>
      </w:divBdr>
    </w:div>
    <w:div w:id="1951084896">
      <w:bodyDiv w:val="1"/>
      <w:marLeft w:val="0"/>
      <w:marRight w:val="0"/>
      <w:marTop w:val="0"/>
      <w:marBottom w:val="0"/>
      <w:divBdr>
        <w:top w:val="none" w:sz="0" w:space="0" w:color="auto"/>
        <w:left w:val="none" w:sz="0" w:space="0" w:color="auto"/>
        <w:bottom w:val="none" w:sz="0" w:space="0" w:color="auto"/>
        <w:right w:val="none" w:sz="0" w:space="0" w:color="auto"/>
      </w:divBdr>
    </w:div>
    <w:div w:id="1965231751">
      <w:bodyDiv w:val="1"/>
      <w:marLeft w:val="0"/>
      <w:marRight w:val="0"/>
      <w:marTop w:val="0"/>
      <w:marBottom w:val="0"/>
      <w:divBdr>
        <w:top w:val="none" w:sz="0" w:space="0" w:color="auto"/>
        <w:left w:val="none" w:sz="0" w:space="0" w:color="auto"/>
        <w:bottom w:val="none" w:sz="0" w:space="0" w:color="auto"/>
        <w:right w:val="none" w:sz="0" w:space="0" w:color="auto"/>
      </w:divBdr>
    </w:div>
    <w:div w:id="1968927345">
      <w:bodyDiv w:val="1"/>
      <w:marLeft w:val="0"/>
      <w:marRight w:val="0"/>
      <w:marTop w:val="0"/>
      <w:marBottom w:val="0"/>
      <w:divBdr>
        <w:top w:val="none" w:sz="0" w:space="0" w:color="auto"/>
        <w:left w:val="none" w:sz="0" w:space="0" w:color="auto"/>
        <w:bottom w:val="none" w:sz="0" w:space="0" w:color="auto"/>
        <w:right w:val="none" w:sz="0" w:space="0" w:color="auto"/>
      </w:divBdr>
    </w:div>
    <w:div w:id="2044596087">
      <w:bodyDiv w:val="1"/>
      <w:marLeft w:val="0"/>
      <w:marRight w:val="0"/>
      <w:marTop w:val="0"/>
      <w:marBottom w:val="0"/>
      <w:divBdr>
        <w:top w:val="none" w:sz="0" w:space="0" w:color="auto"/>
        <w:left w:val="none" w:sz="0" w:space="0" w:color="auto"/>
        <w:bottom w:val="none" w:sz="0" w:space="0" w:color="auto"/>
        <w:right w:val="none" w:sz="0" w:space="0" w:color="auto"/>
      </w:divBdr>
    </w:div>
    <w:div w:id="2054423298">
      <w:bodyDiv w:val="1"/>
      <w:marLeft w:val="0"/>
      <w:marRight w:val="0"/>
      <w:marTop w:val="0"/>
      <w:marBottom w:val="0"/>
      <w:divBdr>
        <w:top w:val="none" w:sz="0" w:space="0" w:color="auto"/>
        <w:left w:val="none" w:sz="0" w:space="0" w:color="auto"/>
        <w:bottom w:val="none" w:sz="0" w:space="0" w:color="auto"/>
        <w:right w:val="none" w:sz="0" w:space="0" w:color="auto"/>
      </w:divBdr>
    </w:div>
    <w:div w:id="2076658832">
      <w:bodyDiv w:val="1"/>
      <w:marLeft w:val="0"/>
      <w:marRight w:val="0"/>
      <w:marTop w:val="0"/>
      <w:marBottom w:val="0"/>
      <w:divBdr>
        <w:top w:val="none" w:sz="0" w:space="0" w:color="auto"/>
        <w:left w:val="none" w:sz="0" w:space="0" w:color="auto"/>
        <w:bottom w:val="none" w:sz="0" w:space="0" w:color="auto"/>
        <w:right w:val="none" w:sz="0" w:space="0" w:color="auto"/>
      </w:divBdr>
    </w:div>
    <w:div w:id="2101441030">
      <w:bodyDiv w:val="1"/>
      <w:marLeft w:val="0"/>
      <w:marRight w:val="0"/>
      <w:marTop w:val="0"/>
      <w:marBottom w:val="0"/>
      <w:divBdr>
        <w:top w:val="none" w:sz="0" w:space="0" w:color="auto"/>
        <w:left w:val="none" w:sz="0" w:space="0" w:color="auto"/>
        <w:bottom w:val="none" w:sz="0" w:space="0" w:color="auto"/>
        <w:right w:val="none" w:sz="0" w:space="0" w:color="auto"/>
      </w:divBdr>
    </w:div>
    <w:div w:id="211624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46874-ECF3-4CDD-B4AA-E8EA4146E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5630</Words>
  <Characters>30408</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Felipe</dc:creator>
  <cp:keywords/>
  <dc:description/>
  <cp:lastModifiedBy>Fábio Giovanni</cp:lastModifiedBy>
  <cp:revision>3</cp:revision>
  <dcterms:created xsi:type="dcterms:W3CDTF">2018-03-18T20:58:00Z</dcterms:created>
  <dcterms:modified xsi:type="dcterms:W3CDTF">2018-03-18T21:11:00Z</dcterms:modified>
</cp:coreProperties>
</file>