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CESED – CENTRO DE ENSINO SUPERIOR E DESENVOLVIMENTO</w:t>
      </w:r>
    </w:p>
    <w:p w:rsidR="00000000" w:rsidDel="00000000" w:rsidP="00000000" w:rsidRDefault="00000000" w:rsidRPr="00000000" w14:paraId="00000002">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UNIFACISA – CENTRO UNIVERSITÁRIO</w:t>
      </w:r>
    </w:p>
    <w:p w:rsidR="00000000" w:rsidDel="00000000" w:rsidP="00000000" w:rsidRDefault="00000000" w:rsidRPr="00000000" w14:paraId="00000003">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CURSO DE BACHARELADO EM DIREITO</w:t>
      </w:r>
    </w:p>
    <w:p w:rsidR="00000000" w:rsidDel="00000000" w:rsidP="00000000" w:rsidRDefault="00000000" w:rsidRPr="00000000" w14:paraId="00000004">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YAN JOSÉ CALUÊTE MARINHO</w:t>
      </w:r>
    </w:p>
    <w:p w:rsidR="00000000" w:rsidDel="00000000" w:rsidP="00000000" w:rsidRDefault="00000000" w:rsidRPr="00000000" w14:paraId="00000007">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REABILITAÇÃO DO INDIVÍDUO PARA FINS DE CONCURSO PÚBLICO EM FACE DA PROIBIÇÃO DE APROVAÇÃO DE EX-PRESIDIÁRIOS COM CONDENAÇÃO DEFINITIVA</w:t>
      </w:r>
    </w:p>
    <w:p w:rsidR="00000000" w:rsidDel="00000000" w:rsidP="00000000" w:rsidRDefault="00000000" w:rsidRPr="00000000" w14:paraId="00000014">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CAMPINA GRANDE – PB</w:t>
      </w:r>
    </w:p>
    <w:p w:rsidR="00000000" w:rsidDel="00000000" w:rsidP="00000000" w:rsidRDefault="00000000" w:rsidRPr="00000000" w14:paraId="00000020">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2022</w:t>
      </w:r>
    </w:p>
    <w:p w:rsidR="00000000" w:rsidDel="00000000" w:rsidP="00000000" w:rsidRDefault="00000000" w:rsidRPr="00000000" w14:paraId="00000021">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YAN JOSÉ CALUÊTE MARINHO</w:t>
      </w:r>
    </w:p>
    <w:p w:rsidR="00000000" w:rsidDel="00000000" w:rsidP="00000000" w:rsidRDefault="00000000" w:rsidRPr="00000000" w14:paraId="00000022">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REABILITAÇÃO DO INDIVÍDUO PARA FINS DE CONCURSO PÚBLICO EM FACE DA PROIBIÇÃO DE APROVAÇÃO DE EX-PRESIDIÁRIOS COM CONDENAÇÃO DEFINITIVA</w:t>
      </w:r>
    </w:p>
    <w:p w:rsidR="00000000" w:rsidDel="00000000" w:rsidP="00000000" w:rsidRDefault="00000000" w:rsidRPr="00000000" w14:paraId="00000029">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ind w:left="453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Trabalho de Conclusão de Curso – Artigo Científico – apresentado como pré-requisito para a obtenção do título de Bacharel em Direito pela Unifacisa – Centro Universitário.</w:t>
      </w:r>
    </w:p>
    <w:p w:rsidR="00000000" w:rsidDel="00000000" w:rsidP="00000000" w:rsidRDefault="00000000" w:rsidRPr="00000000" w14:paraId="0000002F">
      <w:pPr>
        <w:spacing w:after="0" w:line="240" w:lineRule="auto"/>
        <w:ind w:left="453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Área de concentração e Linha de Pesquisa: Direito Público/Direitos constitucionais, garantias e acesso à justiça.</w:t>
      </w:r>
    </w:p>
    <w:p w:rsidR="00000000" w:rsidDel="00000000" w:rsidP="00000000" w:rsidRDefault="00000000" w:rsidRPr="00000000" w14:paraId="00000030">
      <w:pPr>
        <w:spacing w:after="0" w:line="240" w:lineRule="auto"/>
        <w:ind w:left="453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Orientador: Prof. da Unifacisa Marcelo D’ Ângelo Lara, Dr.</w:t>
      </w:r>
    </w:p>
    <w:p w:rsidR="00000000" w:rsidDel="00000000" w:rsidP="00000000" w:rsidRDefault="00000000" w:rsidRPr="00000000" w14:paraId="00000031">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Campina Grande – PB</w:t>
      </w:r>
    </w:p>
    <w:p w:rsidR="00000000" w:rsidDel="00000000" w:rsidP="00000000" w:rsidRDefault="00000000" w:rsidRPr="00000000" w14:paraId="0000003E">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2022</w:t>
      </w:r>
    </w:p>
    <w:p w:rsidR="00000000" w:rsidDel="00000000" w:rsidP="00000000" w:rsidRDefault="00000000" w:rsidRPr="00000000" w14:paraId="0000003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Dados Internacionais da Catalogação na Publicação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(Biblioteca da UniFacisa)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460"/>
        </w:tabs>
        <w:spacing w:after="0" w:before="0" w:line="240" w:lineRule="auto"/>
        <w:ind w:left="0" w:right="1134" w:firstLine="70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A779s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460"/>
        </w:tabs>
        <w:spacing w:after="0" w:before="0" w:line="240" w:lineRule="auto"/>
        <w:ind w:left="993" w:right="113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Marinho, Yan José Caluête.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789"/>
        </w:tabs>
        <w:spacing w:after="0" w:before="0" w:line="240" w:lineRule="auto"/>
        <w:ind w:left="993" w:right="282" w:firstLine="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Reabilitação do indivíduo para fins de concurso público em face da proibição de aprovação de ex-presidiários com condenação definitiva. / Yan José Caluête Marinho. – Campina Grande-PB, 2022.</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789"/>
        </w:tabs>
        <w:spacing w:after="0" w:before="0" w:line="240" w:lineRule="auto"/>
        <w:ind w:left="993" w:right="282" w:firstLine="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789"/>
        </w:tabs>
        <w:spacing w:after="0" w:before="0" w:line="240" w:lineRule="auto"/>
        <w:ind w:left="993" w:right="282" w:firstLine="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Originalmente apresentada como Trabalho de Conclusão de Curso – Bacharelado em Direito do autor (Bacharel – UniFacisa – Centro Universitário, 2022).</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789"/>
        </w:tabs>
        <w:spacing w:after="0" w:before="0" w:line="240" w:lineRule="auto"/>
        <w:ind w:left="993" w:right="282" w:firstLine="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Referências.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789"/>
        </w:tabs>
        <w:spacing w:after="0" w:before="0" w:line="240" w:lineRule="auto"/>
        <w:ind w:left="993" w:right="282" w:firstLine="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460"/>
          <w:tab w:val="left" w:pos="8505"/>
        </w:tabs>
        <w:spacing w:after="0" w:before="0" w:line="240" w:lineRule="auto"/>
        <w:ind w:left="900" w:right="567" w:firstLine="415.999999999999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Ressocialização. 2. Reabilitação. 3. Dignidade da pessoa humana. I. Título...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560"/>
          <w:tab w:val="left" w:pos="8460"/>
        </w:tabs>
        <w:spacing w:after="0" w:before="0" w:line="240" w:lineRule="auto"/>
        <w:ind w:left="1276" w:right="113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789"/>
        </w:tabs>
        <w:spacing w:after="0" w:before="0" w:line="240" w:lineRule="auto"/>
        <w:ind w:left="0" w:right="282"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CDU-XXXX(XXX)(XXX)</w:t>
      </w:r>
    </w:p>
    <w:p w:rsidR="00000000" w:rsidDel="00000000" w:rsidP="00000000" w:rsidRDefault="00000000" w:rsidRPr="00000000" w14:paraId="00000061">
      <w:pPr>
        <w:spacing w:after="0" w:line="240" w:lineRule="auto"/>
        <w:ind w:left="567" w:right="282"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w:t>
      </w:r>
    </w:p>
    <w:p w:rsidR="00000000" w:rsidDel="00000000" w:rsidP="00000000" w:rsidRDefault="00000000" w:rsidRPr="00000000" w14:paraId="00000062">
      <w:pPr>
        <w:spacing w:after="0" w:line="240" w:lineRule="auto"/>
        <w:ind w:left="567" w:right="282"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Elaborado pela Bibliotecária Rosa Núbia de Lima Matias CRB 15/568 Catalogação na fonte</w:t>
      </w:r>
    </w:p>
    <w:p w:rsidR="00000000" w:rsidDel="00000000" w:rsidP="00000000" w:rsidRDefault="00000000" w:rsidRPr="00000000" w14:paraId="00000063">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36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Trabalho de Conclusão de Curso – Artigo Científico – reabilitação do indivíduo para fins de concurso público em face da proibição de aprovação de ex-presidiários com condenação definitiva, apresentado por Yan José Caluête Marinho, como parte dos requisitos para obtenção do título de Bacharel em Direito, outorgado pela Unifacisa – Centro Universitário.</w:t>
      </w:r>
    </w:p>
    <w:p w:rsidR="00000000" w:rsidDel="00000000" w:rsidP="00000000" w:rsidRDefault="00000000" w:rsidRPr="00000000" w14:paraId="00000077">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APROVADO EM _______/______/______</w:t>
      </w:r>
    </w:p>
    <w:p w:rsidR="00000000" w:rsidDel="00000000" w:rsidP="00000000" w:rsidRDefault="00000000" w:rsidRPr="00000000" w14:paraId="00000079">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BANCA EXAMINADORA:</w:t>
      </w:r>
    </w:p>
    <w:p w:rsidR="00000000" w:rsidDel="00000000" w:rsidP="00000000" w:rsidRDefault="00000000" w:rsidRPr="00000000" w14:paraId="0000007B">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w:t>
      </w:r>
    </w:p>
    <w:p w:rsidR="00000000" w:rsidDel="00000000" w:rsidP="00000000" w:rsidRDefault="00000000" w:rsidRPr="00000000" w14:paraId="0000007D">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Prof.º da Unifacisa Marcelo D’ Angelo Lara, Dr.</w:t>
      </w:r>
    </w:p>
    <w:p w:rsidR="00000000" w:rsidDel="00000000" w:rsidP="00000000" w:rsidRDefault="00000000" w:rsidRPr="00000000" w14:paraId="0000007E">
      <w:pPr>
        <w:spacing w:after="0" w:line="240" w:lineRule="auto"/>
        <w:ind w:left="4253"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Orientador</w:t>
      </w:r>
    </w:p>
    <w:p w:rsidR="00000000" w:rsidDel="00000000" w:rsidP="00000000" w:rsidRDefault="00000000" w:rsidRPr="00000000" w14:paraId="0000007F">
      <w:pPr>
        <w:spacing w:after="0" w:line="240" w:lineRule="auto"/>
        <w:ind w:left="4253"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w:t>
      </w:r>
    </w:p>
    <w:p w:rsidR="00000000" w:rsidDel="00000000" w:rsidP="00000000" w:rsidRDefault="00000000" w:rsidRPr="00000000" w14:paraId="00000081">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Prof.º da Unifacisa </w:t>
      </w:r>
    </w:p>
    <w:p w:rsidR="00000000" w:rsidDel="00000000" w:rsidP="00000000" w:rsidRDefault="00000000" w:rsidRPr="00000000" w14:paraId="00000082">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w:t>
      </w:r>
    </w:p>
    <w:p w:rsidR="00000000" w:rsidDel="00000000" w:rsidP="00000000" w:rsidRDefault="00000000" w:rsidRPr="00000000" w14:paraId="00000084">
      <w:pPr>
        <w:spacing w:after="0" w:line="240" w:lineRule="auto"/>
        <w:ind w:left="425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Prof.º da Unifacisa </w:t>
      </w:r>
    </w:p>
    <w:p w:rsidR="00000000" w:rsidDel="00000000" w:rsidP="00000000" w:rsidRDefault="00000000" w:rsidRPr="00000000" w14:paraId="0000008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6">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510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510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510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510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ponto de aplicação da pena não é a representação, é o corpo, é o tempo, são os gestos e as atividades de todos os dias; a alma, também, mas na medida em que é sede de hábitos.” (FOUCAULT, 1987).</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510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spacing w:after="0" w:line="240" w:lineRule="auto"/>
        <w:ind w:left="425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REABILITAÇÃO DO INDIVÍDUO PARA FINS DE CONCURSO PÚBLICO EM FACE DA PROIBIÇÃO DE APROVAÇÃO DE EX-PRESIDIÁRIOS COM CONDENAÇÃO DEFINITIVA</w:t>
      </w:r>
    </w:p>
    <w:p w:rsidR="00000000" w:rsidDel="00000000" w:rsidP="00000000" w:rsidRDefault="00000000" w:rsidRPr="00000000" w14:paraId="000000B4">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spacing w:after="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Yan José Caluête Marinho</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B6">
      <w:pPr>
        <w:spacing w:after="0" w:line="360" w:lineRule="auto"/>
        <w:jc w:val="right"/>
        <w:rPr>
          <w:rFonts w:ascii="Arial" w:cs="Arial" w:eastAsia="Arial" w:hAnsi="Arial"/>
          <w:b w:val="1"/>
          <w:sz w:val="24"/>
          <w:szCs w:val="24"/>
        </w:rPr>
      </w:pPr>
      <w:r w:rsidDel="00000000" w:rsidR="00000000" w:rsidRPr="00000000">
        <w:rPr>
          <w:rFonts w:ascii="Arial" w:cs="Arial" w:eastAsia="Arial" w:hAnsi="Arial"/>
          <w:sz w:val="24"/>
          <w:szCs w:val="24"/>
          <w:rtl w:val="0"/>
        </w:rPr>
        <w:t xml:space="preserve">Marcelo D’ Angelo Lara</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B7">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8">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9">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BA">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B">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artigo tem por escopo analisar de maneira geral a problemática relativa à participação do indivíduo em processo de ressocialização em certames públicos. Para tanto, o tema foi abordado e desenvolvido a partir de estudo exploratório, a partir de revisão bibliográfica sobre as atuais leis brasileiras. Nesse sentido, buscou-se conhecer sob uma perspectiva teórico-conceitual e histórica referente à função social da pena e a partir daí, analisar como algumas medidas impostas pela a administração pública durante o processo de concurso público passam a impactar na vida das pessoas ressocializadas criminalmente, e consequentemente se essas eventuais medidas de algum modo geram um cerceamento ao direito do indivíduo de voltar a viver em sociedade, e ainda se tal prática pode ser considerada como uma afronta ao princípio da dignidade da pessoa humana. Além disso, utiliza-se também da alusão histórica, a fim de verificar casos concretos em que houve o tipo de situação abordado nesta pesquisa. Concluiu-se portanto, que tal impedimento não deve prosperar por afrontar direitos constitucionalmente garantidos, a exemplo da dignidade da pessoa humana e da vedação a penas de caráter perpétuo, como também por não garantir ao ressocializado tratamento igual, mesmo após o cumprimento da sua dívida com a sociedade.</w:t>
      </w:r>
    </w:p>
    <w:p w:rsidR="00000000" w:rsidDel="00000000" w:rsidP="00000000" w:rsidRDefault="00000000" w:rsidRPr="00000000" w14:paraId="000000BC">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PALAVRAS-CHAVE: Ressocialização. Reabilitação. Dignidade da pessoa humana. Concurso Público. Certame. Impedimento.</w:t>
      </w:r>
    </w:p>
    <w:p w:rsidR="00000000" w:rsidDel="00000000" w:rsidP="00000000" w:rsidRDefault="00000000" w:rsidRPr="00000000" w14:paraId="000000BD">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B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this article is to analyze in a general way the problems related to the participation of the individual in the process of resocialization in public contests. Therefore, the theme was approached and developed from an exploratory study, from a literature review on current Brazilian laws. In this sense, we sought to know from a theoretical-conceptual and historical perspective regarding the social function of the penalty and from there, analyze how some measures imposed by the public administration during the public tender process start to impact the lives of criminally resocialized people. , and consequently if these eventual measures somehow generate a restriction of the individual's right to return to live in society, and even if such a practice can be considered as an affront to the principle of human dignity. In addition, it also uses the historical allusion, in order to verify specific cases in which there was the type of situation addressed in this research. It was concluded, therefore, that such impediment should not prosper, as it confronts constitutionally guaranteed rights, such as the dignity of the human person and the prohibition of perpetual penalties, as well as for not guaranteeing the resocialized equal treatment, even after the fulfillment of the its debt to society.</w:t>
      </w:r>
    </w:p>
    <w:p w:rsidR="00000000" w:rsidDel="00000000" w:rsidP="00000000" w:rsidRDefault="00000000" w:rsidRPr="00000000" w14:paraId="000000C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KEYWORDS: Resocialization.  Rehabilitation. Human dignity. Public Tender. Competition. Impediment..</w:t>
      </w:r>
    </w:p>
    <w:p w:rsidR="00000000" w:rsidDel="00000000" w:rsidP="00000000" w:rsidRDefault="00000000" w:rsidRPr="00000000" w14:paraId="000000C1">
      <w:pPr>
        <w:spacing w:after="0" w:line="360" w:lineRule="auto"/>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 INTRODUÇÃO</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os primórdios  da vida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sociedade se fez necessário a criação de regras de convivência, das quais acabou por surgir uma consequência para aquele que </w:t>
      </w:r>
      <w:r w:rsidDel="00000000" w:rsidR="00000000" w:rsidRPr="00000000">
        <w:rPr>
          <w:rFonts w:ascii="Arial" w:cs="Arial" w:eastAsia="Arial" w:hAnsi="Arial"/>
          <w:sz w:val="24"/>
          <w:szCs w:val="24"/>
          <w:rtl w:val="0"/>
        </w:rPr>
        <w:t xml:space="preserve">violasse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tal disposição. Por ora, deixando de lado todo um contexto histórico que será abordado posteriormente, temos a pena como um fator de ressocialização do </w:t>
      </w:r>
      <w:r w:rsidDel="00000000" w:rsidR="00000000" w:rsidRPr="00000000">
        <w:rPr>
          <w:rFonts w:ascii="Arial" w:cs="Arial" w:eastAsia="Arial" w:hAnsi="Arial"/>
          <w:sz w:val="24"/>
          <w:szCs w:val="24"/>
          <w:rtl w:val="0"/>
        </w:rPr>
        <w:t xml:space="preserve">indivíduo,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que dessa maneira, aquele que cumprir integralmente sua pena esteja apto para reingressar à sociedade. Entretanto, o que se percebe é a existência de um enorme preconceito com aqueles que de alguma forma viveram </w:t>
      </w:r>
      <w:r w:rsidDel="00000000" w:rsidR="00000000" w:rsidRPr="00000000">
        <w:rPr>
          <w:rFonts w:ascii="Arial" w:cs="Arial" w:eastAsia="Arial" w:hAnsi="Arial"/>
          <w:sz w:val="24"/>
          <w:szCs w:val="24"/>
          <w:rtl w:val="0"/>
        </w:rPr>
        <w:t xml:space="preserve">à margem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lei, restando mais nítido no âmbito trabalhista.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cenário, o objetivo principal do presente estudo gira em torno de analisar suposta imposição de obstáculos em sede de concurso público para pessoas com antecedentes criminais, quando da possibilidade de tomar posse de algum cargo pretendido. A relevância social para o presente tema é decorrente da situação ter se tornado cada vez mais corriqueira, ocorrendo de maneira silenciosa, tendo em vista que, teoricamente, responder uma ação penal ou ter alguma anotação em sua ficha criminal não são hipóteses impeditivas para assumir cargo em concurso público. Porém, o candidato deve provar que não foi condenado ou, caso tenha transitado em julgado à condenação, que esteja o indivíduo devidamente reabilitado, inclusive com os direitos políticos restabelecidos.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exigir do cidadão a comprovação de algo a qual é dever do estado fornecer demonstra a injustiça que vem ocorrendo, ficando ainda mais claro quando se passa </w:t>
      </w:r>
      <w:r w:rsidDel="00000000" w:rsidR="00000000" w:rsidRPr="00000000">
        <w:rPr>
          <w:rFonts w:ascii="Arial" w:cs="Arial" w:eastAsia="Arial" w:hAnsi="Arial"/>
          <w:sz w:val="24"/>
          <w:szCs w:val="24"/>
          <w:rtl w:val="0"/>
        </w:rPr>
        <w:t xml:space="preserve">à análise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casos concretos, nos quais se percebe uma exclusão tácita até mesmo daqueles beneficiados com o instituto da reabilitação. Desse modo, percebe-se a quantidade exacerbada de contradições sobre a narrativa em questão, precipuamente face ao incentivo para que ocorra a contratação de egressos pelas empresas privadas, porém, várias são as formas de buscar afastar o </w:t>
      </w:r>
      <w:r w:rsidDel="00000000" w:rsidR="00000000" w:rsidRPr="00000000">
        <w:rPr>
          <w:rFonts w:ascii="Arial" w:cs="Arial" w:eastAsia="Arial" w:hAnsi="Arial"/>
          <w:sz w:val="24"/>
          <w:szCs w:val="24"/>
          <w:rtl w:val="0"/>
        </w:rPr>
        <w:t xml:space="preserve">indivíduo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administração pública.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 situação acaba ferindo o princípio da dignidade da pessoa humana e, ainda, a vedação </w:t>
      </w:r>
      <w:r w:rsidDel="00000000" w:rsidR="00000000" w:rsidRPr="00000000">
        <w:rPr>
          <w:rFonts w:ascii="Arial" w:cs="Arial" w:eastAsia="Arial" w:hAnsi="Arial"/>
          <w:sz w:val="24"/>
          <w:szCs w:val="24"/>
          <w:rtl w:val="0"/>
        </w:rPr>
        <w:t xml:space="preserve">às penas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caráter perpétuo (art. 5º, XLVII, “b” da Constituição federal). Destarte, tal ato ganha ainda mais gravidade por causar grande prejuízo ao egresso, que se encontra em uma pena que lhe é determinada por um crime anterior que foi formalmente cumprido. Deve-se, portanto, impedir que este pague as consequências de sua ação por mais de uma vez, evitando o fenômeno do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bis in idem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discussão do assunto se torna importante tendo em vista que o tema é pouco abordado nas discussões jurídicas, apesar da sua importância, por se tratar de direitos fundamentais do indivíduo ressocializado, no processo de efetiva reeducação daqueles que agiram em desconformidade com a lei, deve-se, portanto, analisar como algumas medidas impostas pela a administração pública durante o processo de concurso público passam a impactar na vida das pessoas ressocializadas criminalmente, e ainda se essas eventuais medidas de algum modo geram um cerceamento ao instituto da ressocialização e ainda se afronta o princípio da dignidade da pessoa humana.</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pesquisa a ser realizada no presente trabalho será classificada como estudo exploratório, visto que, o objetivo do trabalho é proporcionar maior conhecimento, vez que não existem ainda muitas informações sobre o tema analisado juntamente com o problema, para assim </w:t>
      </w:r>
      <w:r w:rsidDel="00000000" w:rsidR="00000000" w:rsidRPr="00000000">
        <w:rPr>
          <w:rFonts w:ascii="Arial" w:cs="Arial" w:eastAsia="Arial" w:hAnsi="Arial"/>
          <w:sz w:val="24"/>
          <w:szCs w:val="24"/>
          <w:rtl w:val="0"/>
        </w:rPr>
        <w:t xml:space="preserve">torná-lo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mais explícito, de forma que se crie uma maior maturidade sobre a temática. Para atingir os objetivos deste estudo, pretende-se inicialmente realizar uma revisão bibliográfica sobre as atuais leis brasileiras, doutrinas e jurisprudência com o intuito de verificar se existe alguma medida que autorize a administração pública se utilizar no certame de medidas de afastamento para aqueles que possuem condenação penal definitiva, assim como sua eventual constitucionalidade.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seguida será realizada uma alusão histórica brasileira para verificar casos concretos nos quais houve esse tipo de situação. Após isso, tentará achar se existe uma atual posição jurídica, com citações de artigos da Constituição Federal e dos Códigos Penal e Processual Penal, e se necessário de algum outro código ou texto informativo sobre o tema. A metodologia a ser utilizada na pesquisa será a expositiva.</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ALUSÃO HISTÓRICA DA FIGURA DO CONDENADO</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Antes de adentrar ao tema proposto, torna-se necessário examinar as origens da figura do condenado para que se possa entender como essa realidade surgiu e como ela evoluiu ao longo do tempo. Todavia, apesar de propor uma análise histórica, a presente pesquisa não se trata de um texto revisionista, porquanto, torna-se impossível tratar determinados períodos históricos como blocos harmônicos. Por esta razão, o estudo em tela perpassa pelas descobertas históricas que fazem referência direta com o tema, prevenindo-se de recair naquilo que foi intitulado de “embriaguez pelo mito da origem” (CARVALHO, 2011, p. 27).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Nesse sentido, de forma etimológica, a pena pode ser conceituada como “sanção imposta pelo Estado ao criminoso, por meio da ação penal, com dupla finalidade: de retribuição ao delito praticado e de prevenção a novos crimes” (NUCCI, 2016), porém sua compreensão vai além de tal perspectiva.</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Todas as sociedades estabelecem padrões de condutas aceitáveis ou reprováveis, logo, o delito amolda-se aos meios repudiáveis pela consciência coletiva (DURKHEIM, 1978). Mais ainda, o crime, para o referido autor, é considerado um fato social normal, em razão de ser encontrado em todas as sociedades (generalidade), fora da consciência individual (exterioridade) e previsto pelo ordenamento jurídico (coercitividade) (DURKHEIM, 2012). Em outras palavras: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é normal que haja crimes em todas as sociedades, também é normal que eles sejam punidos. A instituição de um sistema repressivo não é um fato menos universal que a existência da criminalidade, nem menos indispensável à saúde coletiva. Para que não houvesse crimes, seria necessário um nivelamento das consciências individuais que, por razões que se encontrarão mais à frente, não é nem possível nem desejável; mas para que não houvesse repressão, seria necessária uma ausência de homogeneidade moral, que é inconciliável com a existência de uma sociedade.[...] Se a dor é um fato normal, é na condição de não ser detestado; se o crime é normal, é na condição de ser detestado. (DURKHEIM, 2012, p.12)</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Igualmente, o que se percebe é que desde suas origens históricas, a pena foi uma reação social contra o membro da comunidade que transgrediu as regras de convivência e com isso colocou em perigo os interesses da comunidade (LISZT, 2011).</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Portanto, de uma maneira geral, a ideia de pena estaria intimamente ligada à ideia de repreensão de determinada atitude de alguém, através de um castigo imposto, com o objetivo de que a sociedade não viole a norma do direito penal, bem como, para que o agente não torne a transgredi-la.</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Nessa mesma linha de pensamento, o Aristóteles (1992) traz em sua obra a crença de que a punição seria o meio adequado para atingir os objetivos morais almejados pela convivência social, pois acreditava no poder das sanções intimidatórias. O filósofo acredita que os infratores devem ser punidos, pois, a maioria das pessoas evita a má conduta por temer a punição. O autor igualmente entende que a punição restabelece a igualdade entre os indivíduos violados pela conduta criminosa, inclusive: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justo é a proporção e o injusto é o que viola a proporcionalidade. Assim, se uma pessoa infligiu as normas penais e a outra sofreu um dano, há uma injustiça pela desigualdade na proporção. Então, por meio da penalidade, o juiz tenta igualizar as coisas, subtraindo do ofensor o excesso do ganho (o termo ‘ganho’ se aplica geralmente a tais casos, ainda que ele não seja termo apropriado em certo casos – por exemplo, no caso da pessoa que fere -, e ‘perda’ se aplica à vítima; de qualquer forma, uma vez estimado o dano, um resultado é chamado ‘perda’ e o outro é chamado ‘ganho’). (ARISTÓTELES, 1992, p. 95)</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Nessa mesma linha, Beccaria ilustra a origem das penas do seguinte modo: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Cansados de só viver no meio de temores e de encontrar inimigos por toda parte, fatigados de uma liberdade que a incerteza de conservá-la tornava inútil, sacrificaram uma parte dela para gozar do resto com mais segurança. A soma de todas essas porções de liberdade, sacrificadas assim ao bem geral, formou a soberania da nação; e aquele que foi encarregado pelas leis do depósito das liberdades e dos cuidados da administração foi proclamado o soberano do povo. Não bastava, porém, ter formado esse depósito; era preciso protegê-lo contra as usurpações de cada particular, pois tal é a tendência do homem para o despotismo, que ele procura sem cessar, não só retirar da massa comum sua porção de liberdade, mas ainda usurpar a dos outros. Eram necessários meios sensíveis e bastante poderosos para comprimir esse espírito despótico, que logo tornou a mergulhar a sociedade no seu antigo caos. Esses meios foram as penas estabelecidas contra os infratores das leis.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(BECCARIA,1764, p. 60-62).</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Assim sendo, o que se infere é que a punição é a única forma de o Estado punir um infrator/violador por um ato cometido para impedi-lo de cometer novos crimes ou atos ilícitos, ou seja, o Estado entende que, ao puni-lo, impedirá o comportamento ilegal. Não é demais ressaltar que essa penalidade deverá ser feita através de previsão legal específica e consistente na perda ou restrição de bens jurídicos do responsável pela infração, vez que, na hipótese de o agente praticar um fato previamente definido pela lei como infração penal, seja através do Código Penal, seja através da legislação penal extravagante, com a previsão da imposição de penas (privativa de liberdade e/ou multa), nasce para o Estado a possibilidade de exercer o seu direito privativo de punir, o jus puniendi.</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Portanto, conforme estabelece o Código Penal em seu artigo 32, as penas podem ser privativas de liberdade, restritivas de direito e de multa. Nos casos em que cabe a privativa são as de detenção e reclusão e as restritivas de direito consistem em prestação pecuniária, perda de bens e valores, prestação de serviços à comunidade, interdição temporária de direitos e limitação de fim de semana.</w:t>
        <w:tab/>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Função da pena</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Após entender a origem da pena, deve-se agora entender o motivo pelo qual tal instituto foi criado. Nesse sentido, acredita-se ter 3 (três) teorias a respeito da função da pena: a teoria retributiva; teoria preventiva; e a teoria mista.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que se refere a teoria retributiva, observa-se que seria simplesmente a devolução do “mal” produzido pela conduta do agente, com uma sanção, em outras palavras, seria uma represália da sociedade contra aquele que infringiu uma norma imposta pela coletividade. Nessa esteira, se faz novamente necessário fazer uma busca ao passado, uma vez que se percebe que a princípio tal a punição surgia numa tentativa desesperada de chegar à justiça, através de um forte sentimento de vingança das pessoas que eram lesadas pelos atos contrários, como forma de exemplificar, pode-se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citar a conhecida expressão retirada da lei de talião: “olho por olho, dente por dente”, escrita há cerca de 3.000 anos pelo rei Hamurabi. </w:t>
      </w:r>
      <w:r w:rsidDel="00000000" w:rsidR="00000000" w:rsidRPr="00000000">
        <w:rPr>
          <w:rFonts w:ascii="Arial" w:cs="Arial" w:eastAsia="Arial" w:hAnsi="Arial"/>
          <w:sz w:val="24"/>
          <w:szCs w:val="24"/>
          <w:rtl w:val="0"/>
        </w:rPr>
        <w:t xml:space="preserve">(BUENO, 2006).</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outro lado, ao tratar da teoria preventiva, nota-se que com o avanço da sociedade, passou-se a se questionar a pena como forma simplesmente retaliativa e a se buscar uma maneira de se aproveitar a punição como forma de diminuir efetivamente a criminalidade. Dessa maneira, dá para conceituar o fundamento desta teoria através do ensinamento de Inácio de Carvalho Neto, no qual: “o principal escopo e efeito da pena é a inibição que esta causa sobre a generalidade dos cidadãos, intimidando-os” (NETO, 2003, P-21). Essa teoria se divide em prevenção geral e específica, sendo a geral uma forma de garantir o poder do Estado, que permitiria que os cidadãos respeitem a lei e o Estado usar a punição como um desincentivo ao comportamento criminoso. Noutro norte, a específica tem como objetivo evitar que o egresso volte a cometer novos crimes através de uma sanção, com a finalidade consequente de possibilitar o regresso deste ao convívio social.</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tem-se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teoria mista, que seria a unificação das duas correntes em uma só, ou seja, seria então uma forma de retribuir o mal perpetrado pela conduta do agente, mas de uma maneira motivada não apenas pela desforra, mas de se evitar que novos crimes sejam praticados. Tal teoria é a utilizada no Brasil, conforme se pode inferir do texto contido no artigo 59, caput, do Código Penal, segundo o qual o magistrado, ao decidir pela pena a ser aplicada ao caso concreto, deve ter por base dois objetivos: a reprovação e a prevenção do crime.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essa razão, nota-se que há uma necessidade firmada em não apenas punir, mas também de cumprir uma função social de recuperação de cidadãos, tal entendimento fica claro ao fazer uma rápida leitura do artigo 5º, inciso XLVII, da Constituição Federal, a qual prevê que não haverá penas: "a) de morte, salvo em caso de guerra declarada, nos termos do art. 84, XIX; b) de caráter perpétuo; c) de trabalhos forçados; d) de banimento; e) cruéis.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âmbito, se pode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inferir que a função social da pena seria justamente buscar integrar aquele afastado do convívio normal por ter praticado uma ação reprovável pela sociedade, a qual observa-se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diversos dispositivos que comungam nessa linha de pensamento, como o instituto da reabilitação, previsto no art. 93 do Código Penal,  no qual garante mediante o preenchimento de alguns requisitos (entre eles o cumprimento da pena), a volta ao estado anterior à condenação.</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a prisão assume uma tripla função “punir, defender a sociedade isolando o malfeitor para evitar o contágio do mal e inspirando o temor ao seu destino, corrigir o culpado para reintegrá-lo à sociedade no nível social que lhe é próprio” (PERROT, 1988, p. 237).</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Ademais, “A função da pena não é a vingança contra o ser humano. Pelo contrário, trata-se de uma tentativa de ressocializá-lo” (CÔELHO, 2014). Assim, deve-se sempre pensar na pena como instrumento do Estado para trazer de volta ao convívio social, aquele que havia sido afastado por transgredir uma norma convencionada pela coletividade.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O instituto da reabilitação</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Após entender a função social da pena, que seria não apenas punir, mas procurar caminhos de reinserir o indivíduo afastado do convívio social por infringir uma norma convencionada pela sociedade. Nesse sentido, como no Brasil o maior objetivo da pena é ressocializar o infrator, o legislador cria no art. 93 do Código Penal um instituto capaz de ocultar a existência daquele processo criminal cuja sanção imposta já tenha sido cumprida, apenas a titulo de informação, o referido artigo diz em seu dispositivo que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reabilitação alcança quaisquer penas aplicadas em sentença definitiva, assegurando ao condenado o sigilo dos registros sobre o seu processo e condenação.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regra, a reabilitação criminal seria voltar ao status antes da condenação e deveria ocorrer automaticamente após o término ou o cumprimento da pena. No entanto, na prática é um pouco diferente, pois o que se percebe é que o referido instituto é desconhecido por boa parte da população, ocasionando um cerceamento de seu direito, com reflexo direto para a vida de tais pessoas pelo constrangimento e preconceito perante a sociedade. Por exemplo, muitas empresas, assim como concursos públicos, realizam as chamadas verificações de antecedentes criminais. Então, sejam eles absolvidos ou condenados, eles carregam esse estigma que os priva de muitas possibilidades.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Art. 94 do Código Penal traz o momento em que a reabilitação pode ser requerida, dois anos, observando, inclusive, o termo inicial da contagem do prazo, que se dá a partir da extinção da pena ou no término da execução. Nos incisos I, II e III tem-se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condições para tal. Entretanto, determinadas exigências legais não podem ser cumpridas devido à falta de infraestrutura e comunicação entre os órgãos públicos. Assim sendo, qualquer pessoa interessada em se tornar uma pessoa reabilitada deve entrar em contato com um advogado para fazer tal solicitação formalmente. Isso é feito por meio de processos judiciais. Os pedidos de reabilitação serão apreciados pelo juiz responsável pelo processo e condenação.</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94 - A reabilitação poderá ser requerida, decorridos 2 (dois) anos do dia em que for extinta, de qualquer modo, a pena ou terminar sua execução, computando-se o período de prova da suspensão e o do livramento condicional, se não sobrevier revogação, desde que o condenado: (Redação dada pela Lei nº 7.209, de 11.7.1984).</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tenha tido domicílio no País no prazo acima referido; (Redação dada pela Lei nº 7.209, de 11.7.1984);</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tenha dado, durante esse tempo, demonstração efetiva e constante de bom comportamento público e privado; (Redação dada pela Lei nº 7.209, de 11.7.1984);</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tenha ressarcido o dano causado pelo crime ou demonstre a absoluta impossibilidade de o fazer, até o dia do pedido, ou exiba documento que comprove a renúncia da vítima ou novação da dívida. (Redação dada pela Lei nº 7.209, de 11.7.1984);</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único - Negada a reabilitação, poderá ser requerida, a qualquer tempo, desde que o pedido seja instruído com novos elementos comprobatórios dos requisitos necessários.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outro lado, no artigo 202 da LEP, permite-se a reabilitação de forma instantânea, ou seja, pode-se adquirir sigilo das informações para fins civis, assim que extinguir o cumprimento da sua pena.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Aplicando o </w:t>
      </w:r>
      <w:r w:rsidDel="00000000" w:rsidR="00000000" w:rsidRPr="00000000">
        <w:rPr>
          <w:rFonts w:ascii="Arial" w:cs="Arial" w:eastAsia="Arial" w:hAnsi="Arial"/>
          <w:sz w:val="24"/>
          <w:szCs w:val="24"/>
          <w:rtl w:val="0"/>
        </w:rPr>
        <w:t xml:space="preserve">princípio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especialidade, tendo em vista se tratar de uma Lei Especial, o que se observa é que ela não só prevalece sobre o Código Penal, como também é uma lei mais benéfica ao acusado, dessa forma fazendo jus ao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“Novatio Legis in Mellius”,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tem seu respaldo pelo artigo 5º, XL da CF. Assim, a partir da edição da referida lei, existiria uma revogação tácita do artigo 94 do CP, de forma que não seria necessário preencher os requisitos da reabilitação do referido artigo. Entretanto, apesar disso, conforme será abordado ao longo do artigo, o instituto da reabilitação ainda é bastante desconhecido e pouco utilizado, de forma que funciona melhor na teoria do que na prática.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A FIGURA DO EGRESSO NO MUNDO DO TRABALHO</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Antes de adentrar</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assunto proposto, torna-se pertinente esclarecer que o presente estudo busca identificar e pontuar as consequências trazidas pela ineficiência do sistema de ressocialização adotado pelo Brasil com enfoque na área de concurso público, entretanto, não há como adentrar na temática sem antes fazer uma análise geral das condições enfrentadas na reinserção do apenado no mercado de trabalho após o processo penal.</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Nesse âmbito, a Constituição Federal no seu artigo 170 dispõe que "a ordem econômica, fundada na valorização do trabalho e na livre iniciativa, tem por fim assegurar a todos existência digna, conforme os ditames da justiça social". Desse modo, ao considerar o trabalho como forma de existência digna para uma pessoa, pode-se idealizar sua ideia como forma de inserção do apenado na sociedade, isolando-o do mundo do crime, ao dar a oportunidade de ter uma nova perspectiva de vida.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entanto, o que na prática ocorre é um círculo vicioso no qual pode-se enxergar uma escola de crime no atual sistema carcerário, e nada ressocializador, qual é sua função, pois o indivíduo que infringe a lei, ganha uma espécie de estigma perante a sociedade, na qual ele sofrerá preconceito, desconfiança e discriminação por boa parte da sociedade por erroneamente confundir que a prática do crime estaria ligada a personalidade da pessoa. Inclusive, o termo estigma é utilizado:</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 referência a um atributo preponderante depreciativo [...]. Um atributo que estigmatiza alguém pode confirmar a normalidade de outrem, portanto ele não é, em si mesmo, nem horroroso nem desonroso. [...] Um estigma é, então, na realidade, um tipo especial de relação entre atributo e estereótipo embora eu proponha a modificação desse conceito, em parte porque há importantes atributos que em quase toda a nossa sociedade levou ao descrédito. [...] Podem-se mencionar como estigma as culpas de caráter individual, percebidas como vontade fraca, paixões tirânicas ou não naturais, crenças falsas e rígidas desonestidade, sendo essas inferidas a partir de relatos conhecidos de, por exemplo, distúrbio mental [...]. (GOFFMAN, 1988, p. 13-14)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cenário, por várias vezes, se percebe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relatos de ex-presos que foram tentar uma vaga em uma empresa e que ao analisar o passado criminal do egresso não dão oportunidade para a reinserção do mesmo no mercado de trabalho, possivelmente por medo ou por implicitamente acreditar que tal pessoa carregará o fardo de ser criminosa pelo resto de sua vida, sem possibilidades de mudança, tal preconceito velado é bastante comum na sociedade brasileira, e apesar de muito se falar sobre o alto índice de reincidência, nenhuma política específica abre caminho para os libertados da prisão.</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condenado que cumpriu completamente a sua pena e está definitivamente liberado, ou seja, pagou integralmente a sua dívida para com a sociedade, não tem a recepção necessária para manter-se dentro do convívio com os demais. Mesmo possuindo qualificação profissional, o ex-detento sofre discriminação, o que dificulta o seu reingresso no mercado de trabalho, obrigando a partir para o mercado informal ou a voltar à criminalidade. O simples fato de conseguir um emprego torna-se uma missão quase impossível para quem carrega o estigma de criminoso. O auxílio ao egresso, previsto na Lei de Execução Penal é, portanto, algo somente teórico, que não condiz com a realidade dos fatos. (CELESTINO; LORENZONI, 2019).</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Apenas como forma de exemplificar, registre-se o caso do processo nº 1000444-60.2021.5.02.0014 que tramita na 86ª Vara do Trabalho de São Paulo, o qual o réu foi preso em regime fechado em janeiro de 2018, progredindo para o regime aberto em novembro de 2020. Entretanto, ao retornar ao trabalho, foi vítima de atitudes discriminatórias de seus superiores, culminando em sua dispensa em 15/12/2020, cerca de 15 dias após o seu regresso, unicamente pela desconfiança gerada pelo fato de que o acusado passou pelo regime prisional. Nesse cenário, a situação do caso narrado não constitui um caso único ou isolado, mas uma situação que ocorre corriqueiramente no Brasil. Para demonstrar melhor isso, pode-se citar a ementa do recurso ordinário trabalhista nº 00209838620165040013, que tramitou na 1ª Turma do Tribunal Regional do Trabalho da 4ª Região:</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negativa de contratação do reclamante, pelo fato de ele ter apresentado, em razão do seu encaminhamento para o preenchimento de uma vaga de pedreiro, certidão positiva de antecedentes criminais, sob a justificativa, não comprovada, de que era exigência das tomadoras dos serviços a contratação de empregados sem antecedentes criminais, caracteriza conduta discriminatória passível de gerar dano moral in re ipsa, passível de indenização, cujo valor arbitrado na origem não comporta redução. [...] (TRT-4 - ROT: 00209838620165040013, 1ª Turma, Data de Publicação: 14/02/2019).</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caso telado, trata-se de uma reclamação trabalhista na qual foi negada a contratação do reclamante, pelo simples e injustificado motivo de que ele possuía certidão positiva de antecedentes criminais, tal exclusão é claramente fundada em um viés exclusivamente discriminatório, motivo pelo qual é passível de gerar uma indenização por danos morais.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situação semelhante, no qual se é discutido nos autos uma situação na qual foi realizada uma reportagem sobre mulheres e o tráfico de drogas, com a publicação da imagem e do nome de forma indevida e sem a autorização dos participantes. Nesse norte, a discussão seria sobre qual princípio deve prevalecer, em uma disputa entre direito de informação jornalística em detrimento do direito à imagem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ao nome quando está causando prejuízos consideráveis a seu titular. Nesse julgamento, o relator </w:t>
      </w:r>
      <w:r w:rsidDel="00000000" w:rsidR="00000000" w:rsidRPr="00000000">
        <w:rPr>
          <w:rFonts w:ascii="Arial" w:cs="Arial" w:eastAsia="Arial" w:hAnsi="Arial"/>
          <w:sz w:val="24"/>
          <w:szCs w:val="24"/>
          <w:rtl w:val="0"/>
        </w:rPr>
        <w:t xml:space="preserve">reconheceu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dificuldade vivenciada pelos egressos em ser reinserido na sociedade, e especificamente no mercado de trabalho.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AGRAVO DE INSTRUMENTO - AÇÃO OBRIGAÇÃO DE FAZER C/C DANOS MORAIS – (...) - PRESENÇA DOS REQUISITOS AUTORIZADORES DA CONCESSÃO DA MEDIDA ANTECIPATÓRIA - REPORTAGEM SOBRE MULHERES E O TRÁFICO DE DROGAS - PUBLICAÇÃO DA IMAGEM E DO NOME SEM AUTORIZAÇÃO – (...) - DECISÃO REFORMADA. 1. (...). É notório o preconceito existente em nosso país em relação a ex-presidiários, sendo poucos os que oferecem oportunidade de reinserção no mercado de trabalho e na sociedade de modo geral. 4. (...) RECURSO CONHECIDO E PROVIDO. (TJ-PR - AI: 6321162 PR 0632116-2, Relator: Rosana Amara Girardi Fachin, Data de Julgamento: 17/06/2010, 9ª Câmara Cível, Data de Publicação: DJ: 419).</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Portanto, esta é a realidade do que corriqueiramente acontece com os egressos do sistema penitenciário brasileiros: sofrer uma discriminação sem data de validade em qualquer âmbito, inclusive naquele capaz de possibilitar seu ingresso ao convívio social. Logo, cabe ao Estado não apenas cumprir as funções de repressão e desestímulo ao delito, mas também de ressocialização do infrator, sendo intolerável que se promova a perseguição social permanente daqueles que, em consonância com o devido processo legal, cumpriram suas penas e acertaram suas contas com a sociedade.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discussão do assunto se torna importante tendo em vista que este tema, apesar de sua relevância, é pouco abordado nas discussões jurídicas que tratam de direitos fundamentais do egresso, em processo de efetiva reeducação laboral, após terem agido em desconformidade com a lei. Deve-se buscar um limite de validade para essa pena, vez que o que se percebe na prática é que as pessoas fingem não estar vendo essas injustiças pelo raso e errôneo senso comum de que quem pratica um crime deve estar encarcerado para o resto da vida, e isso acaba por se estender em outras situações, como o caso em que o Conselho Federal da OAB aprovou, em 18/03/2019, a edição de uma súmula para impedir a inscrição de bacharéis em Direito nos quadros da OAB por perda da idoneidade, nos casos de agressões e violência contra a mulher, criando uma hipótese de punição perpétua ao indivíduo.</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mesmo contexto temos o caso originado entre o Conselho Federal de Corretores de Imóveis e um corretor, </w:t>
      </w:r>
      <w:r w:rsidDel="00000000" w:rsidR="00000000" w:rsidRPr="00000000">
        <w:rPr>
          <w:rFonts w:ascii="Arial" w:cs="Arial" w:eastAsia="Arial" w:hAnsi="Arial"/>
          <w:sz w:val="24"/>
          <w:szCs w:val="24"/>
          <w:rtl w:val="0"/>
        </w:rPr>
        <w:t xml:space="preserve">pois possibilita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trazer a temática para dentro dos conselhos profissionais. Logo,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DIREITO PROCESSUAL CIVIL E ADMINISTRATIVO. MANDADO DE SEGURANÇA. CONSELHO PROFISSIONAL. INSCRIÇÃO. APRESENTAÇÃO DE CERTIDÃO DE REABILITAÇÃO CRIMINAL. EXIGÊNCIA SEM AMPARO LEGAL. 1. (...) 2. No mérito, discute-se a exigência de certidão de reabilitação criminal para inscrição profissional do corretor de imóveis. 3. (...) 4. Na espécie, o pedido de inscrição do apelante perante o respectivo conselho profissional foi sobrestado até a juntada de certidão de reabilitação criminal, com fundamento no artigo 17, V, da Lei 6.530/1978, "bem como considerada a conduta criminosa aparentemente reiterada e a pena pendente de cumprimento". 5. Contudo, não pode o conselho profissional impor restrição ao livre exercício profissional, assegurado pela Constituição Federal, com base em regramento infralegal (Resolução COFECI 327/1992), extrapolando limites fixados em lei para obstar a inscrição profissional e o exercício da atividade de corretor de imóveis. (...) (TRF-3 - ApCiv: 50045601020204036100 SP, Relator: Desembargador Federal LUIS CARLOS HIROKI MUTA, Data de Julgamento: 03/02/2021, 3ª Turma, Data de Publicação: Intimação via sistema DATA: 11/02/2021).</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isso, finalizada a discussão sobre vedações ilícitas postas no âmbito das empresas privadas ou as discussões trazidas dentro dos conselhos federais, passamos ao tema-objeto do presente estudo.</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A FIGURA DO EGRESSO APROVADO EM CONCURSO PÚBLICO: ASPECTOS JURISPRUDENCIAIS E LEGAIS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uma maneira geral, com o mercado de trabalho cada vez mais competitivo, aumenta-se ainda mais a procura por estabilidade e dessa maneira o concurso público surge como uma opção segura para aqueles que desejam segurança em uma relação de trabalho. Logo, o processo até a aprovação em um certame está cada vez mais concorrido e não é algo absurdo buscar meios de organização com equidade e de forma seletiva.</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pode-se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perceber no tópico anterior, são enormes as dificuldades vivenciadas pelos egressos no meio trabalhista e isso é ainda mais perceptível quando se trata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certame público, uma vez que a Administração Pública se vale de alternativas discriminatórias e injustas nessa seleção. Inclusive, tais discriminações são fenômenos recorrentes nos certames, não é necessário pesquisar muito para saber que até mesmo uma tatuagem corporal já foi motivo de exclusão em exames, e verifica-se um preconceito ainda mais forte quando se trata de pessoas que já foram criminalmente investigadas. Isso ocorre principalmente pelo motivo de que a maioria dos concursos exige idoneidade moral ou reputação ilibada nas fases eliminatórias, que geralmente é aferida na fase de investigação social, que é uma etapa de um concurso público em que são realizados procedimentos para verificar a compatibilidade entre o comportamento social de um candidato e os valores da entidade governamental concorrente.</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Teoricamente responder por ação penal ou ter algum tipo de antecedente criminal não são um fato impeditivo para assumir um cargo público, todavia, o candidato não pode ter sido condenado definitivamente ou que caso transitado em julgado, que esteja o indivíduo reabilitado, inclusive com os seus direitos políticos restabelecidos, a referida situação foi apreciado pelo STF, no RE 560.900:</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RECURSO EXTRAORDINÁRIO COM REPERCUSSÃO GERAL. IDONEIDADE MORAL DE CANDIDATOS EM CONCURSOS PÚBLICOS. INQUÉRITOS POLICIAIS OU PROCESSOS PENAIS EM CURSO. PRESUNÇÃO DE INOCÊNCIA. PRINCÍPIO DA MORALIDADE ADMINISTRATIVA. 1. Como regra geral, a simples existência de inquéritos ou processos penais em curso não autoriza a eliminação de candidatos em concursos públicos, o que pressupõe: (i) condenação por órgão colegiado ou definitiva; e (ii) relação de incompatibilidade entre a natureza do crime em questão e as atribuições do cargo concretamente pretendido, a ser demonstrada de forma motivada por decisão da autoridade competente. 2. A lei pode instituir requisitos mais rigorosos para determinados cargos, em razão da relevância das atribuições envolvidas, como é o caso, por exemplo, das carreiras da magistratura, das funções essenciais à justiça e da segurança pública ( CRFB/1988, art. 144), sendo vedada, em qualquer caso, a valoração negativa de simples processo em andamento, salvo situações excepcionalíssimas e de indiscutível gravidade. 3. [...]. (STF - RE: 560900 DF, Relator: ROBERTO BARROSO, Data de Julgamento: 06/02/2020, Tribunal Pleno, Data de Publicação: 17/08/2020).</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Nesse norte, a Constituição Federal art. 5º, XLVII, b, afirma que não se pode haver nenhuma pena com caráter perpétuo, assim, em outras palavras, nenhum indivíduo deve sofrer as consequências de sua condenação por toda a vida. Logo, numa interpretação extensiva, se entende que tal direito de ser aprovado em concurso público vale também para quem está coberto pela reabilitação criminal, portanto, quem é reabilitado tem sim a oportunidade de ser aceito em certames, até mesmo para as carreiras como agentes penitenciário, delegados, dentre outras. Como forma de exemplificar isso colaciono o julgado abaixo:</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APELAÇÃO CÍVEL. CONCURSO PÚBLICO. AGENTE PENITENCIÁRIO. ETAPA DE INVESTIGAÇÃO SOCIAL E FUNCIONAL DO CANDIDATO. ELIMINAÇÃO DO PROCESSO SELETIVO. REABILITAÇÃO CRIMINAL. DANOS EXTRAPATRIMONIAIS. INOCORRÊNCIA. 1. (...). 5. Considerada a reabilitação criminal do autor, é crível admitir que é desprovido de razoabilidade o ato administrativo que excluiu o candidato do concurso público. Razoabilidade compreendida, a partir de uma dimensão de intersubjetividade, como a necessidade de os atos da Administração Pública serem praticados conforme os critérios determinantes das regras de competência, a fim de manter coerência lógica com a previsão abstrata e as circunstâncias concretas da ação administrativa. 6. O próprio edital do certame considera não indicado (item 6.5.11) o candidato que estiver, entre outras hipóteses, a)...sendo processado criminalmente, ou condenado, por fato que o incompatibilize para o exercício do cargo;, situação essa diversa da examinada nestes autos e motivou o ato administrativo que o considerou não indicado para prosseguir no certame, tendo em vista a reabilitação criminal. 7. A reabilitação criminal assegura o sigilo dos registros criminais do reabilitado, não podendo mais ser objeto de folhas de antecedentes ou certidões criminais, bem como suspende os efeitos da condenação, razão pela qual dou provimento ao apelo neste ponto. Precedentes do TJ/RS. 8. Não é razoável o Estado, por um lado, conceder a reabilitação para o cidadão, medida voltada para apresentá-lo à sociedade como se fosse primário, ou seja, desaparecendo os vestígios materiais da condenação,... estimulando-se assim à completa regeneração e, por outro, impedir a participação em concurso público para provimento de cargos públicos. Nos termos mencionados, não se poderia excluir do concurso público, na fase de investigação social, um cidadão considerado pelo próprio Estado como reabilitado, (...) ( Apelação Cível Nº 70078137619, Terceira Câmara Cível, Tribunal de Justiça do RS, Relator: Leonel Pires Ohlweiler, Julgado em 25/04/2019). (TJ-RS - AC: 70078137619 RS, Relator: Leonel Pires Ohlweiler, Data de Julgamento: 25/04/2019, Terceira Câmara Cível, Data de Publicação: Diário da Justiça do dia 02/05/2019).</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outro lado, na prática isso não é plenamente seguido, vez que existem decisões da própria suprema corte que são favoráveis ao impedimento com base na valoração da conduta moral do candidato e na incompatibilidade entre o cargo e o crime cometido, como é o caso do RE 1.308.883 julgado pelo STF em 19/04/2021, o qual diz ser constitucional lei municipal que impede a nomeação de condenados por violência doméstica e familiar contra a mulher.</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Dessa maneira, de forma contrária ao que diz a lei, na prática o que se percebe é uma vontade de impor obstáculos a pessoas que possuem algum tipo de antecedentes criminais, inclusive, até mesmo para pessoas que já possuem a reabilitação nos termos da lei, por conseguinte, o que na verdade se verifica é que a função social da pena não é cumprida e não se busca o resgate do indivíduo para a sociedade, mas tão somente enviá-lo para um cárcere que passa das barreiras dos presídios e vai além do tempo que durar sua pena. É a partir desse pensamento que surgem propostas inusitadas como o Projeto de Lei 5214/20, que visa proibir condenados por violência contra mulheres de assumir cargos públicos.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Como já dito anteriormente, o desconhecimento a respeito do instituto da reabilitação é enorme, dessa maneira, muitas pessoas acabam sendo prejudicadas por imaginar que não possuem aptidão para prestar um concurso público por ter em seu passado alguma condenação criminal, mesmo que ela já tenha sido regularmente cumprida, e isso acaba impedindo muitos cidadãos de até mesmo tentar fazer a prova. Neste prisma, pode-se exemplificar através do caso abaixo, no qual o candidato possuía condenação criminal por decisão transitada em julgado há mais de treze anos e que ainda assim não foram omitidos pelo autor na ficha de investigação social.</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APELAÇÃO – Ação declaratória – Nulidade de ato administrativo – Concurso público – Agente de segurança penitenciário – Reprovação na etapa de investigação social – Pretensão de prosseguir no certame – Improcedência no pedido – Pedido de reforma – Possibilidade – Inquérito policial arquivado e decisão penal absolutória que não podem ser considerados maus antecedentes criminais – Condenação criminal em que já houve o cumprimento da pena, com a extinção da punibilidade, bem como a reabilitação criminal, por decisão transitada em julgado – Fatos ocorridos há mais de treze anos e que não foram omitidos pelo autor na ficha de investigação social – Circunstâncias inaptas a determinar a exclusão do candidato do concurso público – Afronta aos princípios da razoabilidade e proporcionalidade – Precedentes deste Eg. Tribunal – Provimento do recurso. (TJ-SP - APL: 10016995120188260269 SP 1001699-51.2018.8.26.0269, Relator: Maria Olívia Alves, Data de Julgamento: 18/02/2019, 6ª Câmara de Direito Público, Data de Publicação: 20/02/2019).</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Dessa forma, logo de cara já se percebe uma exclusão tácita, uma vez que não existe uma divulgação a respeito da reabilitação como forma de voltar ao status antes da condenação, entretanto, a discriminação com os ex-presidiários não para por ai, uma vez que são adotados outros mecanismos para servir de barreira para que tais candidatos sejam excluídos do certame, conforme pode-se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perceber no caso abaixo:</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Apelação cível. Mandado de Segurança. Concurso Público. Polícia Civil. Eliminação do candidato na fase de investigação social. Carreira que exige conduta ilibada e cumprimento dos deveres de probidade e comprometimento com o serviço público. Necessidade de rígidos critérios na seleção de candidatos. Edital que exige do candidato vida pregressa irretocável para o exercício das funções de inspetor policial. Candidato que tem duas condenações criminais por delitos graves na Justiça Militar, enquanto ocupava o cargo de 3º Sargento do Exército. Condutas que pesaram na contraindicação do candidato. Atos incompatíveis com o cargo a ser exercido. Situações que deveriam ter sido noticiadas pelo candidato para posterior análise pela comissão de concurso,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mesmo já tendo ocorrido a reabilitação.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Boa-fé que se espera daquele que aspira trabalhar na polícia judiciária. Exclusão que se revela legítima na hipótese e de acordo com o edital do certame. Precedentes do STJ e desta Corte. Ausência de direito líquido e certo. Denegação da segurança. Manutenção da sentença. Recurso desprovido. (TJ-RJ - APL: 00299047220148190001, Relator: Des(a). CRISTINA TEREZA GAULIA, Data de Julgamento: 28/11/2017, QUINTA C MARA CÍVEL) (grifos nossos).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No caso telado, o candidato possui duas condenações criminais, e mesmo já ocorrendo a reabilitação acerca dos dois delitos, ainda assim foi excluído do certame pelo simples fato de que não comunicou à comissão do concurso, possuir a dupla penalidade. Ora, se o instituto da reabilitação busca remover a condenação dos antecedentes criminais, bem como “apagar” os seus efeitos, não há sentido a desclassificação de um candidato por não comunicar possuir a condenação, uma vez que “apagar” esse passado é uma garantia que lhe foi conferida pelo instituto da reabilitação.</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Destarte, os direitos sociais buscam proteger a dignidade humana, tentando proporcionar uma melhor qualidade de vida, ou seja, mais digna, sobretudo no tocante a equidade, vez que a própria constituição traz em seu dispositivo que “todos são iguais perante a lei, sem distinção de qualquer natureza” (Art.5°, caput, CF). No mesmo pensamento, o artigo 3°, IV, da Constituição Federal diz que “Constituem objetivos fundamentais da República Federativa do Brasil promover o bem de todos, sem preconceitos de origem, raça, sexo, cor, idade e quaisquer outras formas de discriminação”.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a partir do aludido posicionamento, denota-se que a fragilidade da aplicação correta das leis sobre o tema é indiscutível, outro fator preocupante é o enorme desconhecimento por parte da população acerca da temática. Deve-se ser imposto um limite para que atitudes discriminatórias por parte da administração pública sejam erradicadas, uma vez que tal ato inconstitucional é grave e causa grande prejuízo ao réu, que cumpriu a pena que lhe foi imposta, a qual consequentemente acabou por atingir seu objetivo, e, portanto, devendo ser impedido que ele sofra os efeitos do ato por mais de uma vez, evitando um bis in idem.</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CONCLUSÃO</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 o exposto, o que se pode aferir é que apesar do Brasil possuir dispositivos legais que garantam ao egresso o direito de voltar a conviver em sociedade após o cumprimento integral da pena que lhe foi imposta, inclusive utilizando o mercado de trabalho como fator determinante para que tal ressocialização ocorra, o que na verdade se percebe é que na prática a realidade é bem diferente, uma vez que se tem o preconceito e a discriminação como o maior empecilho para o reingresso dessas pessoas no convívio social.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Dessa maneira, deve-se procurar meios de garantir a plenitude da justiça, de forma a buscar a equidade como fator basilar do nosso convívio social e ordenamento jurídico, assim como oferecer plenitude a constituição federal, que conforme visto anteriormente, coíbe expressamente as penas de caráter </w:t>
      </w:r>
      <w:r w:rsidDel="00000000" w:rsidR="00000000" w:rsidRPr="00000000">
        <w:rPr>
          <w:rFonts w:ascii="Arial" w:cs="Arial" w:eastAsia="Arial" w:hAnsi="Arial"/>
          <w:sz w:val="24"/>
          <w:szCs w:val="24"/>
          <w:rtl w:val="0"/>
        </w:rPr>
        <w:t xml:space="preserve">perpétuo.</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ao adentrar no âmbito dos concursos públicos, </w:t>
      </w:r>
      <w:r w:rsidDel="00000000" w:rsidR="00000000" w:rsidRPr="00000000">
        <w:rPr>
          <w:rFonts w:ascii="Arial" w:cs="Arial" w:eastAsia="Arial" w:hAnsi="Arial"/>
          <w:sz w:val="24"/>
          <w:szCs w:val="24"/>
          <w:rtl w:val="0"/>
        </w:rPr>
        <w:t xml:space="preserve">nota 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existe uma proibição tácita desses indivíduos, mesmo quando eles estão completamente amparados pelo instituto da reabilitação. Tal fator ocorre principalmente pelo grande desconhecimento das próprias leis por parte do cidadão, pela ausência de interesse por parte do estado de possibilitar o reingresso do apenado </w:t>
      </w:r>
      <w:r w:rsidDel="00000000" w:rsidR="00000000" w:rsidRPr="00000000">
        <w:rPr>
          <w:rFonts w:ascii="Arial" w:cs="Arial" w:eastAsia="Arial" w:hAnsi="Arial"/>
          <w:sz w:val="24"/>
          <w:szCs w:val="24"/>
          <w:rtl w:val="0"/>
        </w:rPr>
        <w:t xml:space="preserve">à sociedade,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dentre outros.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deve o estado procurar mecanismos </w:t>
      </w:r>
      <w:r w:rsidDel="00000000" w:rsidR="00000000" w:rsidRPr="00000000">
        <w:rPr>
          <w:rFonts w:ascii="Arial" w:cs="Arial" w:eastAsia="Arial" w:hAnsi="Arial"/>
          <w:sz w:val="24"/>
          <w:szCs w:val="24"/>
          <w:rtl w:val="0"/>
        </w:rPr>
        <w:t xml:space="preserve">para levar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 povo a informação acerca dos direitos que possui a população, bem como buscar mecanismos </w:t>
      </w:r>
      <w:r w:rsidDel="00000000" w:rsidR="00000000" w:rsidRPr="00000000">
        <w:rPr>
          <w:rFonts w:ascii="Arial" w:cs="Arial" w:eastAsia="Arial" w:hAnsi="Arial"/>
          <w:sz w:val="24"/>
          <w:szCs w:val="24"/>
          <w:rtl w:val="0"/>
        </w:rPr>
        <w:t xml:space="preserve">para garantir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acesso amplo e justo aos cargos públicos, inclusive para aqueles que viveram </w:t>
      </w:r>
      <w:r w:rsidDel="00000000" w:rsidR="00000000" w:rsidRPr="00000000">
        <w:rPr>
          <w:rFonts w:ascii="Arial" w:cs="Arial" w:eastAsia="Arial" w:hAnsi="Arial"/>
          <w:sz w:val="24"/>
          <w:szCs w:val="24"/>
          <w:rtl w:val="0"/>
        </w:rPr>
        <w:t xml:space="preserve">à margem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lei, utilizando do mundo do trabalho como principal fator ressocializador.   </w:t>
        <w:tab/>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ARISTÓTELES.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Ética a Nicômaco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Livro X. 3ª. Ed. Trad. Mário da Gama Kury. Brasília: Universidade de Brasília, 1992.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BECCARIA, Cesare.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Delitos e das Penas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São Paulo: EDIPRO, 1. Ed.,2013. p.26-27.</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Código penal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Disponível em: http://www.planalto.gov.br/ccivil_03/decretolei/Del2848compilado.htm. Acesso em 20 de Outubro de 2022.</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Constituição da República Federativa do Brasil de 1988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Disponível em: http://www.planalto.gov.br/ccivil_03/Constituicao/Constituicao.htm. Acesso em 20 de Outubro de 2022.</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w:t>
      </w:r>
      <w:r w:rsidDel="00000000" w:rsidR="00000000" w:rsidRPr="00000000">
        <w:rPr>
          <w:rFonts w:ascii="Arial" w:cs="Arial" w:eastAsia="Arial" w:hAnsi="Arial"/>
          <w:sz w:val="24"/>
          <w:szCs w:val="24"/>
          <w:rtl w:val="0"/>
        </w:rPr>
        <w:t xml:space="preserve">Lei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nº 7.210, DE 11 DE JULHO DE 1984.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de execução penal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Disponível em: http://www.planalto.gov.br/ccivil_03/LEIS/L7210.htm. Acesso em 20 de Outubro de 2022.</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Processual Penal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Disponível em: http://http://www.planalto.gov.br/ccivil_03/decreto-lei/del3689.htm. Acesso em 20 de Outubro de 2022.</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Tribunal Regional do Trabalho (86° vara do trabalho de São Paulo). Processo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1000444-60.2021.5.02.0014 Juiz: Rebeca Sabioni Stopatto. São Paulo, 17 de junho de 2010.</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Tribunal Regional do Trabalho (4° Região). 1° turma, Recurso Ordinário Trabalhista.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ROT 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0020983-86.2016.5.04.0013 Relator: Rosane Serafini Casa Nova. Porto Alegre, 17 de junho de 2010.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Tribunal de Justiça do Paraná (4° Região). 9° Câmara Cível. Agravo de instrumento 6321162 PR 0632116-2, Relator: Rosana Amara Girardi Fachin. Paraná, 14 de fevereiro de 2019.</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Tribunal Regional Federal (3° Região). Apelação Cível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50045601020204036100, Relator: Desembargador Federal Luis Carlos Hiroki Muta. São Paulo, 11 de fevereiro de 2021.</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Supremo Tribunal Federal. Recurso Extraordinário 560900, Relator: Roberto Barroso. Distrito Federal, 17 de agosto de 2020.</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Tribunal de Justiça do Rio Grande do Sul. Apelação Cível Nº 70078137619, Relator: Leonel Pires Ohlweiler. Rio Grande do Sul, 25 de abril de 2019.</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Supremo Tribunal Federal. Recurso Extraordinário 1308883, Relator: Edson Fachin. São Paulo, 07 de abril de 2021.</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Tribunal de Justiça de São Paulo. APL: 10016995120188260269, Relator: Maria Olívia Alves. São Paulo, 18 de fevereiro de 2019.</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Tribunal de Justiça do Rio de Janeiro. APL: 00299047220148190001, Relator: Cristina Tereza Gaulia. Rio de Janeiro, 28 de novembro de 2017.</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BUENO, Manoel Carlos. </w:t>
      </w:r>
      <w:r w:rsidDel="00000000" w:rsidR="00000000" w:rsidRPr="00000000">
        <w:rPr>
          <w:rFonts w:ascii="Arial" w:cs="Arial" w:eastAsia="Arial" w:hAnsi="Arial"/>
          <w:b w:val="1"/>
          <w:sz w:val="24"/>
          <w:szCs w:val="24"/>
          <w:rtl w:val="0"/>
        </w:rPr>
        <w:t xml:space="preserve">Código de Hamurabi, Manual dos Inquisidores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Lei das XII Tábuas, Lei de Talião</w:t>
      </w:r>
      <w:r w:rsidDel="00000000" w:rsidR="00000000" w:rsidRPr="00000000">
        <w:rPr>
          <w:rFonts w:ascii="Arial" w:cs="Arial" w:eastAsia="Arial" w:hAnsi="Arial"/>
          <w:sz w:val="24"/>
          <w:szCs w:val="24"/>
          <w:rtl w:val="0"/>
        </w:rPr>
        <w:t xml:space="preserve">. 2006.</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CARVALHO, Salo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Como não se faz um trabalho de conclusão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Rio de Janeiro: Lumen Juris, 2011.</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CELESTINO, Gabriela Pereira; LORENZONI, Leonardo Lucas do Nascimento.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ineficácia da função socializadora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COÊLHO, Marcus Vinicius Furtado.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Dirceu recorre de decisão que o impede de trabalhar fora.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Exame, 29/05/2014. Disponível em: &lt;https://exame.com/brasil/dirceu-recorre-de-decisao-que-o-impede-de-trabalhar-fora/&gt; Acesso em: 20 de Outubro de 2022.</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DURKHEIM, Émile.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 regras do método sociológico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São Paulo: Edipro, 2012.</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GOFFMAN, Erving.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Estigma: notas sobre a manipulação da identidade deteriorada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 ed. Trad. Márcia Bandeira de Mello Leite Nunes. Rio de Janeiro/RJ: LTC, 1988 (p. 13/14)</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LISZT, Franz Von apud OLIVEIRA, William Terra de; OLIVE, Juan Carlos Ferre; PAZ, Miguel Angel Nunez; BRITO, Alexis Couto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Direito Penal Brasileiro – parte geral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Editora RT, 2011. Pág. 122.</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NETO, </w:t>
      </w:r>
      <w:r w:rsidDel="00000000" w:rsidR="00000000" w:rsidRPr="00000000">
        <w:rPr>
          <w:rFonts w:ascii="Arial" w:cs="Arial" w:eastAsia="Arial" w:hAnsi="Arial"/>
          <w:sz w:val="24"/>
          <w:szCs w:val="24"/>
          <w:rtl w:val="0"/>
        </w:rPr>
        <w:t xml:space="preserve">Inácio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Carvalho.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Aplicação da Pena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ed. Rio de Janeiro: Editora Forense, 2003, p. 21.</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NUCCI, Guilherme de Souza.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 de Direito Penal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12° edição Editora Forense, São Paulo, 2016.</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PERROT,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Michelle.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Os excluídos da história: operários, mulheres e prisioneiros.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Rio de Janeiro: Paz e Terra, 1988.</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RIBEIRO, Edson Carlos.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Antecedentes Criminais à luz da Constituição Federal de 1988.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(Monografia). Universidade Presidente Antônio Carlos – UNIPAC. Barbacena-MG, 2011.</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Graduando em Direito pela Unifacisa. Endereço eletrônico: yanmarinho12@gmail.com.</w:t>
      </w:r>
    </w:p>
  </w:footnote>
  <w:footnote w:id="1">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Orientador. Doutor em Direito e professor da UNIFACISA. E-mail: marcelodlara@gmail.com.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532D"/>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1"/>
    <w:qFormat w:val="1"/>
    <w:rsid w:val="00020B3A"/>
    <w:pPr>
      <w:ind w:left="720"/>
      <w:contextualSpacing w:val="1"/>
    </w:pPr>
  </w:style>
  <w:style w:type="paragraph" w:styleId="Default" w:customStyle="1">
    <w:name w:val="Default"/>
    <w:rsid w:val="00523131"/>
    <w:pPr>
      <w:autoSpaceDE w:val="0"/>
      <w:autoSpaceDN w:val="0"/>
      <w:adjustRightInd w:val="0"/>
      <w:spacing w:after="0" w:line="240" w:lineRule="auto"/>
    </w:pPr>
    <w:rPr>
      <w:rFonts w:ascii="Times New Roman" w:cs="Times New Roman" w:hAnsi="Times New Roman"/>
      <w:color w:val="000000"/>
      <w:sz w:val="24"/>
      <w:szCs w:val="24"/>
    </w:rPr>
  </w:style>
  <w:style w:type="paragraph" w:styleId="Textodenotadefim">
    <w:name w:val="endnote text"/>
    <w:basedOn w:val="Normal"/>
    <w:link w:val="TextodenotadefimChar"/>
    <w:uiPriority w:val="99"/>
    <w:semiHidden w:val="1"/>
    <w:unhideWhenUsed w:val="1"/>
    <w:rsid w:val="00856917"/>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val="1"/>
    <w:rsid w:val="00856917"/>
    <w:rPr>
      <w:sz w:val="20"/>
      <w:szCs w:val="20"/>
    </w:rPr>
  </w:style>
  <w:style w:type="character" w:styleId="Refdenotadefim">
    <w:name w:val="endnote reference"/>
    <w:basedOn w:val="Fontepargpadro"/>
    <w:uiPriority w:val="99"/>
    <w:semiHidden w:val="1"/>
    <w:unhideWhenUsed w:val="1"/>
    <w:rsid w:val="00856917"/>
    <w:rPr>
      <w:vertAlign w:val="superscript"/>
    </w:rPr>
  </w:style>
  <w:style w:type="paragraph" w:styleId="Textodenotaderodap">
    <w:name w:val="footnote text"/>
    <w:basedOn w:val="Normal"/>
    <w:link w:val="TextodenotaderodapChar"/>
    <w:uiPriority w:val="99"/>
    <w:semiHidden w:val="1"/>
    <w:unhideWhenUsed w:val="1"/>
    <w:rsid w:val="00856917"/>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856917"/>
    <w:rPr>
      <w:sz w:val="20"/>
      <w:szCs w:val="20"/>
    </w:rPr>
  </w:style>
  <w:style w:type="character" w:styleId="Refdenotaderodap">
    <w:name w:val="footnote reference"/>
    <w:basedOn w:val="Fontepargpadro"/>
    <w:uiPriority w:val="99"/>
    <w:semiHidden w:val="1"/>
    <w:unhideWhenUsed w:val="1"/>
    <w:rsid w:val="00856917"/>
    <w:rPr>
      <w:vertAlign w:val="superscript"/>
    </w:rPr>
  </w:style>
  <w:style w:type="character" w:styleId="Hyperlink">
    <w:name w:val="Hyperlink"/>
    <w:basedOn w:val="Fontepargpadro"/>
    <w:uiPriority w:val="99"/>
    <w:unhideWhenUsed w:val="1"/>
    <w:rsid w:val="00856917"/>
    <w:rPr>
      <w:color w:val="0563c1" w:themeColor="hyperlink"/>
      <w:u w:val="single"/>
    </w:rPr>
  </w:style>
  <w:style w:type="paragraph" w:styleId="Cabealho">
    <w:name w:val="header"/>
    <w:basedOn w:val="Normal"/>
    <w:link w:val="CabealhoChar"/>
    <w:uiPriority w:val="99"/>
    <w:unhideWhenUsed w:val="1"/>
    <w:rsid w:val="00DD200A"/>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D200A"/>
  </w:style>
  <w:style w:type="paragraph" w:styleId="Rodap">
    <w:name w:val="footer"/>
    <w:basedOn w:val="Normal"/>
    <w:link w:val="RodapChar"/>
    <w:uiPriority w:val="99"/>
    <w:unhideWhenUsed w:val="1"/>
    <w:rsid w:val="00DD200A"/>
    <w:pPr>
      <w:tabs>
        <w:tab w:val="center" w:pos="4252"/>
        <w:tab w:val="right" w:pos="8504"/>
      </w:tabs>
      <w:spacing w:after="0" w:line="240" w:lineRule="auto"/>
    </w:pPr>
  </w:style>
  <w:style w:type="character" w:styleId="RodapChar" w:customStyle="1">
    <w:name w:val="Rodapé Char"/>
    <w:basedOn w:val="Fontepargpadro"/>
    <w:link w:val="Rodap"/>
    <w:uiPriority w:val="99"/>
    <w:rsid w:val="00DD200A"/>
  </w:style>
  <w:style w:type="paragraph" w:styleId="ecxecxmsonormal" w:customStyle="1">
    <w:name w:val="ecxecxmsonormal"/>
    <w:basedOn w:val="Normal"/>
    <w:rsid w:val="008818AF"/>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Corpodetexto">
    <w:name w:val="Body Text"/>
    <w:basedOn w:val="Normal"/>
    <w:link w:val="CorpodetextoChar"/>
    <w:uiPriority w:val="1"/>
    <w:qFormat w:val="1"/>
    <w:rsid w:val="00573CFD"/>
    <w:pPr>
      <w:widowControl w:val="0"/>
      <w:autoSpaceDE w:val="0"/>
      <w:autoSpaceDN w:val="0"/>
      <w:spacing w:after="0" w:line="240" w:lineRule="auto"/>
    </w:pPr>
    <w:rPr>
      <w:rFonts w:ascii="Times New Roman" w:cs="Times New Roman" w:eastAsia="Times New Roman" w:hAnsi="Times New Roman"/>
      <w:sz w:val="24"/>
      <w:szCs w:val="24"/>
      <w:lang w:val="pt-PT"/>
    </w:rPr>
  </w:style>
  <w:style w:type="character" w:styleId="CorpodetextoChar" w:customStyle="1">
    <w:name w:val="Corpo de texto Char"/>
    <w:basedOn w:val="Fontepargpadro"/>
    <w:link w:val="Corpodetexto"/>
    <w:uiPriority w:val="1"/>
    <w:rsid w:val="00573CFD"/>
    <w:rPr>
      <w:rFonts w:ascii="Times New Roman" w:cs="Times New Roman" w:eastAsia="Times New Roman" w:hAnsi="Times New Roman"/>
      <w:sz w:val="24"/>
      <w:szCs w:val="24"/>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mVn1jhDmmjRVPIPl3djA4PaNhA==">AMUW2mVxtiELXANPjS0PpVG51cEwfWgM3SBzhEN6hnTczFWR9CCpbhbtoPvfmaCYHbDmXSofT+C+L0y6IyggORWgEUYWqp3h6TRGhD8E0C5YMLEPp9gtPf8Gtd03cqo0VogLO0dUKgXl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2022-11-10T18:36:00Z</dcterms:created>
  <dc:creator>Richardson Arruda</dc:creator>
</cp:coreProperties>
</file>