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A7" w:rsidRDefault="00FF4C94" w:rsidP="004D58A7">
      <w:pPr>
        <w:pStyle w:val="Ttulo2"/>
        <w:ind w:right="-1"/>
        <w:jc w:val="cente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13.5pt;margin-top:-13.05pt;width:212.85pt;height:78.45pt;z-index:251658240" stroked="f">
            <v:textbox>
              <w:txbxContent>
                <w:p w:rsidR="00AB41AB" w:rsidRDefault="00AB41AB" w:rsidP="004D58A7">
                  <w:pPr>
                    <w:tabs>
                      <w:tab w:val="left" w:pos="851"/>
                    </w:tabs>
                    <w:ind w:left="851"/>
                    <w:jc w:val="center"/>
                  </w:pPr>
                  <w:r w:rsidRPr="00B06516">
                    <w:rPr>
                      <w:noProof/>
                    </w:rPr>
                    <w:drawing>
                      <wp:inline distT="0" distB="0" distL="0" distR="0">
                        <wp:extent cx="1155233" cy="865311"/>
                        <wp:effectExtent l="19050" t="0" r="6817" b="0"/>
                        <wp:docPr id="3" name="Imagem 0" descr="faci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sa logo.jpg"/>
                                <pic:cNvPicPr/>
                              </pic:nvPicPr>
                              <pic:blipFill>
                                <a:blip r:embed="rId8" cstate="print"/>
                                <a:stretch>
                                  <a:fillRect/>
                                </a:stretch>
                              </pic:blipFill>
                              <pic:spPr>
                                <a:xfrm>
                                  <a:off x="0" y="0"/>
                                  <a:ext cx="1151878" cy="862798"/>
                                </a:xfrm>
                                <a:prstGeom prst="rect">
                                  <a:avLst/>
                                </a:prstGeom>
                              </pic:spPr>
                            </pic:pic>
                          </a:graphicData>
                        </a:graphic>
                      </wp:inline>
                    </w:drawing>
                  </w:r>
                </w:p>
              </w:txbxContent>
            </v:textbox>
          </v:shape>
        </w:pict>
      </w:r>
    </w:p>
    <w:p w:rsidR="004D58A7" w:rsidRDefault="004D58A7" w:rsidP="004D58A7">
      <w:pPr>
        <w:pStyle w:val="Ttulo2"/>
        <w:ind w:right="-1"/>
        <w:jc w:val="center"/>
        <w:rPr>
          <w:sz w:val="24"/>
          <w:szCs w:val="24"/>
        </w:rPr>
      </w:pPr>
    </w:p>
    <w:p w:rsidR="004D58A7" w:rsidRDefault="004D58A7" w:rsidP="004D58A7">
      <w:pPr>
        <w:ind w:right="-1"/>
        <w:jc w:val="center"/>
        <w:rPr>
          <w:b/>
        </w:rPr>
      </w:pPr>
    </w:p>
    <w:p w:rsidR="004D58A7" w:rsidRDefault="004D58A7" w:rsidP="004D58A7">
      <w:pPr>
        <w:ind w:right="-1"/>
        <w:jc w:val="center"/>
        <w:rPr>
          <w:b/>
        </w:rPr>
      </w:pPr>
      <w:r>
        <w:rPr>
          <w:b/>
        </w:rPr>
        <w:t>CENTRO DE ENSINO SUPERIOR E DESENVOLVIMENTO</w:t>
      </w:r>
    </w:p>
    <w:p w:rsidR="004D58A7" w:rsidRPr="009E4F94" w:rsidRDefault="004D58A7" w:rsidP="004D58A7">
      <w:pPr>
        <w:ind w:right="-1"/>
        <w:jc w:val="center"/>
        <w:rPr>
          <w:b/>
        </w:rPr>
      </w:pPr>
      <w:r>
        <w:rPr>
          <w:b/>
        </w:rPr>
        <w:t>FACULDADE DE CIÊNCIAS SOCIAIS APLICADAS - FACISA</w:t>
      </w:r>
    </w:p>
    <w:p w:rsidR="004D58A7" w:rsidRPr="009E4F94" w:rsidRDefault="004D58A7" w:rsidP="004D58A7">
      <w:pPr>
        <w:ind w:right="-1"/>
        <w:jc w:val="center"/>
      </w:pPr>
      <w:r w:rsidRPr="009E4F94">
        <w:rPr>
          <w:b/>
        </w:rPr>
        <w:t xml:space="preserve">CURSO DE </w:t>
      </w:r>
      <w:r>
        <w:rPr>
          <w:b/>
        </w:rPr>
        <w:t>DIREITO</w:t>
      </w:r>
    </w:p>
    <w:p w:rsidR="004D58A7" w:rsidRPr="009E4F94" w:rsidRDefault="004D58A7" w:rsidP="004D58A7">
      <w:pPr>
        <w:ind w:right="-1"/>
        <w:jc w:val="center"/>
      </w:pPr>
    </w:p>
    <w:p w:rsidR="004D58A7" w:rsidRPr="009E4F94"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Pr="009E4F94" w:rsidRDefault="004D58A7" w:rsidP="004D58A7">
      <w:pPr>
        <w:ind w:right="-1"/>
        <w:jc w:val="center"/>
      </w:pPr>
    </w:p>
    <w:p w:rsidR="004D58A7" w:rsidRPr="009E4F94" w:rsidRDefault="004D58A7" w:rsidP="004D58A7">
      <w:pPr>
        <w:ind w:right="-1"/>
        <w:jc w:val="center"/>
      </w:pPr>
    </w:p>
    <w:p w:rsidR="004D58A7" w:rsidRPr="005F5344" w:rsidRDefault="004D58A7" w:rsidP="004D58A7">
      <w:pPr>
        <w:pStyle w:val="Ttulo2"/>
        <w:ind w:right="-1"/>
        <w:jc w:val="center"/>
        <w:rPr>
          <w:sz w:val="24"/>
          <w:szCs w:val="24"/>
        </w:rPr>
      </w:pPr>
      <w:r w:rsidRPr="005F5344">
        <w:rPr>
          <w:sz w:val="24"/>
          <w:szCs w:val="24"/>
        </w:rPr>
        <w:t>HAULA HAMAD TIMENI FREIRE PASCOAL PEREIRA</w:t>
      </w:r>
    </w:p>
    <w:p w:rsidR="004D58A7"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Default="004D58A7" w:rsidP="004D58A7">
      <w:pPr>
        <w:ind w:right="-1"/>
        <w:jc w:val="center"/>
      </w:pPr>
    </w:p>
    <w:p w:rsidR="004D58A7" w:rsidRPr="009E4F94" w:rsidRDefault="004D58A7" w:rsidP="004D58A7">
      <w:pPr>
        <w:ind w:right="-1"/>
        <w:jc w:val="cente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Pr="004D58A7" w:rsidRDefault="004D58A7" w:rsidP="004D58A7">
      <w:pPr>
        <w:ind w:right="-1"/>
        <w:jc w:val="center"/>
        <w:rPr>
          <w:b/>
          <w:sz w:val="32"/>
          <w:szCs w:val="32"/>
        </w:rPr>
      </w:pPr>
      <w:r w:rsidRPr="004D58A7">
        <w:rPr>
          <w:b/>
          <w:sz w:val="32"/>
          <w:szCs w:val="32"/>
        </w:rPr>
        <w:t>CONTEXTUALIZANDO A QUESTÃO DE GÊNERO NO DIREITO INTERNACIONAL: uma abordagem interdisciplinar da prática do estupro de mulheres como estratégia de guerra sob o viés das Relações Internacionais</w:t>
      </w: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Default="004D58A7" w:rsidP="004D58A7">
      <w:pPr>
        <w:ind w:right="-1"/>
        <w:jc w:val="center"/>
        <w:rPr>
          <w:sz w:val="16"/>
          <w:szCs w:val="16"/>
        </w:rPr>
      </w:pPr>
    </w:p>
    <w:p w:rsidR="004D58A7" w:rsidRPr="009E4F94" w:rsidRDefault="004D58A7" w:rsidP="004D58A7">
      <w:pPr>
        <w:ind w:right="-1"/>
        <w:jc w:val="center"/>
      </w:pPr>
      <w:r>
        <w:t>CAMPINA GRANDE</w:t>
      </w:r>
      <w:r w:rsidRPr="009E4F94">
        <w:t xml:space="preserve"> – PB</w:t>
      </w:r>
    </w:p>
    <w:p w:rsidR="004D58A7" w:rsidRDefault="004D58A7" w:rsidP="004D58A7">
      <w:pPr>
        <w:ind w:right="-1"/>
        <w:jc w:val="center"/>
      </w:pPr>
      <w:r w:rsidRPr="009E4F94">
        <w:t>20</w:t>
      </w:r>
      <w:r>
        <w:t>15</w:t>
      </w:r>
    </w:p>
    <w:p w:rsidR="004D58A7" w:rsidRDefault="004D58A7" w:rsidP="004D58A7">
      <w:pPr>
        <w:ind w:left="4678" w:right="-1"/>
        <w:jc w:val="center"/>
        <w:sectPr w:rsidR="004D58A7" w:rsidSect="00E13F91">
          <w:pgSz w:w="11906" w:h="16838" w:code="9"/>
          <w:pgMar w:top="1701" w:right="1134" w:bottom="1134" w:left="1701" w:header="709" w:footer="709" w:gutter="0"/>
          <w:pgNumType w:start="4"/>
          <w:cols w:space="708"/>
          <w:docGrid w:linePitch="360"/>
        </w:sectPr>
      </w:pPr>
    </w:p>
    <w:p w:rsidR="004D58A7" w:rsidRDefault="004D58A7" w:rsidP="004D58A7">
      <w:pPr>
        <w:ind w:left="-180" w:right="-1"/>
        <w:jc w:val="center"/>
        <w:rPr>
          <w:b/>
        </w:rPr>
      </w:pPr>
    </w:p>
    <w:p w:rsidR="004D58A7" w:rsidRDefault="004D58A7" w:rsidP="004D58A7">
      <w:pPr>
        <w:ind w:left="-180" w:right="-1"/>
        <w:jc w:val="center"/>
        <w:rPr>
          <w:b/>
        </w:rPr>
      </w:pPr>
      <w:r>
        <w:rPr>
          <w:b/>
        </w:rPr>
        <w:t>RESUMO</w:t>
      </w:r>
    </w:p>
    <w:p w:rsidR="004D58A7" w:rsidRDefault="004D58A7" w:rsidP="004D58A7">
      <w:pPr>
        <w:autoSpaceDE w:val="0"/>
        <w:autoSpaceDN w:val="0"/>
        <w:adjustRightInd w:val="0"/>
        <w:ind w:right="-1"/>
        <w:rPr>
          <w:b/>
        </w:rPr>
      </w:pPr>
    </w:p>
    <w:p w:rsidR="004D58A7" w:rsidRDefault="004D58A7" w:rsidP="004D58A7">
      <w:pPr>
        <w:ind w:right="-1"/>
        <w:jc w:val="both"/>
      </w:pPr>
      <w:r>
        <w:t xml:space="preserve">O estupro de mulheres em tempos conflituosos é tão antigo quanto a guerra em si. Apesar disso, foi apenas depois da década de 1990 que essa questão passou a ser discutida com maior veemência na agenda internacional. Este artigo se propõe a analisar a relação entre a antiguidade da utilização do estupro de mulheres como estratégia e arma de guerra e a discussão tardia dessa prática no cenário internacional, o que o fará a partir do arcabouço teórico proveniente das Relações Internacionais, preferindo-o aos conhecimentos do direito internacional. A partir de uma revisão bibliográfica da literatura levantada, será feito um breve recorrido histórico das relações internacionais para demonstrar a recorrência e a relevância que os entornos da guerra tiveram tanto na disciplina quanto no fenômeno, ao passo em que pouco ou nada foi dito sobre os inúmeros estupros cometidos contra mulheres nas mesmas guerras tanto discutidas. Para contextualizar essa questão de gênero no âmbito internacional, </w:t>
      </w:r>
      <w:r w:rsidR="009142AA">
        <w:t>será dada</w:t>
      </w:r>
      <w:r>
        <w:t xml:space="preserve"> especial atenção às teorias feministas das Relações Internacionais, bem como far</w:t>
      </w:r>
      <w:r w:rsidR="009142AA">
        <w:t>-se-á</w:t>
      </w:r>
      <w:r>
        <w:t xml:space="preserve"> uso de menções ao estupro em tempos de guerra em outras searas do conhecimento, como na literatura e na arte em geral, a título de oferecer ao leitor uma abordagem interdisciplinar sem a qual não </w:t>
      </w:r>
      <w:r w:rsidR="009142AA">
        <w:t>seria possível</w:t>
      </w:r>
      <w:r>
        <w:t xml:space="preserve"> expor a complexidade atrelada aos inúmeros vieses do tema proposto.</w:t>
      </w:r>
    </w:p>
    <w:p w:rsidR="004D58A7" w:rsidRPr="00BC0AAE" w:rsidRDefault="004D58A7" w:rsidP="004D58A7">
      <w:pPr>
        <w:ind w:right="-1"/>
      </w:pPr>
    </w:p>
    <w:p w:rsidR="004D58A7" w:rsidRPr="00BC0AAE" w:rsidRDefault="004D58A7" w:rsidP="004D58A7">
      <w:pPr>
        <w:ind w:right="-1"/>
        <w:jc w:val="both"/>
        <w:rPr>
          <w:lang w:val="en-US"/>
        </w:rPr>
      </w:pPr>
      <w:r w:rsidRPr="00BC0AAE">
        <w:rPr>
          <w:b/>
        </w:rPr>
        <w:t xml:space="preserve">PALAVRAS-CHAVE: </w:t>
      </w:r>
      <w:r w:rsidRPr="00BC0AAE">
        <w:t xml:space="preserve">Estupro. Direito Internacional. </w:t>
      </w:r>
      <w:r w:rsidRPr="00BC0AAE">
        <w:rPr>
          <w:lang w:val="en-US"/>
        </w:rPr>
        <w:t xml:space="preserve">Relações Internacionais. </w:t>
      </w:r>
    </w:p>
    <w:p w:rsidR="004D58A7" w:rsidRDefault="004D58A7" w:rsidP="004D58A7">
      <w:pPr>
        <w:ind w:right="-1"/>
        <w:jc w:val="center"/>
        <w:rPr>
          <w:b/>
          <w:sz w:val="32"/>
          <w:szCs w:val="32"/>
          <w:lang w:val="en-US"/>
        </w:rPr>
      </w:pPr>
    </w:p>
    <w:p w:rsidR="004D58A7" w:rsidRPr="00BC0AAE" w:rsidRDefault="004D58A7" w:rsidP="004D58A7">
      <w:pPr>
        <w:ind w:right="-1"/>
        <w:jc w:val="center"/>
        <w:rPr>
          <w:b/>
          <w:sz w:val="32"/>
          <w:szCs w:val="32"/>
          <w:lang w:val="en-US"/>
        </w:rPr>
      </w:pPr>
    </w:p>
    <w:p w:rsidR="004D58A7" w:rsidRPr="00BC0AAE" w:rsidRDefault="004D58A7" w:rsidP="004D58A7">
      <w:pPr>
        <w:ind w:left="-180" w:right="-1"/>
        <w:jc w:val="center"/>
        <w:rPr>
          <w:b/>
          <w:lang w:val="en-US"/>
        </w:rPr>
      </w:pPr>
      <w:r w:rsidRPr="00BC0AAE">
        <w:rPr>
          <w:b/>
          <w:lang w:val="en-US"/>
        </w:rPr>
        <w:t>ABSTRACT</w:t>
      </w:r>
    </w:p>
    <w:p w:rsidR="004D58A7" w:rsidRPr="00BC0AAE" w:rsidRDefault="004D58A7" w:rsidP="004D58A7">
      <w:pPr>
        <w:ind w:left="-180" w:right="-1"/>
        <w:jc w:val="both"/>
        <w:rPr>
          <w:lang w:val="en-US"/>
        </w:rPr>
      </w:pPr>
    </w:p>
    <w:p w:rsidR="004D58A7" w:rsidRDefault="004D58A7" w:rsidP="004D58A7">
      <w:pPr>
        <w:ind w:right="-1"/>
        <w:jc w:val="both"/>
        <w:rPr>
          <w:lang w:val="en-US"/>
        </w:rPr>
      </w:pPr>
      <w:r>
        <w:rPr>
          <w:lang w:val="en-US"/>
        </w:rPr>
        <w:t xml:space="preserve">Rape </w:t>
      </w:r>
      <w:r w:rsidRPr="006F3F86">
        <w:rPr>
          <w:lang w:val="en-US"/>
        </w:rPr>
        <w:t xml:space="preserve">of women in conflicting times is as old as war itself. Nevertheless, it was only after the 1990s that this issue began to be discussed more strongly on the international agenda. This article aims to analyze the relationship between the antiquity of the use of rape as a strategy </w:t>
      </w:r>
      <w:r>
        <w:rPr>
          <w:lang w:val="en-US"/>
        </w:rPr>
        <w:t xml:space="preserve">and weapon </w:t>
      </w:r>
      <w:r w:rsidRPr="006F3F86">
        <w:rPr>
          <w:lang w:val="en-US"/>
        </w:rPr>
        <w:t xml:space="preserve">of war and </w:t>
      </w:r>
      <w:r>
        <w:rPr>
          <w:lang w:val="en-US"/>
        </w:rPr>
        <w:t xml:space="preserve">the </w:t>
      </w:r>
      <w:r w:rsidRPr="006F3F86">
        <w:rPr>
          <w:lang w:val="en-US"/>
        </w:rPr>
        <w:t xml:space="preserve">delayed discussion of this practice in the international </w:t>
      </w:r>
      <w:r>
        <w:rPr>
          <w:lang w:val="en-US"/>
        </w:rPr>
        <w:t>sphere</w:t>
      </w:r>
      <w:r w:rsidRPr="006F3F86">
        <w:rPr>
          <w:lang w:val="en-US"/>
        </w:rPr>
        <w:t xml:space="preserve">, </w:t>
      </w:r>
      <w:r>
        <w:rPr>
          <w:lang w:val="en-US"/>
        </w:rPr>
        <w:t>doing so</w:t>
      </w:r>
      <w:r w:rsidRPr="006F3F86">
        <w:rPr>
          <w:lang w:val="en-US"/>
        </w:rPr>
        <w:t xml:space="preserve"> from the theoretical framework </w:t>
      </w:r>
      <w:r>
        <w:rPr>
          <w:lang w:val="en-US"/>
        </w:rPr>
        <w:t>of</w:t>
      </w:r>
      <w:r w:rsidRPr="006F3F86">
        <w:rPr>
          <w:lang w:val="en-US"/>
        </w:rPr>
        <w:t xml:space="preserve"> International Relations, </w:t>
      </w:r>
      <w:r>
        <w:rPr>
          <w:lang w:val="en-US"/>
        </w:rPr>
        <w:t>instead of</w:t>
      </w:r>
      <w:r w:rsidRPr="006F3F86">
        <w:rPr>
          <w:lang w:val="en-US"/>
        </w:rPr>
        <w:t xml:space="preserve"> the knowledge of international law. </w:t>
      </w:r>
      <w:r>
        <w:rPr>
          <w:lang w:val="en-US"/>
        </w:rPr>
        <w:t>Starting f</w:t>
      </w:r>
      <w:r w:rsidRPr="006F3F86">
        <w:rPr>
          <w:lang w:val="en-US"/>
        </w:rPr>
        <w:t xml:space="preserve">rom a review </w:t>
      </w:r>
      <w:r>
        <w:rPr>
          <w:lang w:val="en-US"/>
        </w:rPr>
        <w:t>of the literature raised</w:t>
      </w:r>
      <w:r w:rsidRPr="006F3F86">
        <w:rPr>
          <w:lang w:val="en-US"/>
        </w:rPr>
        <w:t xml:space="preserve">, </w:t>
      </w:r>
      <w:r>
        <w:rPr>
          <w:lang w:val="en-US"/>
        </w:rPr>
        <w:t xml:space="preserve">it will be made </w:t>
      </w:r>
      <w:r w:rsidRPr="006F3F86">
        <w:rPr>
          <w:lang w:val="en-US"/>
        </w:rPr>
        <w:t>a</w:t>
      </w:r>
      <w:r>
        <w:rPr>
          <w:lang w:val="en-US"/>
        </w:rPr>
        <w:t xml:space="preserve"> short</w:t>
      </w:r>
      <w:r w:rsidRPr="006F3F86">
        <w:rPr>
          <w:lang w:val="en-US"/>
        </w:rPr>
        <w:t xml:space="preserve"> history </w:t>
      </w:r>
      <w:r>
        <w:rPr>
          <w:lang w:val="en-US"/>
        </w:rPr>
        <w:t>resume</w:t>
      </w:r>
      <w:r w:rsidRPr="006F3F86">
        <w:rPr>
          <w:lang w:val="en-US"/>
        </w:rPr>
        <w:t xml:space="preserve"> of international relations </w:t>
      </w:r>
      <w:r>
        <w:rPr>
          <w:lang w:val="en-US"/>
        </w:rPr>
        <w:t xml:space="preserve">that </w:t>
      </w:r>
      <w:r w:rsidRPr="006F3F86">
        <w:rPr>
          <w:lang w:val="en-US"/>
        </w:rPr>
        <w:t xml:space="preserve">will be to demonstrate the recurrence and the importance that war had in </w:t>
      </w:r>
      <w:r>
        <w:rPr>
          <w:lang w:val="en-US"/>
        </w:rPr>
        <w:t xml:space="preserve">the </w:t>
      </w:r>
      <w:r w:rsidRPr="006F3F86">
        <w:rPr>
          <w:lang w:val="en-US"/>
        </w:rPr>
        <w:t>discipline and in the phenomenon</w:t>
      </w:r>
      <w:r>
        <w:rPr>
          <w:lang w:val="en-US"/>
        </w:rPr>
        <w:t xml:space="preserve"> of international relations itself</w:t>
      </w:r>
      <w:r w:rsidRPr="006F3F86">
        <w:rPr>
          <w:lang w:val="en-US"/>
        </w:rPr>
        <w:t xml:space="preserve">, while little or nothing was said about the numerous rapes committed against women in the same wars </w:t>
      </w:r>
      <w:r>
        <w:rPr>
          <w:lang w:val="en-US"/>
        </w:rPr>
        <w:t xml:space="preserve">so much </w:t>
      </w:r>
      <w:r w:rsidRPr="006F3F86">
        <w:rPr>
          <w:lang w:val="en-US"/>
        </w:rPr>
        <w:t xml:space="preserve">discussed. To contextualize this gender issue at the international </w:t>
      </w:r>
      <w:r>
        <w:rPr>
          <w:lang w:val="en-US"/>
        </w:rPr>
        <w:t>range</w:t>
      </w:r>
      <w:r w:rsidRPr="006F3F86">
        <w:rPr>
          <w:lang w:val="en-US"/>
        </w:rPr>
        <w:t xml:space="preserve">, special attention </w:t>
      </w:r>
      <w:r w:rsidR="009142AA">
        <w:rPr>
          <w:lang w:val="en-US"/>
        </w:rPr>
        <w:t xml:space="preserve">will be gave </w:t>
      </w:r>
      <w:r w:rsidRPr="006F3F86">
        <w:rPr>
          <w:lang w:val="en-US"/>
        </w:rPr>
        <w:t>to feminist theories of International Relations</w:t>
      </w:r>
      <w:r>
        <w:rPr>
          <w:lang w:val="en-US"/>
        </w:rPr>
        <w:t xml:space="preserve"> </w:t>
      </w:r>
      <w:r w:rsidRPr="006F3F86">
        <w:rPr>
          <w:lang w:val="en-US"/>
        </w:rPr>
        <w:t xml:space="preserve"> and make use of</w:t>
      </w:r>
      <w:r>
        <w:rPr>
          <w:lang w:val="en-US"/>
        </w:rPr>
        <w:t xml:space="preserve"> wartime </w:t>
      </w:r>
      <w:r w:rsidRPr="006F3F86">
        <w:rPr>
          <w:lang w:val="en-US"/>
        </w:rPr>
        <w:t xml:space="preserve"> </w:t>
      </w:r>
      <w:r>
        <w:rPr>
          <w:lang w:val="en-US"/>
        </w:rPr>
        <w:t xml:space="preserve">rape mentions </w:t>
      </w:r>
      <w:r w:rsidRPr="006F3F86">
        <w:rPr>
          <w:lang w:val="en-US"/>
        </w:rPr>
        <w:t xml:space="preserve">in other fields of knowledge such as literature and art in general, </w:t>
      </w:r>
      <w:r>
        <w:rPr>
          <w:lang w:val="en-US"/>
        </w:rPr>
        <w:t xml:space="preserve">aiming to </w:t>
      </w:r>
      <w:r w:rsidRPr="006F3F86">
        <w:rPr>
          <w:lang w:val="en-US"/>
        </w:rPr>
        <w:t xml:space="preserve">offer the reader an interdisciplinary approach without which </w:t>
      </w:r>
      <w:r w:rsidR="009142AA">
        <w:rPr>
          <w:lang w:val="en-US"/>
        </w:rPr>
        <w:t>wouldn't</w:t>
      </w:r>
      <w:r w:rsidRPr="006F3F86">
        <w:rPr>
          <w:lang w:val="en-US"/>
        </w:rPr>
        <w:t xml:space="preserve"> </w:t>
      </w:r>
      <w:r w:rsidR="009142AA">
        <w:rPr>
          <w:lang w:val="en-US"/>
        </w:rPr>
        <w:t xml:space="preserve">be possible to </w:t>
      </w:r>
      <w:r w:rsidRPr="006F3F86">
        <w:rPr>
          <w:lang w:val="en-US"/>
        </w:rPr>
        <w:t xml:space="preserve">expose the complexity </w:t>
      </w:r>
      <w:r>
        <w:rPr>
          <w:lang w:val="en-US"/>
        </w:rPr>
        <w:t>of the</w:t>
      </w:r>
      <w:r w:rsidRPr="006F3F86">
        <w:rPr>
          <w:lang w:val="en-US"/>
        </w:rPr>
        <w:t xml:space="preserve"> numerous biases of the proposed theme</w:t>
      </w:r>
    </w:p>
    <w:p w:rsidR="004D58A7" w:rsidRPr="00BC0AAE" w:rsidRDefault="004D58A7" w:rsidP="004D58A7">
      <w:pPr>
        <w:ind w:right="-1"/>
        <w:rPr>
          <w:lang w:val="en-US"/>
        </w:rPr>
      </w:pPr>
    </w:p>
    <w:p w:rsidR="004D58A7" w:rsidRDefault="004D58A7" w:rsidP="004D58A7">
      <w:pPr>
        <w:ind w:right="-1"/>
        <w:jc w:val="both"/>
      </w:pPr>
      <w:r w:rsidRPr="00BC0AAE">
        <w:rPr>
          <w:b/>
          <w:lang w:val="en-US"/>
        </w:rPr>
        <w:t xml:space="preserve">KEY WORDS: </w:t>
      </w:r>
      <w:r w:rsidRPr="00BC0AAE">
        <w:rPr>
          <w:lang w:val="en-US"/>
        </w:rPr>
        <w:t xml:space="preserve">Rape. International Law. </w:t>
      </w:r>
      <w:r w:rsidRPr="00BC0AAE">
        <w:t>International Relations.</w:t>
      </w:r>
      <w:r>
        <w:t xml:space="preserve"> </w:t>
      </w:r>
    </w:p>
    <w:p w:rsidR="004D58A7" w:rsidRDefault="004D58A7" w:rsidP="004D58A7">
      <w:pPr>
        <w:ind w:right="-1"/>
        <w:jc w:val="both"/>
      </w:pPr>
    </w:p>
    <w:p w:rsidR="004D58A7" w:rsidRDefault="004D58A7" w:rsidP="004D58A7">
      <w:pPr>
        <w:ind w:right="-1"/>
        <w:jc w:val="both"/>
      </w:pPr>
    </w:p>
    <w:p w:rsidR="004D58A7" w:rsidRDefault="004D58A7" w:rsidP="004D58A7">
      <w:pPr>
        <w:ind w:right="-469"/>
        <w:jc w:val="both"/>
        <w:sectPr w:rsidR="004D58A7" w:rsidSect="00E13F91">
          <w:headerReference w:type="default" r:id="rId9"/>
          <w:pgSz w:w="11906" w:h="16838"/>
          <w:pgMar w:top="1701" w:right="1134" w:bottom="1134" w:left="1701" w:header="709" w:footer="709" w:gutter="0"/>
          <w:cols w:space="708"/>
          <w:docGrid w:linePitch="360"/>
        </w:sectPr>
      </w:pPr>
    </w:p>
    <w:p w:rsidR="004D58A7" w:rsidRPr="004D58A7" w:rsidRDefault="004D58A7" w:rsidP="004D58A7">
      <w:pPr>
        <w:ind w:right="-1"/>
        <w:jc w:val="center"/>
        <w:rPr>
          <w:b/>
          <w:sz w:val="32"/>
          <w:szCs w:val="32"/>
        </w:rPr>
      </w:pPr>
      <w:r w:rsidRPr="004D58A7">
        <w:rPr>
          <w:b/>
          <w:sz w:val="32"/>
          <w:szCs w:val="32"/>
        </w:rPr>
        <w:lastRenderedPageBreak/>
        <w:t>CONTEXTUALIZANDO A QUESTÃO DE GÊNERO NO DIREITO INTERNACIONAL: uma abordagem interdisciplinar da prática do estupro de mulheres como estratégia de guerra sob o viés das Relações Internacionais</w:t>
      </w:r>
    </w:p>
    <w:p w:rsidR="004D58A7" w:rsidRDefault="004D58A7" w:rsidP="004D58A7">
      <w:pPr>
        <w:ind w:left="-180" w:right="-1"/>
        <w:rPr>
          <w:b/>
        </w:rPr>
      </w:pPr>
    </w:p>
    <w:p w:rsidR="004D58A7" w:rsidRPr="001C73D5" w:rsidRDefault="004D58A7" w:rsidP="004D58A7">
      <w:pPr>
        <w:ind w:right="-1"/>
      </w:pPr>
      <w:r>
        <w:t>HAMAD, Haula</w:t>
      </w:r>
      <w:r>
        <w:rPr>
          <w:rStyle w:val="Refdenotaderodap"/>
        </w:rPr>
        <w:footnoteReference w:id="2"/>
      </w:r>
    </w:p>
    <w:p w:rsidR="004D58A7" w:rsidRDefault="004D58A7" w:rsidP="004D58A7">
      <w:pPr>
        <w:ind w:left="-180" w:right="-1"/>
        <w:rPr>
          <w:b/>
        </w:rPr>
      </w:pPr>
    </w:p>
    <w:p w:rsidR="004D58A7" w:rsidRDefault="004D58A7" w:rsidP="004D58A7">
      <w:pPr>
        <w:ind w:left="-180" w:right="-1"/>
        <w:rPr>
          <w:b/>
        </w:rPr>
      </w:pPr>
    </w:p>
    <w:p w:rsidR="004D58A7" w:rsidRDefault="004D58A7" w:rsidP="004D58A7">
      <w:pPr>
        <w:ind w:right="-1"/>
        <w:rPr>
          <w:b/>
        </w:rPr>
      </w:pPr>
      <w:r>
        <w:rPr>
          <w:b/>
        </w:rPr>
        <w:t>INTRODUÇÃO</w:t>
      </w:r>
    </w:p>
    <w:p w:rsidR="004D58A7" w:rsidRDefault="004D58A7" w:rsidP="004D58A7">
      <w:pPr>
        <w:ind w:left="-180" w:right="-1"/>
        <w:rPr>
          <w:b/>
        </w:rPr>
      </w:pPr>
    </w:p>
    <w:p w:rsidR="004D58A7" w:rsidRDefault="004D58A7" w:rsidP="004D58A7">
      <w:pPr>
        <w:spacing w:line="360" w:lineRule="auto"/>
        <w:ind w:right="-1" w:firstLine="708"/>
        <w:jc w:val="both"/>
      </w:pPr>
      <w:r>
        <w:t xml:space="preserve">As </w:t>
      </w:r>
      <w:r w:rsidRPr="00712589">
        <w:t xml:space="preserve">relações internacionais são uma complexa </w:t>
      </w:r>
      <w:r>
        <w:t xml:space="preserve">e dinâmica </w:t>
      </w:r>
      <w:r w:rsidRPr="00712589">
        <w:t>teia de interações</w:t>
      </w:r>
      <w:r>
        <w:t>, nunca estáticas,</w:t>
      </w:r>
      <w:r w:rsidRPr="00712589">
        <w:t xml:space="preserve"> entre os </w:t>
      </w:r>
      <w:r>
        <w:t xml:space="preserve">mais </w:t>
      </w:r>
      <w:r w:rsidR="009142AA">
        <w:t>variados atores mundiais. L</w:t>
      </w:r>
      <w:r>
        <w:t>ogo,</w:t>
      </w:r>
      <w:r w:rsidRPr="00712589">
        <w:t xml:space="preserve"> elaborar uma definição exata do que se entende por relações internacionais</w:t>
      </w:r>
      <w:r w:rsidR="009142AA">
        <w:t xml:space="preserve">. Representa </w:t>
      </w:r>
      <w:r w:rsidRPr="00712589">
        <w:t xml:space="preserve">uma tarefa difícil </w:t>
      </w:r>
      <w:r>
        <w:t xml:space="preserve">para muitos autores que estudam esse fenômeno. Traduzir as relações internacionais em um aglomerado de palavras eventualmente </w:t>
      </w:r>
      <w:r w:rsidRPr="00712589">
        <w:t>acabaria por reduzir a abr</w:t>
      </w:r>
      <w:r>
        <w:t xml:space="preserve">angência desse evento, além </w:t>
      </w:r>
      <w:r w:rsidR="009142AA">
        <w:t xml:space="preserve">de </w:t>
      </w:r>
      <w:r>
        <w:t xml:space="preserve">fazer surgir a possibilidade de se estar excluindo algum outro aspecto relevante às incontáveis nuances da sua dinâmica. Vale salientar que o fenômeno das relações internacionais não andou </w:t>
      </w:r>
      <w:r w:rsidR="009142AA">
        <w:t xml:space="preserve">sempre </w:t>
      </w:r>
      <w:r>
        <w:t>de mãos dadas com a disciplina que as estuda.</w:t>
      </w:r>
    </w:p>
    <w:p w:rsidR="004D58A7" w:rsidRDefault="004D58A7" w:rsidP="004D58A7">
      <w:pPr>
        <w:spacing w:line="360" w:lineRule="auto"/>
        <w:ind w:right="-1" w:firstLine="708"/>
        <w:jc w:val="both"/>
      </w:pPr>
      <w:r>
        <w:t xml:space="preserve">A primeira cátedra de Relações Internacionais foi criada apenas em 1919, logo após a Primeira Guerra Mundial e por esta muito influenciada, já que o principal foco da nova academia buscava compreender os motivos da guerra e as maneiras de preveni-la. A dinâmica do cenário internacional, entretanto, não é estática e passou por inúmeras alterações desde o fim da Grande Guerra. </w:t>
      </w:r>
    </w:p>
    <w:p w:rsidR="004D58A7" w:rsidRDefault="004D58A7" w:rsidP="004D58A7">
      <w:pPr>
        <w:spacing w:line="360" w:lineRule="auto"/>
        <w:ind w:right="-1" w:firstLine="708"/>
        <w:jc w:val="both"/>
      </w:pPr>
      <w:r>
        <w:t>A Segunda Guerra Mundial, sucedida pela Guerra Fria</w:t>
      </w:r>
      <w:r w:rsidR="009142AA">
        <w:t>,</w:t>
      </w:r>
      <w:r>
        <w:t xml:space="preserve"> e o panorama em conseqüência desta, resultaram no rompimento do principal paradigma das Relações Internacionais que orbitava entre realismo </w:t>
      </w:r>
      <w:r>
        <w:rPr>
          <w:i/>
        </w:rPr>
        <w:t xml:space="preserve">versus </w:t>
      </w:r>
      <w:r>
        <w:t>idealismo, já que ambos não mais conseguiam explicar o surgimento de novos atores e de novas questões. Dessas novas questões, destacam-se as questões de gênero, das quais este artigo irá tratar especificamente no que diz respeito ao estupro de mulheres como arma e estratégia de guerra, tendo como base as teorias feministas das Relações Internacionais, preferindo-as aos conhecimentos do Direito Internacional.</w:t>
      </w:r>
    </w:p>
    <w:p w:rsidR="004D58A7" w:rsidRDefault="004D58A7" w:rsidP="004D58A7">
      <w:pPr>
        <w:spacing w:line="360" w:lineRule="auto"/>
        <w:ind w:right="-1" w:firstLine="708"/>
        <w:jc w:val="both"/>
      </w:pPr>
      <w:r>
        <w:t>O uso armamentista e estratégico do estupro de mulheres faz surgirem alguns questionamentos acerca de sua utilização e da sua intenção. Por que o estupro? Por que o alvo,</w:t>
      </w:r>
      <w:r w:rsidRPr="0047781A">
        <w:t xml:space="preserve"> </w:t>
      </w:r>
      <w:r>
        <w:t xml:space="preserve">majoritariamente, é a mulher? Ademais, qual o posicionamento do direito internacional </w:t>
      </w:r>
      <w:r>
        <w:lastRenderedPageBreak/>
        <w:t>frente à prática? Daí decorre a necessidade de compreender e examinar a relação entre a posição social da mulher e a violência sexual em questão contra ela perpetrada.</w:t>
      </w:r>
    </w:p>
    <w:p w:rsidR="004D58A7" w:rsidRDefault="004D58A7" w:rsidP="004D58A7">
      <w:pPr>
        <w:spacing w:line="360" w:lineRule="auto"/>
        <w:ind w:right="-1" w:firstLine="708"/>
        <w:jc w:val="both"/>
      </w:pPr>
      <w:r>
        <w:t xml:space="preserve">Para a análise da questão, este estudo contará com três seções, sendo a primeira seção referente à explanação das relações internacionais enquanto fenômeno e o surgimento da disciplina que as estuda, além de um breve histórico do seu desencadeamento, propondo-a como parâmetro teórico do </w:t>
      </w:r>
      <w:r w:rsidR="009142AA">
        <w:t>presente trabalho</w:t>
      </w:r>
      <w:r>
        <w:t>. Já a segunda parte dirá respeito a uma abordagem interdisciplinar da temática, que remontará à história, à literatura e à arte em geral, no sentido de expor a antiguidade do tema ao longo dos séculos e a sua presença em outras searas do conhecimento. Isto feito, a terceira seção dedicar-se-á a apreciação das razões pelas quais a prática torna-se tão eficaz e a análise do posicionamento do direito internacional ante o tema. Após isso segue-se para a conclusão, que irá alinhavar as três seções que lhe precedem.</w:t>
      </w:r>
    </w:p>
    <w:p w:rsidR="004D58A7" w:rsidRDefault="004D58A7" w:rsidP="004D58A7">
      <w:pPr>
        <w:spacing w:after="240" w:line="360" w:lineRule="auto"/>
        <w:ind w:right="-1" w:firstLine="708"/>
        <w:jc w:val="both"/>
      </w:pPr>
      <w:r>
        <w:t>Contextualizando a questão de gênero no direito internacional</w:t>
      </w:r>
      <w:r w:rsidR="009142AA">
        <w:t>,</w:t>
      </w:r>
      <w:r>
        <w:t xml:space="preserve"> especificamente no que toca ao uso armamentista do estupro, este artigo adotará uma abordagem interdisciplinar,</w:t>
      </w:r>
      <w:r w:rsidRPr="00A96EE3">
        <w:t xml:space="preserve"> </w:t>
      </w:r>
      <w:r>
        <w:t xml:space="preserve">mediante uma revisão bibliográfica que irá além do embasamento teórico proveniente das Relações Internacionais, trazendo também referências da literatura e da arte em geral, ademais de referências da filosofia e das ciências sociais, objetivando oferecer ao leitor uma visão transversal da temática, sem a qual não poderia a discussão proposta ser compreendida em toda a complexidade que suas inúmeras nuances demandam. </w:t>
      </w:r>
    </w:p>
    <w:p w:rsidR="004D58A7" w:rsidRPr="002475D7" w:rsidRDefault="004D58A7" w:rsidP="004D58A7">
      <w:pPr>
        <w:pStyle w:val="PargrafodaLista"/>
        <w:numPr>
          <w:ilvl w:val="0"/>
          <w:numId w:val="2"/>
        </w:numPr>
        <w:spacing w:after="240"/>
        <w:ind w:left="0" w:right="-1" w:hanging="11"/>
        <w:rPr>
          <w:b/>
        </w:rPr>
      </w:pPr>
      <w:r>
        <w:rPr>
          <w:b/>
        </w:rPr>
        <w:t>DAS RELAÇÕES INTERNACIONAIS E SEU CAMPO ACADÊMICO</w:t>
      </w:r>
    </w:p>
    <w:p w:rsidR="004D58A7" w:rsidRDefault="004D58A7" w:rsidP="004D58A7">
      <w:pPr>
        <w:spacing w:line="360" w:lineRule="auto"/>
        <w:ind w:right="-1" w:firstLine="709"/>
        <w:jc w:val="both"/>
      </w:pPr>
      <w:r>
        <w:t>As relações internacionais e o interesse pelos seus desdobramentos não são recentes, elas remontam à publicações tais como a narração das Guerras Médicas por Heródoto e à história da Guerra do Peloponeso por Tucídides, além do detalhamento de estratagemas bélicos feito por Sun Tzu, dentre outros (CASTRO, 2012; RODRIGUES, 2004; MINGST, 2009; NOGUEIRA e MESSARI, 2005). Tratando-se as relações internacionais de um fenômeno antigo, desde há muito tenta-se compreend</w:t>
      </w:r>
      <w:r w:rsidRPr="0048725C">
        <w:t>ê-lo (</w:t>
      </w:r>
      <w:r>
        <w:t>CARR, 1939/2001</w:t>
      </w:r>
      <w:r w:rsidRPr="0048725C">
        <w:t>; GONÇALVES, 2003):</w:t>
      </w:r>
    </w:p>
    <w:p w:rsidR="004D58A7" w:rsidRPr="002006E8" w:rsidRDefault="004D58A7" w:rsidP="004D58A7">
      <w:pPr>
        <w:ind w:left="2268" w:right="-1" w:firstLine="2"/>
        <w:jc w:val="both"/>
        <w:rPr>
          <w:sz w:val="20"/>
        </w:rPr>
      </w:pPr>
      <w:r w:rsidRPr="002006E8">
        <w:rPr>
          <w:sz w:val="20"/>
        </w:rPr>
        <w:t xml:space="preserve">Foi nos séculos quinto e quarto a.C. que surgiram as primeiras tentativas sérias registradas de se criar uma ciência política. Essas tentativas foram feitas independentemente na China e na Grécia. Mas nem Confúcio nem Platão, embora estivessem, evidentemente, profundamente influenciados pelas instituições políticas sob as quais viveram, tentaram realmente analisar a natureza dessas instituições, ou procuraram sublinhar as causas dos males que deploravam. (CARR, </w:t>
      </w:r>
      <w:r>
        <w:rPr>
          <w:sz w:val="20"/>
        </w:rPr>
        <w:t>1939/2001</w:t>
      </w:r>
      <w:r w:rsidRPr="002006E8">
        <w:rPr>
          <w:sz w:val="20"/>
        </w:rPr>
        <w:t>, p. 9).</w:t>
      </w:r>
    </w:p>
    <w:p w:rsidR="004D58A7" w:rsidRDefault="004D58A7" w:rsidP="004D58A7">
      <w:pPr>
        <w:spacing w:before="240" w:line="360" w:lineRule="auto"/>
        <w:ind w:right="-1"/>
        <w:jc w:val="both"/>
      </w:pPr>
      <w:r>
        <w:lastRenderedPageBreak/>
        <w:tab/>
        <w:t xml:space="preserve">Os seus desdobramentos também não passaram despercebidos aos olhos dos particulares. Banqueiros, mercadores e viajantes, dentre outros, logo perceberam vantagens na manutenção dessas relações, o que favoreceu a sua intensificação ao longo dos tempos, resultando na criação das embaixadas no século XV </w:t>
      </w:r>
      <w:r w:rsidRPr="007C2AAF">
        <w:t>(MIALHE</w:t>
      </w:r>
      <w:r w:rsidRPr="007C2AAF">
        <w:rPr>
          <w:i/>
        </w:rPr>
        <w:t>,</w:t>
      </w:r>
      <w:r w:rsidRPr="007C2AAF">
        <w:t xml:space="preserve"> 2008).</w:t>
      </w:r>
      <w:r>
        <w:t xml:space="preserve">  Com isso, durante muito tempo o fenômeno da relações internacionais foi compreendido exclusivamente como relações de vizinhança entre as nações, com grande destaque para as figuras do diplomata, do governante e de seu mecanismo de governo (MALHE, 2008), o que fez com que a História Diplomática tivesse vários pontos em comum com a História das Relações Internacionais (MERLE, 1981; SANTOS, 2005).</w:t>
      </w:r>
    </w:p>
    <w:p w:rsidR="004D58A7" w:rsidRDefault="004D58A7" w:rsidP="004D58A7">
      <w:pPr>
        <w:spacing w:line="360" w:lineRule="auto"/>
        <w:ind w:right="-1" w:firstLine="709"/>
        <w:jc w:val="both"/>
      </w:pPr>
      <w:r>
        <w:t>O século XVII na Europa foi importante tanto para as relações internacionais em si quanto para a área acadêmica que futuramente lhe faria jus. Esse século foi marcado pela derrocada da Guerra dos Trinta Anos (1618-1648), que ocasionou o desmantelamento do sistema feudal na Europa com o Tratado de Westfália, em 1648, resultando na criação dos estados nacionais modernos europeus</w:t>
      </w:r>
      <w:r w:rsidR="009142AA">
        <w:t>.</w:t>
      </w:r>
      <w:r>
        <w:t xml:space="preserve"> </w:t>
      </w:r>
      <w:r w:rsidR="009142AA">
        <w:t>I</w:t>
      </w:r>
      <w:r>
        <w:t xml:space="preserve">sto trouxe um equilíbrio de poder ao cenário, que passou a ser considerado como um sistema multipolar de poder embasado no conceito de independência e de soberania nacional, segundo o qual, o Estado era constituído na junção da figura de um príncipe, de uma estrutura política e de uma organização militar </w:t>
      </w:r>
      <w:r w:rsidRPr="001C191E">
        <w:t xml:space="preserve">(BADIE, </w:t>
      </w:r>
      <w:r>
        <w:t>2004</w:t>
      </w:r>
      <w:r w:rsidRPr="001C191E">
        <w:t>; HERZ, 1997; MERLE, 1981; JÚNIOR e MATOS, 2006).</w:t>
      </w:r>
      <w:r>
        <w:t xml:space="preserve"> </w:t>
      </w:r>
    </w:p>
    <w:p w:rsidR="004D58A7" w:rsidRDefault="004D58A7" w:rsidP="004D58A7">
      <w:pPr>
        <w:spacing w:line="360" w:lineRule="auto"/>
        <w:ind w:right="-1" w:firstLine="709"/>
        <w:jc w:val="both"/>
      </w:pPr>
      <w:r>
        <w:t xml:space="preserve">Dessa maneira, o Estado era tido como detentor de um poder supremo dentro das suas fronteiras e por isto reconhecido externamente a elas, solidificando, assim, o Princípio da Territorialidade que tanto iria influenciar as relações internacionais ao longo dos séculos quanto o faz até hodiernamente (BADIE, 2004; </w:t>
      </w:r>
      <w:r w:rsidRPr="00BB6291">
        <w:t>COLOMBO, 2007; HERZ, 1997; JÚNIOR e MATOS, 2006; RODRIGUES, 2004).</w:t>
      </w:r>
      <w:r>
        <w:t xml:space="preserve"> Diante dos conceitos apresentados, estadistas e estudiosos de então, tais como Maquiavel, Hobbes, Rousseau e Kant, passaram a dedicar-se com mais empenho à questões relacionadas à soberania, com evidência aos propósitos da paz e da guerra entre os Estados (GONÇALVES, 2003).</w:t>
      </w:r>
    </w:p>
    <w:p w:rsidR="004D58A7" w:rsidRDefault="004D58A7" w:rsidP="004D58A7">
      <w:pPr>
        <w:spacing w:line="360" w:lineRule="auto"/>
        <w:ind w:right="-1"/>
        <w:jc w:val="both"/>
      </w:pPr>
      <w:r>
        <w:tab/>
        <w:t>Como se observa, a guerra é uma questão recorrente nas relações internacionais desde a antiga Grécia, "quando Melos estava cercada pela frota da sua arqui</w:t>
      </w:r>
      <w:r w:rsidR="009142AA">
        <w:t>-</w:t>
      </w:r>
      <w:r>
        <w:t>inimiga Atenas [...]" (MINGST, 2009, p. 196), tanto que, primordialmente por essa mesma questão, logo após a tragédia da Primeira Guerra Mundial foi criada a primeira cátedra de Relações Internacionais em Aberystwyth, Inglaterra, na data de 1919.</w:t>
      </w:r>
    </w:p>
    <w:p w:rsidR="004D58A7" w:rsidRDefault="004D58A7" w:rsidP="004D58A7">
      <w:pPr>
        <w:spacing w:line="360" w:lineRule="auto"/>
        <w:ind w:right="-1"/>
        <w:jc w:val="both"/>
      </w:pPr>
      <w:r>
        <w:tab/>
        <w:t xml:space="preserve">As questões trazidas à tona pela Primeira Guerra Mundial puseram em cheque a maneira como as relações internacionais eram manejadas. Anteriormente a 1914, era comum levar em consideração, para fins bélicos, os critérios territoriais e demográficos. A Grande </w:t>
      </w:r>
      <w:r>
        <w:lastRenderedPageBreak/>
        <w:t>Guerra, no entanto, contrariou o cálculo dessas variáveis e apresentou ao mesmo tempo os vieses tecnológico, econômico e industrial, explícitos, respectivamente, nos novos tipos de armamento, como a utilização de gás venenoso que fora posteriormente proibida pela Convenção de Genebra de 1925 (HOBSBAWN, 1995/2009), dentre outros; no relacionamento direto entre economia e guerra; e na industrialização acelerada, tudo isso resultando em um alto custo humano e econômic</w:t>
      </w:r>
      <w:r w:rsidRPr="003E565C">
        <w:t>o (CRAVINHO, 2002).</w:t>
      </w:r>
      <w:r>
        <w:t xml:space="preserve"> Além disso:</w:t>
      </w:r>
    </w:p>
    <w:p w:rsidR="004D58A7" w:rsidRPr="002006E8" w:rsidRDefault="004D58A7" w:rsidP="004D58A7">
      <w:pPr>
        <w:tabs>
          <w:tab w:val="left" w:pos="2268"/>
        </w:tabs>
        <w:spacing w:after="240"/>
        <w:ind w:left="2268" w:right="-1"/>
        <w:jc w:val="both"/>
        <w:rPr>
          <w:sz w:val="20"/>
        </w:rPr>
      </w:pPr>
      <w:r w:rsidRPr="002006E8">
        <w:rPr>
          <w:sz w:val="20"/>
        </w:rPr>
        <w:t>A emergência de novos tipos de Estado, portadores de uma ideologia revolucionária, tais como a União Soviética, na Rússia, e o regime nacional-socialista, na Alemanha, transtornaram visivelmente as regras do jogo diplomático tradicional, enquanto o campo das relações internacionais abria-se para novos atores, asiáticos e americanos. A natureza dos problemas propostos, a violência gerada pelos antagonismos apagavam a outrora bem definida distinção entre os problemas internos e externos. Em resumo, a transformação das condições históricas exigia uma nova abordagem dos fenômenos internacionais. (MERLE,</w:t>
      </w:r>
      <w:r>
        <w:rPr>
          <w:sz w:val="20"/>
        </w:rPr>
        <w:t xml:space="preserve"> 1981</w:t>
      </w:r>
      <w:r w:rsidRPr="002006E8">
        <w:rPr>
          <w:sz w:val="20"/>
        </w:rPr>
        <w:t>, p. 38-9).</w:t>
      </w:r>
    </w:p>
    <w:p w:rsidR="004D58A7" w:rsidRDefault="004D58A7" w:rsidP="004D58A7">
      <w:pPr>
        <w:spacing w:line="360" w:lineRule="auto"/>
        <w:ind w:right="-1"/>
        <w:jc w:val="both"/>
      </w:pPr>
      <w:r>
        <w:tab/>
        <w:t>E foi dentro de um contexto de pós-guerra e de insuficiência do Direito Internacional, da Diplomacia e das demais ciências em explicar as causas de inúmeros conflitos ao largo do tempo (GONÇALVES, 2003), que surge a disciplina de Relações Internacionais: como um campo de estudo específico e autônomo, em resposta a uma demanda não só histórica, mas também científica e popular, com o intuito de compreender objetivamente o fenômeno das relações internacionais, dando-se, inicialmente, dadas as circunstâncias, atenção especial ao estudo dos entornos da guerra e dos possíveis modos de preveni-la (CARR, 1939/2001; CRAVINHO, 2002; GONÇALVES, 2003; HALLIDAY, 1996; MINGST, 2009; JACKSON e S</w:t>
      </w:r>
      <w:r w:rsidRPr="003B22A2">
        <w:rPr>
          <w:rStyle w:val="nfase"/>
          <w:bCs/>
          <w:shd w:val="clear" w:color="auto" w:fill="FFFFFF"/>
        </w:rPr>
        <w:t>Ø</w:t>
      </w:r>
      <w:r>
        <w:t xml:space="preserve">RENSEN, 2007; NOGUEIRA e MESSARI, 2005; </w:t>
      </w:r>
      <w:r w:rsidRPr="00694B2F">
        <w:t>RODRIGUES, 2004; SANTOS, 2005</w:t>
      </w:r>
      <w:r>
        <w:t>; SARFATI, 2007).</w:t>
      </w:r>
    </w:p>
    <w:p w:rsidR="004D58A7" w:rsidRDefault="004D58A7" w:rsidP="004D58A7">
      <w:pPr>
        <w:spacing w:line="360" w:lineRule="auto"/>
        <w:ind w:right="-1"/>
        <w:jc w:val="both"/>
      </w:pPr>
      <w:r>
        <w:tab/>
        <w:t xml:space="preserve">Diante do contexto descrito, a teoria dominante de então na disciplina de Relações Internacionais foi bastante influenciada pelas teorias liberais, não se podendo falar em uma única tradição liberal, tendo em vista os inúmeros autores que lhe dedicaram cognição, ainda assim, utilizaremos o termo no singular para tratarmos das perspectivas em comum da maioria dos seus autores  (JACKSON e </w:t>
      </w:r>
      <w:r w:rsidRPr="003B22A2">
        <w:t>SØRENSEN,</w:t>
      </w:r>
      <w:r>
        <w:t xml:space="preserve"> 2007).</w:t>
      </w:r>
    </w:p>
    <w:p w:rsidR="004D58A7" w:rsidRDefault="004D58A7" w:rsidP="004D58A7">
      <w:pPr>
        <w:spacing w:line="360" w:lineRule="auto"/>
        <w:ind w:right="-1"/>
        <w:jc w:val="both"/>
      </w:pPr>
      <w:r>
        <w:tab/>
        <w:t>Uma preocupação central entre esses autores dizia respeito à liberdade do indivíduo, reflexo das idéias iluministas que se assentavam na afirmação da capacidade dos seres humanos de fazerem o uso da razão, prescindindo das forças divinas, dos  representantes na Igreja, dos senhores feudais ou dos monarcas para tanto; destarte, as sociedades, mediante instituições norteadas pela razão humana e suas conseqüentes formulações filosóficas, morais e políticas, seriam, portanto, bem-ordenadas e autorreguladas (NOGUEIRA e MESSARI, 2005).</w:t>
      </w:r>
    </w:p>
    <w:p w:rsidR="004D58A7" w:rsidRDefault="004D58A7" w:rsidP="004D58A7">
      <w:pPr>
        <w:spacing w:after="240" w:line="360" w:lineRule="auto"/>
        <w:ind w:right="-1"/>
        <w:jc w:val="both"/>
      </w:pPr>
      <w:r>
        <w:lastRenderedPageBreak/>
        <w:tab/>
        <w:t>Em paralelo à visão política acima exposta, o Estado passa a ser observado como um mal necessário e, ao mesmo tempo, como uma potencial ameaça aos indivíduos, pois, na medida em que protege internamente os direitos dos seus, em um nível externo pode impedi-los aos demais, logo, cingindo a paz com a ocasião de guerras.</w:t>
      </w:r>
    </w:p>
    <w:p w:rsidR="004D58A7" w:rsidRPr="002006E8" w:rsidRDefault="004D58A7" w:rsidP="004D58A7">
      <w:pPr>
        <w:ind w:left="2268" w:right="-1"/>
        <w:jc w:val="both"/>
        <w:rPr>
          <w:sz w:val="20"/>
        </w:rPr>
      </w:pPr>
      <w:r w:rsidRPr="002006E8">
        <w:rPr>
          <w:sz w:val="20"/>
        </w:rPr>
        <w:t xml:space="preserve">O filósofo alemão Immanuel Kant afirmava ser a guerra "o esporte dos reis", pois eles a praticavam quase como um passatempo inerente ao exercício da sua função, sem considerações maiores sobre suas conseqüências para os súditos, que eram chamados a contribuir com sangue e dinheiro para o esforço de guerra. </w:t>
      </w:r>
    </w:p>
    <w:p w:rsidR="004D58A7" w:rsidRPr="002006E8" w:rsidRDefault="004D58A7" w:rsidP="004D58A7">
      <w:pPr>
        <w:ind w:left="2268" w:right="-1"/>
        <w:jc w:val="both"/>
        <w:rPr>
          <w:sz w:val="20"/>
        </w:rPr>
      </w:pPr>
      <w:r w:rsidRPr="002006E8">
        <w:rPr>
          <w:sz w:val="20"/>
        </w:rPr>
        <w:t>[...]</w:t>
      </w:r>
    </w:p>
    <w:p w:rsidR="004D58A7" w:rsidRPr="002006E8" w:rsidRDefault="004D58A7" w:rsidP="004D58A7">
      <w:pPr>
        <w:spacing w:after="240"/>
        <w:ind w:left="2268" w:right="-1"/>
        <w:jc w:val="both"/>
        <w:rPr>
          <w:sz w:val="20"/>
        </w:rPr>
      </w:pPr>
      <w:r w:rsidRPr="002006E8">
        <w:rPr>
          <w:sz w:val="20"/>
        </w:rPr>
        <w:t xml:space="preserve">No que concerne à natureza conflituosa da anarquia que caracteriza o sistema internacional, os liberais tendem a concordar com os realistas. Uma sociedade sem governo dá lugar a discórdias incessantes entre interesses divergentes. Uma das características que diferenciam a </w:t>
      </w:r>
      <w:r w:rsidRPr="001F51D5">
        <w:rPr>
          <w:sz w:val="20"/>
        </w:rPr>
        <w:t>tradição liberal, contudo, é a não-aceitação dessa condição como imutável. (NOGUEIRA e MESSARI, 2005, p. 61).</w:t>
      </w:r>
    </w:p>
    <w:p w:rsidR="004D58A7" w:rsidRDefault="004D58A7" w:rsidP="004D58A7">
      <w:pPr>
        <w:spacing w:line="360" w:lineRule="auto"/>
        <w:ind w:right="-1"/>
        <w:jc w:val="both"/>
      </w:pPr>
      <w:r>
        <w:tab/>
        <w:t>Influenciados pelas teses kantianas, os liberais acreditavam na superação desse estado latente de anarquia mediante o uso da cooperação, o que promoveria a paz entre as nações através do livre-comércio, da democracia e das instituições internacionais.</w:t>
      </w:r>
      <w:r w:rsidRPr="00FC4DF7">
        <w:t xml:space="preserve"> </w:t>
      </w:r>
      <w:r>
        <w:t>Essa crença no pensamento liberal levou à criação de diversos mecanismos de cooperação, ademais do fortalecimento do direito internacional com a multiplicação das normas, das práticas e das estruturas jurídicas nas relações entre os Estados (NOGUEIRA e MESSARI, 2005).</w:t>
      </w:r>
    </w:p>
    <w:p w:rsidR="004D58A7" w:rsidRDefault="004D58A7" w:rsidP="004D58A7">
      <w:pPr>
        <w:spacing w:line="360" w:lineRule="auto"/>
        <w:ind w:right="-1"/>
        <w:jc w:val="both"/>
      </w:pPr>
      <w:r>
        <w:tab/>
        <w:t xml:space="preserve">Os esforços da tradição liberal, baseados na conjugação dos interesses entre as nações, dada ênfase no Tratado de Versalhes de 1919 e na Liga das Nações, contudo, não impediram uma nova guerra. Um cenário de fragilidade econômica somado a uma flagrante disparidade de condições entre vencedores e perdedores da Grande Guerra, impostas pelo que ficou conhecido como Tratado de Versalhes, além da recusa pelo Congresso dos EUA à ratificação da Liga das Nações, justamente por parte do país chefiado pelo mentor da instituição (HOBSBAWN, 1995/2009), resultou em fortes substratos para o que viria a abalar a credibilidade das correntes liberais: a eclosão, em 1939, da catastrófica Segunda Guerra Mundial. </w:t>
      </w:r>
    </w:p>
    <w:p w:rsidR="004D58A7" w:rsidRDefault="004D58A7" w:rsidP="004D58A7">
      <w:pPr>
        <w:spacing w:line="360" w:lineRule="auto"/>
        <w:ind w:right="-1"/>
        <w:jc w:val="both"/>
      </w:pPr>
      <w:r>
        <w:tab/>
        <w:t xml:space="preserve">Fortemente influenciados por uma nova guerra mundial, ainda mais devastadora que a primeira, estudiosos se empenharam em compreender o fracasso do pensamento liberal e em reforçar a disciplina de Relações Internacionais. Para tanto, buscaram compreender o cenário internacional a partir de autores como Hobbes, Maquiavel e Tucídides, observando neles as premissas comuns e centrais do que viria a fazer parte de um dos principais paradigmas teóricos da academia até os dias hodiernos: a teoria realista (JACKSON e </w:t>
      </w:r>
      <w:r w:rsidRPr="003B22A2">
        <w:t>SØRENSEN</w:t>
      </w:r>
      <w:r>
        <w:t>, 2007; NOGUEIRA e MESSARI, 2005).</w:t>
      </w:r>
    </w:p>
    <w:p w:rsidR="004D58A7" w:rsidRDefault="004D58A7" w:rsidP="004D58A7">
      <w:pPr>
        <w:spacing w:line="360" w:lineRule="auto"/>
        <w:ind w:right="-1"/>
        <w:jc w:val="both"/>
      </w:pPr>
      <w:r>
        <w:lastRenderedPageBreak/>
        <w:tab/>
        <w:t xml:space="preserve">As premissas centrais encontradas nas releituras de Tucídides, Maquiavel e Hobbes dizem respeito à ideia de estado de natureza, ao conceito de anarquia internacional e à importância dada ao Estado, que teria como principal objetivo a manutenção de seu </w:t>
      </w:r>
      <w:r>
        <w:rPr>
          <w:i/>
        </w:rPr>
        <w:t xml:space="preserve">status </w:t>
      </w:r>
      <w:r w:rsidRPr="00586D1E">
        <w:rPr>
          <w:i/>
        </w:rPr>
        <w:t>quo</w:t>
      </w:r>
      <w:r>
        <w:t xml:space="preserve"> e a sua sobrevivência (NOGUEIRA e MESSARI, 2005). O conceito de estado de natureza assenta-se no entendimento de que o medo, o prestígio e a ambição seriam características inerentes à natureza humana que definiriam preponderantemente a atuação dos Estados no sistema internacional; esse conceito foi comparado pelos realistas com o conceito de anarquia internacional, segundo o qual seria impossível o estabelecimento de um Leviatã a nível mundial nos mesmos moldes em que o mesmo é erigido em plano nacional (NOGUEIRA e MESSARI, 2005). </w:t>
      </w:r>
    </w:p>
    <w:p w:rsidR="004D58A7" w:rsidRDefault="004D58A7" w:rsidP="004D58A7">
      <w:pPr>
        <w:spacing w:line="360" w:lineRule="auto"/>
        <w:ind w:right="-1"/>
        <w:jc w:val="both"/>
      </w:pPr>
      <w:r>
        <w:tab/>
        <w:t>Desse modo, manteve-se a concepção, pelos realistas, de que o exercício do poder no âmbito externo separava-se do poder interno, não havendo que confundi-los, para a consideração dos modos pelos quais dá-se o funcionamento do Estado, o que o reiterou nos moldes westfalianos com a manutenção da consubstancialização dos princípios de territorialidade e da soberania na figura do poder estatal, que permaneceu central às discussões na academia  (BADIE, 2004).</w:t>
      </w:r>
    </w:p>
    <w:p w:rsidR="004D58A7" w:rsidRDefault="004D58A7" w:rsidP="004D58A7">
      <w:pPr>
        <w:spacing w:line="360" w:lineRule="auto"/>
        <w:ind w:right="-1"/>
        <w:jc w:val="both"/>
      </w:pPr>
      <w:r>
        <w:tab/>
        <w:t xml:space="preserve">Com o fim da Segunda Guerra Mundial e o subseqüente cenário bipolar mundial devido à tensão entre os EUA e </w:t>
      </w:r>
      <w:r w:rsidRPr="00BB6291">
        <w:t>a União Soviética (URSS) durante</w:t>
      </w:r>
      <w:r>
        <w:t xml:space="preserve"> a Guerra Fria, novas correntes ganharam destaque no campo acadêmico das Relações Internacionais, tais como as correntes marxistas, behavioristas, a retomada dos debates de realistas </w:t>
      </w:r>
      <w:r>
        <w:rPr>
          <w:i/>
        </w:rPr>
        <w:t xml:space="preserve">versus </w:t>
      </w:r>
      <w:r>
        <w:t>idealistas, dentre outros; de todas, porém, importará ao presente estudo salientar a importância do pós-positivismo, pelos motivos que veremos adiante.</w:t>
      </w:r>
    </w:p>
    <w:p w:rsidR="004D58A7" w:rsidRDefault="004D58A7" w:rsidP="004D58A7">
      <w:pPr>
        <w:spacing w:line="360" w:lineRule="auto"/>
        <w:ind w:right="-1"/>
        <w:jc w:val="both"/>
      </w:pPr>
      <w:r>
        <w:tab/>
        <w:t>A maneira inesperada com que se deram os confrontos entre os EUA e a URSS e como estes findaram, sem a ocorrência de uma guerra nuclear, não foi previsto pela corrente realista, ademais, o considerável aumento dos fluxos transnacionais de bens materiais, financeiros e culturais, e a insurgência de inúmeros conflitos étnicos fizeram com que as teorias tradicionais da disciplina não mais pudessem responder satisfatoriamente as novas problemáticas do cenário internacional (CAMPOS, 2010; FERREIRA, 2008; HERZ, 1997), se não novas, no mínimo não percebidas.</w:t>
      </w:r>
      <w:r>
        <w:tab/>
      </w:r>
    </w:p>
    <w:p w:rsidR="004D58A7" w:rsidRDefault="004D58A7" w:rsidP="004D58A7">
      <w:pPr>
        <w:ind w:left="2268" w:right="-1"/>
        <w:jc w:val="both"/>
        <w:rPr>
          <w:sz w:val="20"/>
        </w:rPr>
      </w:pPr>
      <w:r w:rsidRPr="00346789">
        <w:rPr>
          <w:sz w:val="20"/>
        </w:rPr>
        <w:t xml:space="preserve"> Ademais, a própria percepção do Estado como o único garantidor de segurança para seus cidadãos passou a ser vista com desconfiança diante dos freqüentes ataques que esses atores perpetravam contra seus povos. A evidência de articulações identitárias de caráter étnico, religioso e cultural, apontou para a importância de aspectos ideacionais, que não faziam parte do corpo analítico das teorias tradicionais de R.I..</w:t>
      </w:r>
    </w:p>
    <w:p w:rsidR="004D58A7" w:rsidRDefault="004D58A7" w:rsidP="004D58A7">
      <w:pPr>
        <w:ind w:left="2268" w:right="-1"/>
        <w:jc w:val="both"/>
        <w:rPr>
          <w:sz w:val="20"/>
        </w:rPr>
      </w:pPr>
      <w:r w:rsidRPr="00346789">
        <w:rPr>
          <w:sz w:val="20"/>
        </w:rPr>
        <w:t>[...]</w:t>
      </w:r>
    </w:p>
    <w:p w:rsidR="004D58A7" w:rsidRDefault="004D58A7" w:rsidP="004D58A7">
      <w:pPr>
        <w:spacing w:after="240"/>
        <w:ind w:left="2268" w:right="-1"/>
        <w:jc w:val="both"/>
        <w:rPr>
          <w:sz w:val="20"/>
        </w:rPr>
      </w:pPr>
      <w:r w:rsidRPr="00346789">
        <w:rPr>
          <w:sz w:val="20"/>
        </w:rPr>
        <w:lastRenderedPageBreak/>
        <w:t>Por certo as identidades já moldavam a política internacional antes desse momento histórico, como bem demonstra o caso do genocídio dos armênios e o Holocausto, por exemplo. (</w:t>
      </w:r>
      <w:r>
        <w:rPr>
          <w:sz w:val="20"/>
        </w:rPr>
        <w:t>CAMP</w:t>
      </w:r>
      <w:r w:rsidRPr="003576C3">
        <w:rPr>
          <w:sz w:val="20"/>
        </w:rPr>
        <w:t>OS, 2010, p. 27-8).</w:t>
      </w:r>
    </w:p>
    <w:p w:rsidR="004D58A7" w:rsidRDefault="004D58A7" w:rsidP="004D58A7">
      <w:pPr>
        <w:tabs>
          <w:tab w:val="left" w:pos="709"/>
        </w:tabs>
        <w:spacing w:line="360" w:lineRule="auto"/>
        <w:ind w:right="-1"/>
        <w:jc w:val="both"/>
      </w:pPr>
      <w:r>
        <w:tab/>
        <w:t xml:space="preserve">O Construtivismo atentou para a consideração do cenário internacional não como predeterminado, como assume a corrente realista, mas construído de forma mútua, em um processo de interação entre agentes e estrutura (TICKNER, 2001), ao que o autor Alexander Wendt </w:t>
      </w:r>
      <w:r>
        <w:rPr>
          <w:i/>
        </w:rPr>
        <w:t xml:space="preserve">apud </w:t>
      </w:r>
      <w:r>
        <w:t>Tickner (2001, p. 46</w:t>
      </w:r>
      <w:r w:rsidRPr="004423C6">
        <w:t>) arremata com sua máxima de que “a anarquia é o que os Estados fazem dela”</w:t>
      </w:r>
      <w:r w:rsidRPr="004423C6">
        <w:rPr>
          <w:rStyle w:val="Refdenotaderodap"/>
        </w:rPr>
        <w:footnoteReference w:id="3"/>
      </w:r>
      <w:r w:rsidRPr="004423C6">
        <w:t>, ou seja</w:t>
      </w:r>
      <w:r>
        <w:t xml:space="preserve">, a anarquia associada como inerente ao cenário internacional não seria predeterminada como pretendem os realistas, mas construída. </w:t>
      </w:r>
    </w:p>
    <w:p w:rsidR="004D58A7" w:rsidRDefault="004D58A7" w:rsidP="004D58A7">
      <w:pPr>
        <w:tabs>
          <w:tab w:val="left" w:pos="709"/>
        </w:tabs>
        <w:spacing w:line="360" w:lineRule="auto"/>
        <w:ind w:right="-1"/>
        <w:jc w:val="both"/>
      </w:pPr>
      <w:r>
        <w:tab/>
        <w:t xml:space="preserve">Nicholas Onuf, influenciado pela virada linguística, traz a questão da análise da fala e dos discursos para o âmbito de estudo das relações internacionais, sob a concepção de que as regras, tais quais as vemos no cenário internacional, são construídas de acordo com nossa linguagem (MONTE, 2010). consoante Onuf </w:t>
      </w:r>
      <w:r>
        <w:rPr>
          <w:i/>
        </w:rPr>
        <w:t xml:space="preserve">apud </w:t>
      </w:r>
      <w:r>
        <w:t>Monte (2010, p. 30), “</w:t>
      </w:r>
      <w:r w:rsidRPr="00647692">
        <w:rPr>
          <w:i/>
        </w:rPr>
        <w:t>o realismo nunca afirmou a primazia de armas sobre bens, ou boas ações. Ele afirmou a primazia das vozes que falam pela guerra, pela necessidade de armas, proteção de bens e do absurdo de boas ações em um mundo de adversidade</w:t>
      </w:r>
      <w:r>
        <w:t xml:space="preserve">”. Logo, o construtivismo nega uma ontologia anterior à estrutura e ao agente, abrindo espaço para o feminismo nas Relações Internacionais. </w:t>
      </w:r>
      <w:r>
        <w:tab/>
      </w:r>
    </w:p>
    <w:p w:rsidR="004D58A7" w:rsidRDefault="004D58A7" w:rsidP="004D58A7">
      <w:pPr>
        <w:tabs>
          <w:tab w:val="left" w:pos="709"/>
        </w:tabs>
        <w:spacing w:line="360" w:lineRule="auto"/>
        <w:ind w:right="-1"/>
        <w:jc w:val="both"/>
      </w:pPr>
      <w:r>
        <w:tab/>
        <w:t xml:space="preserve">Uma das primeiras contribuições feministas foi a denúncia da exclusão da mulher no discurso teórico desse campo de estudo (SARFATI, 2005), outra foi tornar possível as discussões acerca da identidade e incluir o gênero como categoria de análise e interpretação (NOGUEIRA e MESSARI, 2005), possibilitando, assim, a apreciação e a análise dos temas relacionados à mulher. </w:t>
      </w:r>
    </w:p>
    <w:p w:rsidR="004D58A7" w:rsidRPr="000E042D" w:rsidRDefault="004D58A7" w:rsidP="004D58A7">
      <w:pPr>
        <w:tabs>
          <w:tab w:val="left" w:pos="709"/>
        </w:tabs>
        <w:spacing w:after="240" w:line="360" w:lineRule="auto"/>
        <w:ind w:right="-1"/>
        <w:jc w:val="both"/>
      </w:pPr>
      <w:r>
        <w:tab/>
        <w:t>Dentre os temas despontados sob o olhar feminista nas Relações Internacionais, antes marginalizados, sobressai-se, para fins deste estudo, a utilização sistemática do estupro de mulheres como estratégia e arma de guerra, o que veremos mais amiúde na próxima seção.</w:t>
      </w:r>
    </w:p>
    <w:p w:rsidR="004D58A7" w:rsidRPr="000E042D" w:rsidRDefault="004D58A7" w:rsidP="004D58A7">
      <w:pPr>
        <w:pStyle w:val="PargrafodaLista"/>
        <w:numPr>
          <w:ilvl w:val="0"/>
          <w:numId w:val="2"/>
        </w:numPr>
        <w:spacing w:after="240"/>
        <w:ind w:left="0" w:right="-469" w:hanging="11"/>
        <w:rPr>
          <w:b/>
        </w:rPr>
      </w:pPr>
      <w:r>
        <w:rPr>
          <w:b/>
        </w:rPr>
        <w:t>BREVE COMPÊNDIO SOBRE O ESTUPRO DE MULHERES EM TEMPOS DE GUERRA</w:t>
      </w:r>
    </w:p>
    <w:p w:rsidR="004D58A7" w:rsidRDefault="004D58A7" w:rsidP="004D58A7">
      <w:pPr>
        <w:spacing w:line="360" w:lineRule="auto"/>
        <w:ind w:firstLine="567"/>
        <w:jc w:val="both"/>
      </w:pPr>
      <w:r>
        <w:t>O estupro em tempos de guerra não é uma prática recente, muito pelo contrário. Há evidências de sua ocorrência desde os tempos mais antigos, o que ajuda a perpetuar o caráter d</w:t>
      </w:r>
      <w:r w:rsidRPr="003D50E0">
        <w:t>e normalidade</w:t>
      </w:r>
      <w:r>
        <w:t xml:space="preserve"> desses </w:t>
      </w:r>
      <w:r w:rsidRPr="005D4D61">
        <w:t>eventos, que até hoje continuam acontecendo.</w:t>
      </w:r>
      <w:r>
        <w:t xml:space="preserve"> Na literatura e na arte podem ser encontrados diversos exemplos do estupro como arma de guerra, o que vem a confirmar a sua antiguidade. </w:t>
      </w:r>
    </w:p>
    <w:p w:rsidR="004D58A7" w:rsidRDefault="004D58A7" w:rsidP="004D58A7">
      <w:pPr>
        <w:spacing w:line="360" w:lineRule="auto"/>
        <w:ind w:firstLine="567"/>
        <w:jc w:val="both"/>
      </w:pPr>
      <w:r>
        <w:lastRenderedPageBreak/>
        <w:t>No Velho Testamento da Bíblia (AYDELOTT, 1993; AZEVEDO, 2014; FINGER, 2013) é possível encontrar referências à prática forçosa do ato sexual contra a mulher em tempos conflituosos no Livro das Lamentações, 5: 11; em Isaías, 13: 15 e 13: 16; e Zacarias, 14: 2. No quinto dos cinco poemas que compõem o Livro Bíblico das Lamentações, o ato sexual sem o consentimento da mulher aparece como um dos opróbrios que assolaram a cidade de Jerusalém no ano de 586 a.C, quando fora devastada: “</w:t>
      </w:r>
      <w:r w:rsidRPr="00CA3155">
        <w:rPr>
          <w:i/>
        </w:rPr>
        <w:t>forçaram as mulheres em Sião; as virgens, nas cidades de Judá</w:t>
      </w:r>
      <w:r w:rsidRPr="00D4391C">
        <w:t>” (BÍBLIA, Lamentações, 5:</w:t>
      </w:r>
      <w:r>
        <w:t xml:space="preserve"> </w:t>
      </w:r>
      <w:r w:rsidRPr="00D4391C">
        <w:t>11, p. 819).</w:t>
      </w:r>
      <w:r>
        <w:t xml:space="preserve">  </w:t>
      </w:r>
    </w:p>
    <w:p w:rsidR="004D58A7" w:rsidRDefault="004D58A7" w:rsidP="004D58A7">
      <w:pPr>
        <w:spacing w:line="360" w:lineRule="auto"/>
        <w:ind w:firstLine="567"/>
        <w:jc w:val="both"/>
      </w:pPr>
      <w:r>
        <w:t>Mais uma vez, tem-se, no Livro de Isaías, versículo 13-5, a utilização do estupro como meio pelo qual “</w:t>
      </w:r>
      <w:r w:rsidRPr="00CA3155">
        <w:rPr>
          <w:i/>
        </w:rPr>
        <w:t>vêm de um país remoto, desde a extremidade do céu, o Senhor e os instrumentos da sua indignação, para destruir toda a terra</w:t>
      </w:r>
      <w:r w:rsidRPr="000E4209">
        <w:t>” (BÍBLIA, Isaías, 13:</w:t>
      </w:r>
      <w:r>
        <w:t xml:space="preserve"> </w:t>
      </w:r>
      <w:r w:rsidRPr="0037602B">
        <w:t>5</w:t>
      </w:r>
      <w:r>
        <w:t>, p. 705</w:t>
      </w:r>
      <w:r w:rsidRPr="0037602B">
        <w:t>),</w:t>
      </w:r>
      <w:r>
        <w:t xml:space="preserve"> castigada por causa da sua maldade e perversão, por isso devendo ser esmagadas suas crianças, saqueadas suas casas, e suas mulheres, violadas (BÍBLIA, Isaías, 13: 16, p. 706). Da mesma maneira, em Zacarias, quando do juízo sobre Jerusalém, prevê-se que no Dia do Senhor, “</w:t>
      </w:r>
      <w:r w:rsidRPr="00CA3155">
        <w:rPr>
          <w:i/>
        </w:rPr>
        <w:t>a cidade será tomada, e as casas serão saqueadas, e as mulheres, forçadas</w:t>
      </w:r>
      <w:r w:rsidRPr="0037602B">
        <w:rPr>
          <w:b/>
        </w:rPr>
        <w:t xml:space="preserve">” </w:t>
      </w:r>
      <w:r w:rsidRPr="0037602B">
        <w:t xml:space="preserve">(BÍBLIA, </w:t>
      </w:r>
      <w:r>
        <w:t>Zacarias, 14: 2, p. 941</w:t>
      </w:r>
      <w:r w:rsidRPr="0037602B">
        <w:t>).</w:t>
      </w:r>
    </w:p>
    <w:p w:rsidR="004D58A7" w:rsidRDefault="004D58A7" w:rsidP="004D58A7">
      <w:pPr>
        <w:spacing w:line="360" w:lineRule="auto"/>
        <w:ind w:firstLine="709"/>
        <w:jc w:val="both"/>
      </w:pPr>
      <w:r>
        <w:t>Em trecho do livro da obra “A Ilíada”, de Homero, é possível perceber a utilização das troianas como recompensa de guerra e ao mesmo tempo (AYDELOTT, 1993; MOORE, 2010), como uma maneira de vingar o rapto de Helena, humilhando os troianos:</w:t>
      </w:r>
    </w:p>
    <w:p w:rsidR="004D58A7" w:rsidRPr="00A35922" w:rsidRDefault="004D58A7" w:rsidP="004D58A7">
      <w:pPr>
        <w:pStyle w:val="Textodecomentrio"/>
        <w:ind w:left="2268"/>
      </w:pPr>
      <w:r w:rsidRPr="00A35922">
        <w:t>Ele anuiu, no dia em que embarcamos</w:t>
      </w:r>
    </w:p>
    <w:p w:rsidR="004D58A7" w:rsidRPr="00A35922" w:rsidRDefault="004D58A7" w:rsidP="004D58A7">
      <w:pPr>
        <w:pStyle w:val="Textodecomentrio"/>
        <w:ind w:left="2268"/>
      </w:pPr>
      <w:r w:rsidRPr="00A35922">
        <w:t>De Ílio trazendo o fado em naus veleiras,</w:t>
      </w:r>
    </w:p>
    <w:p w:rsidR="004D58A7" w:rsidRPr="00A35922" w:rsidRDefault="004D58A7" w:rsidP="004D58A7">
      <w:pPr>
        <w:pStyle w:val="Textodecomentrio"/>
        <w:ind w:left="2268"/>
      </w:pPr>
      <w:r w:rsidRPr="00A35922">
        <w:t>E à destra fulgurou, propício agouro.</w:t>
      </w:r>
    </w:p>
    <w:p w:rsidR="004D58A7" w:rsidRPr="00A35922" w:rsidRDefault="004D58A7" w:rsidP="004D58A7">
      <w:pPr>
        <w:pStyle w:val="Textodecomentrio"/>
        <w:ind w:left="2268"/>
        <w:rPr>
          <w:b/>
        </w:rPr>
      </w:pPr>
      <w:r w:rsidRPr="00A35922">
        <w:rPr>
          <w:b/>
        </w:rPr>
        <w:t>Com a esposa de um Teucro antes que durma,</w:t>
      </w:r>
    </w:p>
    <w:p w:rsidR="004D58A7" w:rsidRPr="00A35922" w:rsidRDefault="004D58A7" w:rsidP="004D58A7">
      <w:pPr>
        <w:pStyle w:val="Textodecomentrio"/>
        <w:ind w:left="2268"/>
      </w:pPr>
      <w:r w:rsidRPr="00A35922">
        <w:rPr>
          <w:b/>
        </w:rPr>
        <w:t>Rapto e mágoas de Helena assim vingando</w:t>
      </w:r>
      <w:r w:rsidRPr="00A35922">
        <w:t>,</w:t>
      </w:r>
    </w:p>
    <w:p w:rsidR="004D58A7" w:rsidRPr="00A35922" w:rsidRDefault="004D58A7" w:rsidP="004D58A7">
      <w:pPr>
        <w:pStyle w:val="Textodecomentrio"/>
        <w:ind w:left="2268"/>
      </w:pPr>
      <w:r w:rsidRPr="00A35922">
        <w:t>Nenhum se apresse; e quem, da fuga amigo,</w:t>
      </w:r>
    </w:p>
    <w:p w:rsidR="004D58A7" w:rsidRPr="00A35922" w:rsidRDefault="004D58A7" w:rsidP="004D58A7">
      <w:pPr>
        <w:pStyle w:val="Textodecomentrio"/>
        <w:ind w:left="2268"/>
      </w:pPr>
      <w:r w:rsidRPr="00A35922">
        <w:t>De crenado baixel tocar nos bancos,</w:t>
      </w:r>
    </w:p>
    <w:p w:rsidR="004D58A7" w:rsidRPr="00A35922" w:rsidRDefault="004D58A7" w:rsidP="004D58A7">
      <w:pPr>
        <w:spacing w:after="240"/>
        <w:ind w:left="2268"/>
        <w:jc w:val="both"/>
        <w:rPr>
          <w:color w:val="000000"/>
          <w:sz w:val="20"/>
          <w:szCs w:val="20"/>
        </w:rPr>
      </w:pPr>
      <w:r w:rsidRPr="00A35922">
        <w:rPr>
          <w:sz w:val="20"/>
          <w:szCs w:val="20"/>
        </w:rPr>
        <w:t xml:space="preserve">O mortal trago provará primeiro. </w:t>
      </w:r>
      <w:r w:rsidRPr="00A35922">
        <w:rPr>
          <w:color w:val="000000"/>
          <w:sz w:val="20"/>
          <w:szCs w:val="20"/>
        </w:rPr>
        <w:t>(HO</w:t>
      </w:r>
      <w:r w:rsidRPr="00D150D0">
        <w:rPr>
          <w:color w:val="000000"/>
          <w:sz w:val="20"/>
          <w:szCs w:val="20"/>
        </w:rPr>
        <w:t xml:space="preserve">MERO, 2003, p. 68). </w:t>
      </w:r>
      <w:r w:rsidRPr="00A35922">
        <w:rPr>
          <w:color w:val="000000"/>
          <w:sz w:val="20"/>
          <w:szCs w:val="20"/>
        </w:rPr>
        <w:t>(Grifo da autora)</w:t>
      </w:r>
      <w:r>
        <w:rPr>
          <w:color w:val="000000"/>
          <w:sz w:val="20"/>
          <w:szCs w:val="20"/>
        </w:rPr>
        <w:t>.</w:t>
      </w:r>
    </w:p>
    <w:p w:rsidR="004D58A7" w:rsidRDefault="004D58A7" w:rsidP="004D58A7">
      <w:pPr>
        <w:spacing w:line="360" w:lineRule="auto"/>
        <w:jc w:val="both"/>
      </w:pPr>
      <w:r>
        <w:tab/>
      </w:r>
      <w:r w:rsidRPr="00A361A0">
        <w:t>Utilizando-se d</w:t>
      </w:r>
      <w:r w:rsidRPr="009D52C7">
        <w:t>o mesmo context</w:t>
      </w:r>
      <w:r>
        <w:t xml:space="preserve">o, </w:t>
      </w:r>
      <w:r w:rsidRPr="009D52C7">
        <w:t>Eur</w:t>
      </w:r>
      <w:r>
        <w:t>ípedes escreve “As Troianas”, tragédia datada de 401 a.C e que aborda os sofrimentos do lado perdedor do conflito, sobressaindo-se o destino de Cassandra, filha de Hécuba e Príamo, reis de Tróia. Na peça, a sacerdotisa é levada para Agamêmnon como parte dos bens oriundos da guerra.</w:t>
      </w:r>
    </w:p>
    <w:p w:rsidR="004D58A7" w:rsidRDefault="004D58A7" w:rsidP="004D58A7">
      <w:pPr>
        <w:pStyle w:val="Textodenotaderodap"/>
        <w:ind w:left="2268"/>
      </w:pPr>
      <w:r w:rsidRPr="007712B3">
        <w:t xml:space="preserve">HÉCUBA: A quem servirá cada uma? </w:t>
      </w:r>
      <w:r>
        <w:t>Quem será o dono da minha filha? Dize, quem será o dono da mísera Cassandra?</w:t>
      </w:r>
      <w:r>
        <w:br/>
        <w:t>TALTÍBIO: Escolheu-a para si o rei Agamêmnon.</w:t>
      </w:r>
      <w:r>
        <w:br/>
        <w:t>HÉCUBA: Para ser escrava de sua esposa?</w:t>
      </w:r>
    </w:p>
    <w:p w:rsidR="004D58A7" w:rsidRPr="008D7C37" w:rsidRDefault="004D58A7" w:rsidP="004D58A7">
      <w:pPr>
        <w:pStyle w:val="Textodenotaderodap"/>
        <w:spacing w:after="240"/>
        <w:ind w:left="2268"/>
      </w:pPr>
      <w:r>
        <w:t xml:space="preserve">TALTÍBIO: Não; para secretamente acompanhá-lo em seu leito. </w:t>
      </w:r>
      <w:r w:rsidRPr="000F0E76">
        <w:rPr>
          <w:szCs w:val="28"/>
          <w:lang w:val="es-ES"/>
        </w:rPr>
        <w:t xml:space="preserve">(EURÍPEDES, </w:t>
      </w:r>
      <w:r>
        <w:rPr>
          <w:szCs w:val="28"/>
          <w:lang w:val="es-ES"/>
        </w:rPr>
        <w:t>[S</w:t>
      </w:r>
      <w:r w:rsidRPr="000F0E76">
        <w:rPr>
          <w:szCs w:val="28"/>
          <w:lang w:val="es-ES"/>
        </w:rPr>
        <w:t>.d.</w:t>
      </w:r>
      <w:r>
        <w:rPr>
          <w:szCs w:val="28"/>
          <w:lang w:val="es-ES"/>
        </w:rPr>
        <w:t>]</w:t>
      </w:r>
      <w:r w:rsidRPr="000F0E76">
        <w:rPr>
          <w:szCs w:val="28"/>
          <w:lang w:val="es-ES"/>
        </w:rPr>
        <w:t>, p. 12)</w:t>
      </w:r>
      <w:r>
        <w:rPr>
          <w:szCs w:val="28"/>
        </w:rPr>
        <w:t>.</w:t>
      </w:r>
      <w:r>
        <w:rPr>
          <w:rStyle w:val="Refdenotaderodap"/>
        </w:rPr>
        <w:footnoteReference w:id="4"/>
      </w:r>
    </w:p>
    <w:p w:rsidR="004D58A7" w:rsidRDefault="004D58A7" w:rsidP="004D58A7">
      <w:pPr>
        <w:tabs>
          <w:tab w:val="left" w:pos="709"/>
        </w:tabs>
        <w:spacing w:line="360" w:lineRule="auto"/>
        <w:jc w:val="both"/>
        <w:rPr>
          <w:szCs w:val="20"/>
        </w:rPr>
      </w:pPr>
      <w:r>
        <w:rPr>
          <w:szCs w:val="20"/>
        </w:rPr>
        <w:lastRenderedPageBreak/>
        <w:tab/>
        <w:t xml:space="preserve">A menção a essas nos servem como uma grande indicação da condição subalterna da mulher nos tempos de guerra, muitas vezes reduzida a ser despojo ou prêmio </w:t>
      </w:r>
      <w:r w:rsidRPr="00546332">
        <w:rPr>
          <w:szCs w:val="20"/>
        </w:rPr>
        <w:t xml:space="preserve">de guerra </w:t>
      </w:r>
      <w:r w:rsidRPr="00546332">
        <w:t>(</w:t>
      </w:r>
      <w:r>
        <w:t xml:space="preserve">AYDELOTT, 1993; </w:t>
      </w:r>
      <w:r w:rsidRPr="00546332">
        <w:t>NÓLIBO</w:t>
      </w:r>
      <w:r>
        <w:t xml:space="preserve">S, 2006; VILHENA e ZAMORA, 2004), condição que se respalda nos tempos de paz. Shakespeare, por sua vez,  em "O Estupro de Lucrécia", explicita o caráter desonroso atribuído </w:t>
      </w:r>
      <w:r>
        <w:rPr>
          <w:szCs w:val="20"/>
        </w:rPr>
        <w:t xml:space="preserve">à mulher vítima de coação sexual indesejada. </w:t>
      </w:r>
    </w:p>
    <w:p w:rsidR="004D58A7" w:rsidRPr="00E216C4" w:rsidRDefault="004D58A7" w:rsidP="004D58A7">
      <w:pPr>
        <w:tabs>
          <w:tab w:val="left" w:pos="709"/>
        </w:tabs>
        <w:spacing w:after="240"/>
        <w:ind w:left="2268"/>
        <w:jc w:val="both"/>
      </w:pPr>
      <w:r w:rsidRPr="00661AFC">
        <w:rPr>
          <w:sz w:val="20"/>
          <w:szCs w:val="20"/>
        </w:rPr>
        <w:t>O assédio sexual é descrito com imagens guerreiras. A mão do agressor é comparada a um “rude aríete” ─</w:t>
      </w:r>
      <w:r>
        <w:rPr>
          <w:sz w:val="20"/>
          <w:szCs w:val="20"/>
        </w:rPr>
        <w:t xml:space="preserve"> </w:t>
      </w:r>
      <w:r w:rsidRPr="00661AFC">
        <w:rPr>
          <w:sz w:val="20"/>
          <w:szCs w:val="20"/>
        </w:rPr>
        <w:t>transparente imagem fálica─ arremessado contra a “muralha de marfim” da “pobre cidadã”. O aríete tenta “abrir uma brecha para entrar na doce cidadela”, enquant</w:t>
      </w:r>
      <w:r>
        <w:rPr>
          <w:sz w:val="20"/>
          <w:szCs w:val="20"/>
        </w:rPr>
        <w:t xml:space="preserve">o a língua, como “uma trombeta, </w:t>
      </w:r>
      <w:r w:rsidRPr="00661AFC">
        <w:rPr>
          <w:sz w:val="20"/>
          <w:szCs w:val="20"/>
        </w:rPr>
        <w:t>busca parlamentar com</w:t>
      </w:r>
      <w:r>
        <w:rPr>
          <w:sz w:val="20"/>
          <w:szCs w:val="20"/>
        </w:rPr>
        <w:t xml:space="preserve"> o inimigo insensível</w:t>
      </w:r>
      <w:r w:rsidRPr="00C32812">
        <w:rPr>
          <w:sz w:val="20"/>
          <w:szCs w:val="20"/>
        </w:rPr>
        <w:t>”. (OLIVEIRA, 2008, p. 235)</w:t>
      </w:r>
      <w:r w:rsidRPr="00C32812">
        <w:t>.</w:t>
      </w:r>
    </w:p>
    <w:p w:rsidR="004D58A7" w:rsidRPr="009661F9" w:rsidRDefault="004D58A7" w:rsidP="004D58A7">
      <w:pPr>
        <w:tabs>
          <w:tab w:val="left" w:pos="709"/>
        </w:tabs>
        <w:spacing w:line="360" w:lineRule="auto"/>
        <w:jc w:val="both"/>
        <w:rPr>
          <w:szCs w:val="20"/>
        </w:rPr>
      </w:pPr>
      <w:r>
        <w:rPr>
          <w:szCs w:val="20"/>
        </w:rPr>
        <w:tab/>
        <w:t xml:space="preserve">A pertinência de “O Estupro de Lucrécia” para o presente estudo é a caracterização que Shakespeare faz do estupro como um roubo, o que não o faz por acaso. Se hoje o estupro é considerado um crime contra o corpo e o íntimo da vítima, na antiga Roma, ele era caracterizado como um roubo de propriedade, à época um crime público, como bem traz Shakespeare </w:t>
      </w:r>
      <w:r>
        <w:rPr>
          <w:i/>
          <w:szCs w:val="20"/>
        </w:rPr>
        <w:t xml:space="preserve">apud </w:t>
      </w:r>
      <w:r>
        <w:rPr>
          <w:szCs w:val="20"/>
        </w:rPr>
        <w:t xml:space="preserve">Oliveira (2008, p. 234) quando escreve: “Roubada, a castidade se descobre O ladrão, por seu turno, fica pobre”. </w:t>
      </w:r>
    </w:p>
    <w:p w:rsidR="004D58A7" w:rsidRDefault="004D58A7" w:rsidP="004D58A7">
      <w:pPr>
        <w:tabs>
          <w:tab w:val="left" w:pos="709"/>
        </w:tabs>
        <w:spacing w:line="360" w:lineRule="auto"/>
        <w:jc w:val="both"/>
        <w:rPr>
          <w:szCs w:val="20"/>
        </w:rPr>
      </w:pPr>
      <w:r>
        <w:rPr>
          <w:szCs w:val="20"/>
        </w:rPr>
        <w:tab/>
        <w:t xml:space="preserve">Sentindo-se desonrada, Lucrécia informa ao marido, à família e aos próximos o que lhe sucedeu, e, posteriormente, julgando-se indigna pela vergonha de seu infortúnio, tira sua própria vida. O citado episódio narrado por Shakespeare é também visto em quadros de diversos pintores, valendo salientar estar presente em Botticelli, em </w:t>
      </w:r>
      <w:r w:rsidRPr="003A62A0">
        <w:rPr>
          <w:i/>
          <w:szCs w:val="20"/>
        </w:rPr>
        <w:t>“</w:t>
      </w:r>
      <w:r>
        <w:rPr>
          <w:i/>
          <w:szCs w:val="20"/>
        </w:rPr>
        <w:t xml:space="preserve">The </w:t>
      </w:r>
      <w:r w:rsidRPr="003A62A0">
        <w:rPr>
          <w:i/>
          <w:szCs w:val="20"/>
        </w:rPr>
        <w:t>Tragedy of Lucretia</w:t>
      </w:r>
      <w:r>
        <w:rPr>
          <w:i/>
          <w:szCs w:val="20"/>
        </w:rPr>
        <w:t>”</w:t>
      </w:r>
      <w:r>
        <w:rPr>
          <w:szCs w:val="20"/>
        </w:rPr>
        <w:t>, e em Rembrandt, no quadro “</w:t>
      </w:r>
      <w:r w:rsidRPr="0083112B">
        <w:rPr>
          <w:i/>
          <w:szCs w:val="20"/>
        </w:rPr>
        <w:t>Lucretia</w:t>
      </w:r>
      <w:r>
        <w:rPr>
          <w:szCs w:val="20"/>
        </w:rPr>
        <w:t xml:space="preserve">”, que a retrata segurando um punhal. </w:t>
      </w:r>
    </w:p>
    <w:p w:rsidR="004D58A7" w:rsidRPr="00DC69B0" w:rsidRDefault="004D58A7" w:rsidP="004D58A7">
      <w:pPr>
        <w:pStyle w:val="Textodenotaderodap"/>
        <w:spacing w:after="240"/>
        <w:ind w:left="2268"/>
        <w:jc w:val="both"/>
      </w:pPr>
      <w:r>
        <w:t>A palavra ‘estupro’ vem do latim ‘</w:t>
      </w:r>
      <w:r>
        <w:rPr>
          <w:i/>
        </w:rPr>
        <w:t xml:space="preserve">rapere’, </w:t>
      </w:r>
      <w:r>
        <w:t>que significa ‘apreender ou tomar à força’. Em outras palavras, do legal dicionário romano, ‘</w:t>
      </w:r>
      <w:r>
        <w:rPr>
          <w:i/>
        </w:rPr>
        <w:t xml:space="preserve">raptus’ </w:t>
      </w:r>
      <w:r>
        <w:t>era definido como ‘O rapto de uma mulher contra a vontade de seus pais. O sequestrador (</w:t>
      </w:r>
      <w:r>
        <w:rPr>
          <w:i/>
        </w:rPr>
        <w:t>raptor</w:t>
      </w:r>
      <w:r w:rsidRPr="00DC1890">
        <w:t>)</w:t>
      </w:r>
      <w:r>
        <w:t xml:space="preserve"> era punido com a morte desde os tempos de Constantino, com quem o </w:t>
      </w:r>
      <w:r>
        <w:rPr>
          <w:i/>
        </w:rPr>
        <w:t xml:space="preserve">raptus </w:t>
      </w:r>
      <w:r>
        <w:t xml:space="preserve">se tornou um </w:t>
      </w:r>
      <w:r>
        <w:rPr>
          <w:i/>
        </w:rPr>
        <w:t xml:space="preserve">crimen publicum, </w:t>
      </w:r>
      <w:r>
        <w:t>da mesma forma era punida a mulher que consentia com o rapto até os tempos de Justiniano.” (</w:t>
      </w:r>
      <w:r w:rsidRPr="008D7C37">
        <w:rPr>
          <w:color w:val="000000"/>
          <w:lang w:eastAsia="es-ES"/>
        </w:rPr>
        <w:t>STAMPLER, 2010, p. 4</w:t>
      </w:r>
      <w:r w:rsidRPr="007328A8">
        <w:rPr>
          <w:color w:val="000000"/>
          <w:lang w:eastAsia="es-ES"/>
        </w:rPr>
        <w:t>)</w:t>
      </w:r>
      <w:r w:rsidRPr="007328A8">
        <w:rPr>
          <w:iCs/>
        </w:rPr>
        <w:t>.</w:t>
      </w:r>
      <w:r w:rsidRPr="002A0B6B">
        <w:t xml:space="preserve"> </w:t>
      </w:r>
      <w:r>
        <w:rPr>
          <w:rStyle w:val="Refdenotaderodap"/>
        </w:rPr>
        <w:footnoteReference w:id="5"/>
      </w:r>
    </w:p>
    <w:p w:rsidR="004D58A7" w:rsidRDefault="004D58A7" w:rsidP="004D58A7">
      <w:pPr>
        <w:tabs>
          <w:tab w:val="left" w:pos="709"/>
        </w:tabs>
        <w:spacing w:line="360" w:lineRule="auto"/>
        <w:jc w:val="both"/>
        <w:rPr>
          <w:szCs w:val="20"/>
        </w:rPr>
      </w:pPr>
      <w:r>
        <w:rPr>
          <w:szCs w:val="20"/>
        </w:rPr>
        <w:tab/>
        <w:t xml:space="preserve">Do código judaico do Velho Testamento até a época feudal, como já mencionado, o estupro era tido como um crime contra a propriedade, sendo o detentor da posse o pai ou o marido. No século XVI o estupro passou de ser considerado crime de propriedade para ser classificado como crime contra a castidade e a virtude (VILHENA e ZAMORA, 2004). </w:t>
      </w:r>
      <w:r w:rsidRPr="005D3B37">
        <w:rPr>
          <w:szCs w:val="20"/>
        </w:rPr>
        <w:t>Do exposto</w:t>
      </w:r>
      <w:r>
        <w:rPr>
          <w:szCs w:val="20"/>
        </w:rPr>
        <w:t xml:space="preserve">, percebe-se que o pólo passivo do delito não era ocupado pela mulher em si, mas pelo </w:t>
      </w:r>
      <w:r>
        <w:rPr>
          <w:szCs w:val="20"/>
        </w:rPr>
        <w:lastRenderedPageBreak/>
        <w:t xml:space="preserve">seu </w:t>
      </w:r>
      <w:r w:rsidRPr="005D3B37">
        <w:rPr>
          <w:i/>
          <w:szCs w:val="20"/>
        </w:rPr>
        <w:t>status</w:t>
      </w:r>
      <w:r>
        <w:rPr>
          <w:szCs w:val="20"/>
        </w:rPr>
        <w:t xml:space="preserve"> de propriedade. Logo, quando uma mulher era violada sexualmente, eram maculadas as prerrogativas masculinas sobre a vítima, ou seja, suas prerrogativas de propriedade e posse; quanto à mulher, restava-lhe apenas ser o objeto avariado por meio do qual podia-se macular o direito do seu esposo e da sua família com justamente ser mulher.</w:t>
      </w:r>
    </w:p>
    <w:p w:rsidR="004D58A7" w:rsidRDefault="004D58A7" w:rsidP="004D58A7">
      <w:pPr>
        <w:tabs>
          <w:tab w:val="left" w:pos="709"/>
        </w:tabs>
        <w:spacing w:line="360" w:lineRule="auto"/>
        <w:ind w:firstLine="567"/>
        <w:jc w:val="both"/>
        <w:rPr>
          <w:szCs w:val="20"/>
        </w:rPr>
      </w:pPr>
      <w:r>
        <w:rPr>
          <w:szCs w:val="20"/>
        </w:rPr>
        <w:t>A história literária romana nos oferece mais uma referência ao estupro de mulheres em tempos de guerra: o lendário episódio da fundação de Roma, no qual a primeira geração de romanos teria raptado as mulheres dos sabinos, povo vizinho, para servirem de esposas e assim criarem suas famílias (SMITH, 2004). Essa lenda está presente na arte em uma pintura de Nicolas Poussin (1594-1665), em seu quadro “</w:t>
      </w:r>
      <w:r w:rsidRPr="008C42C4">
        <w:rPr>
          <w:i/>
          <w:szCs w:val="20"/>
        </w:rPr>
        <w:t>The Rape of the Sabine Women</w:t>
      </w:r>
      <w:r>
        <w:rPr>
          <w:szCs w:val="20"/>
        </w:rPr>
        <w:t>”, posteriormente revisitado por Picasso, que produz uma releitura do mesmo, intitulando-o “</w:t>
      </w:r>
      <w:r w:rsidRPr="00211484">
        <w:rPr>
          <w:i/>
          <w:szCs w:val="20"/>
        </w:rPr>
        <w:t>El Rapto de las Sabinas</w:t>
      </w:r>
      <w:r>
        <w:rPr>
          <w:szCs w:val="20"/>
        </w:rPr>
        <w:t xml:space="preserve">” (1962). </w:t>
      </w:r>
    </w:p>
    <w:p w:rsidR="004D58A7" w:rsidRDefault="004D58A7" w:rsidP="004D58A7">
      <w:pPr>
        <w:tabs>
          <w:tab w:val="left" w:pos="709"/>
        </w:tabs>
        <w:spacing w:line="360" w:lineRule="auto"/>
        <w:ind w:firstLine="567"/>
        <w:jc w:val="both"/>
        <w:rPr>
          <w:szCs w:val="20"/>
        </w:rPr>
      </w:pPr>
      <w:r>
        <w:rPr>
          <w:szCs w:val="20"/>
        </w:rPr>
        <w:t>Muitas das pinturas feitas pelo artista espanhol Francisco de Goya y Lucientes refletem o período histórico em que viveu, da Guerra da Independência (1808-1814). A obra “</w:t>
      </w:r>
      <w:r w:rsidRPr="0095698D">
        <w:rPr>
          <w:i/>
          <w:szCs w:val="20"/>
        </w:rPr>
        <w:t xml:space="preserve">Los Desastres de </w:t>
      </w:r>
      <w:r>
        <w:rPr>
          <w:i/>
          <w:szCs w:val="20"/>
        </w:rPr>
        <w:t>l</w:t>
      </w:r>
      <w:r w:rsidRPr="0095698D">
        <w:rPr>
          <w:i/>
          <w:szCs w:val="20"/>
        </w:rPr>
        <w:t>a Guerra</w:t>
      </w:r>
      <w:r>
        <w:rPr>
          <w:szCs w:val="20"/>
        </w:rPr>
        <w:t>” (1863) é composta por oitenta e duas gravuras que ilustram o que há de se esperar em uma guerra, nelas há inclusive desenhos retratando mulheres parcialmente despidas sendo afugentadas e ameaçadas, o que aparece novamente em outra pintura de sua autoria, “</w:t>
      </w:r>
      <w:r w:rsidRPr="008D07FB">
        <w:rPr>
          <w:i/>
          <w:szCs w:val="20"/>
        </w:rPr>
        <w:t>Scene of Rape and Murder</w:t>
      </w:r>
      <w:r>
        <w:rPr>
          <w:szCs w:val="20"/>
        </w:rPr>
        <w:t>”, datada entre 1808 e 1812.</w:t>
      </w:r>
    </w:p>
    <w:p w:rsidR="004D58A7" w:rsidRPr="00905E4E" w:rsidRDefault="004D58A7" w:rsidP="004D58A7">
      <w:pPr>
        <w:tabs>
          <w:tab w:val="left" w:pos="709"/>
        </w:tabs>
        <w:spacing w:line="360" w:lineRule="auto"/>
        <w:ind w:firstLine="567"/>
        <w:jc w:val="both"/>
        <w:rPr>
          <w:szCs w:val="20"/>
        </w:rPr>
      </w:pPr>
      <w:r w:rsidRPr="00905E4E">
        <w:rPr>
          <w:szCs w:val="20"/>
        </w:rPr>
        <w:t>Diante dos diverso</w:t>
      </w:r>
      <w:r>
        <w:rPr>
          <w:szCs w:val="20"/>
        </w:rPr>
        <w:t>s exemplos citados, resta, pois</w:t>
      </w:r>
      <w:r w:rsidRPr="00905E4E">
        <w:rPr>
          <w:szCs w:val="20"/>
        </w:rPr>
        <w:t xml:space="preserve">, a necessidade de se fazer uma análise mais amiúde da razão </w:t>
      </w:r>
      <w:r>
        <w:rPr>
          <w:szCs w:val="20"/>
        </w:rPr>
        <w:t>pela qual o estupro se afigura</w:t>
      </w:r>
      <w:r w:rsidRPr="00905E4E">
        <w:rPr>
          <w:szCs w:val="20"/>
        </w:rPr>
        <w:t xml:space="preserve"> como uma maneira </w:t>
      </w:r>
      <w:r>
        <w:rPr>
          <w:szCs w:val="20"/>
        </w:rPr>
        <w:t xml:space="preserve">tão </w:t>
      </w:r>
      <w:r w:rsidRPr="00905E4E">
        <w:rPr>
          <w:szCs w:val="20"/>
        </w:rPr>
        <w:t xml:space="preserve">eficaz </w:t>
      </w:r>
      <w:r>
        <w:rPr>
          <w:szCs w:val="20"/>
        </w:rPr>
        <w:t xml:space="preserve">como estratégia, </w:t>
      </w:r>
      <w:r w:rsidRPr="00905E4E">
        <w:rPr>
          <w:szCs w:val="20"/>
        </w:rPr>
        <w:t>já que</w:t>
      </w:r>
      <w:r>
        <w:rPr>
          <w:szCs w:val="20"/>
        </w:rPr>
        <w:t xml:space="preserve">, a despeito de todo o avanço já conquistado pela humanidade, </w:t>
      </w:r>
      <w:r w:rsidRPr="00905E4E">
        <w:rPr>
          <w:szCs w:val="20"/>
        </w:rPr>
        <w:t>até os dias hodiernos</w:t>
      </w:r>
      <w:r>
        <w:rPr>
          <w:szCs w:val="20"/>
        </w:rPr>
        <w:t>,</w:t>
      </w:r>
      <w:r w:rsidRPr="00905E4E">
        <w:rPr>
          <w:szCs w:val="20"/>
        </w:rPr>
        <w:t xml:space="preserve"> </w:t>
      </w:r>
      <w:r>
        <w:rPr>
          <w:szCs w:val="20"/>
        </w:rPr>
        <w:t xml:space="preserve">esses episódios </w:t>
      </w:r>
      <w:r w:rsidRPr="00905E4E">
        <w:rPr>
          <w:szCs w:val="20"/>
        </w:rPr>
        <w:t xml:space="preserve">vêm se perpetuando mediante histórias vivenciadas por </w:t>
      </w:r>
      <w:r>
        <w:rPr>
          <w:szCs w:val="20"/>
        </w:rPr>
        <w:t xml:space="preserve">inúmeras </w:t>
      </w:r>
      <w:r w:rsidRPr="00905E4E">
        <w:rPr>
          <w:szCs w:val="20"/>
        </w:rPr>
        <w:t xml:space="preserve">mulheres que tiveram </w:t>
      </w:r>
      <w:r>
        <w:rPr>
          <w:szCs w:val="20"/>
        </w:rPr>
        <w:t xml:space="preserve">e continuam tendo </w:t>
      </w:r>
      <w:r w:rsidRPr="00905E4E">
        <w:rPr>
          <w:szCs w:val="20"/>
        </w:rPr>
        <w:t>a mesma sorte das esposas de Jerusalém, das sabinas e das troiana</w:t>
      </w:r>
      <w:r>
        <w:rPr>
          <w:szCs w:val="20"/>
        </w:rPr>
        <w:t>s, sendo Cassandras e Lucrécias na atualidade.</w:t>
      </w:r>
    </w:p>
    <w:p w:rsidR="004D58A7" w:rsidRDefault="004D58A7" w:rsidP="004D58A7">
      <w:pPr>
        <w:tabs>
          <w:tab w:val="left" w:pos="709"/>
        </w:tabs>
        <w:spacing w:line="360" w:lineRule="auto"/>
        <w:ind w:firstLine="567"/>
        <w:jc w:val="both"/>
        <w:rPr>
          <w:b/>
          <w:szCs w:val="20"/>
        </w:rPr>
      </w:pPr>
      <w:r>
        <w:rPr>
          <w:sz w:val="20"/>
          <w:szCs w:val="20"/>
        </w:rPr>
        <w:tab/>
      </w:r>
      <w:r w:rsidRPr="000C088C">
        <w:rPr>
          <w:szCs w:val="20"/>
        </w:rPr>
        <w:t xml:space="preserve">O ato sexual indesejado é tanto uma arma, quanto uma estratégia de guerra (KOO, 2002), e aparece não só </w:t>
      </w:r>
      <w:r>
        <w:rPr>
          <w:szCs w:val="20"/>
        </w:rPr>
        <w:t xml:space="preserve">na </w:t>
      </w:r>
      <w:r w:rsidRPr="000C088C">
        <w:rPr>
          <w:szCs w:val="20"/>
        </w:rPr>
        <w:t xml:space="preserve">guerra, mas também, e onde está enraizada, </w:t>
      </w:r>
      <w:r>
        <w:rPr>
          <w:szCs w:val="20"/>
        </w:rPr>
        <w:t>em tempos de</w:t>
      </w:r>
      <w:r w:rsidRPr="000C088C">
        <w:rPr>
          <w:szCs w:val="20"/>
        </w:rPr>
        <w:t xml:space="preserve"> paz, ou seja, ressalta uma dinâmica sociocultural preexistente ao conflito. Dessa forma, a violência de gênero que tem lugar em tempos de guerra só tem efeito porque toma como base os significados atrelados à prática em tempos de paz</w:t>
      </w:r>
      <w:r>
        <w:rPr>
          <w:szCs w:val="20"/>
        </w:rPr>
        <w:t xml:space="preserve"> </w:t>
      </w:r>
      <w:r w:rsidRPr="000C088C">
        <w:rPr>
          <w:szCs w:val="20"/>
        </w:rPr>
        <w:t>(DESJARLAIS</w:t>
      </w:r>
      <w:r>
        <w:rPr>
          <w:szCs w:val="20"/>
        </w:rPr>
        <w:t xml:space="preserve"> e</w:t>
      </w:r>
      <w:r w:rsidRPr="000C088C">
        <w:rPr>
          <w:szCs w:val="20"/>
        </w:rPr>
        <w:t xml:space="preserve"> KLEINMAN </w:t>
      </w:r>
      <w:r w:rsidRPr="000C088C">
        <w:rPr>
          <w:i/>
          <w:szCs w:val="20"/>
        </w:rPr>
        <w:t>apud</w:t>
      </w:r>
      <w:r w:rsidRPr="000C088C">
        <w:rPr>
          <w:szCs w:val="20"/>
        </w:rPr>
        <w:t xml:space="preserve"> OLUJIC, 1998).</w:t>
      </w:r>
      <w:r>
        <w:rPr>
          <w:szCs w:val="20"/>
        </w:rPr>
        <w:t xml:space="preserve"> </w:t>
      </w:r>
    </w:p>
    <w:p w:rsidR="004D58A7" w:rsidRDefault="004D58A7" w:rsidP="004D58A7">
      <w:pPr>
        <w:tabs>
          <w:tab w:val="left" w:pos="709"/>
        </w:tabs>
        <w:spacing w:line="360" w:lineRule="auto"/>
        <w:ind w:firstLine="567"/>
        <w:jc w:val="both"/>
        <w:rPr>
          <w:szCs w:val="20"/>
        </w:rPr>
      </w:pPr>
      <w:r>
        <w:rPr>
          <w:szCs w:val="20"/>
        </w:rPr>
        <w:t xml:space="preserve">O ato sexual por si só não tem em sua função fisiológica o objetivo originário de lesionar física ou psicologicamente, ameaçar, desonrar ou humilhar o parceiro (a), mas, quando forçoso, para muitas mulheres é ainda mais amedrontador que a morte em si (CAHILL, 2000). Por esse motivo, o estupro configura-se em arma e estratégia de guerra, constituindo-se em ferramenta para ameaçar, humilhar, torturar e/ou desestabilizar o inimigo, </w:t>
      </w:r>
      <w:r>
        <w:rPr>
          <w:szCs w:val="20"/>
        </w:rPr>
        <w:lastRenderedPageBreak/>
        <w:t>bem como passível de ser utilizado como instrumento para genocídio e limpeza étnica (AYDELOTT, 1993; DIKEN e LAUSTEN, 2005; HALLIDAY, 2007; KOO, 2002; MOORE, 2010; SCHOTT, 1996; SHIMKO, 2010; VILHENA e ZAMORA, 2004).</w:t>
      </w:r>
    </w:p>
    <w:p w:rsidR="004D58A7" w:rsidRDefault="004D58A7" w:rsidP="004D58A7">
      <w:pPr>
        <w:tabs>
          <w:tab w:val="left" w:pos="709"/>
        </w:tabs>
        <w:spacing w:line="360" w:lineRule="auto"/>
        <w:jc w:val="both"/>
        <w:rPr>
          <w:szCs w:val="20"/>
        </w:rPr>
      </w:pPr>
      <w:r>
        <w:rPr>
          <w:szCs w:val="20"/>
        </w:rPr>
        <w:tab/>
      </w:r>
      <w:r w:rsidRPr="00C8238B">
        <w:rPr>
          <w:szCs w:val="20"/>
        </w:rPr>
        <w:t>S</w:t>
      </w:r>
      <w:r>
        <w:rPr>
          <w:szCs w:val="20"/>
        </w:rPr>
        <w:t xml:space="preserve">ão incertos os números de tais eventos militares relativos ao uso da violência sexual como instrumento de guerra (MOORE, 2010). </w:t>
      </w:r>
      <w:r w:rsidRPr="00FD1806">
        <w:rPr>
          <w:szCs w:val="20"/>
        </w:rPr>
        <w:t>E</w:t>
      </w:r>
      <w:r>
        <w:rPr>
          <w:szCs w:val="20"/>
        </w:rPr>
        <w:t>stima-se que milhares de mulheres já foram vítimas de estupro em tempos belicosos (HALLIDAY, 2007; LITTLEWOOD, 1997; MOORE, 2010). Tem-se notícias de ocorrências em guerras civis em Ruanda, Libéria e Uganda (DIKEN e LAUSTSEN, 2005; LITTLEWOOD, 1997; MOORE, 2010; TICKNER, 2001)</w:t>
      </w:r>
      <w:r w:rsidRPr="00830619">
        <w:rPr>
          <w:szCs w:val="20"/>
        </w:rPr>
        <w:t xml:space="preserve">; </w:t>
      </w:r>
      <w:r>
        <w:rPr>
          <w:szCs w:val="20"/>
        </w:rPr>
        <w:t>perpetrou-se também na guerra pela independência em Bangladesh (AYDELOTT, 1993; MOORE, 2010); em conf</w:t>
      </w:r>
      <w:r w:rsidRPr="00094071">
        <w:rPr>
          <w:szCs w:val="20"/>
        </w:rPr>
        <w:t>litos antichineses</w:t>
      </w:r>
      <w:r>
        <w:rPr>
          <w:szCs w:val="20"/>
        </w:rPr>
        <w:t xml:space="preserve"> na Indonésia; em larga escala pelos Japoneses na China, especialmente em Nanking e na Coreia durante a Segunda Guerra Mundial (AYDELOTT, 1993; HALLIDAY, 2007); em Serra Leoa (MITCHELL, 2005); na ex-Iugoslávia, dentre </w:t>
      </w:r>
      <w:r w:rsidRPr="00CA15D9">
        <w:rPr>
          <w:szCs w:val="20"/>
        </w:rPr>
        <w:t>outros (</w:t>
      </w:r>
      <w:r>
        <w:rPr>
          <w:szCs w:val="20"/>
        </w:rPr>
        <w:t xml:space="preserve">AYDELOTT, 1993; </w:t>
      </w:r>
      <w:r w:rsidRPr="00CA15D9">
        <w:rPr>
          <w:szCs w:val="20"/>
        </w:rPr>
        <w:t xml:space="preserve">KOO, 2002; </w:t>
      </w:r>
      <w:r>
        <w:rPr>
          <w:szCs w:val="20"/>
        </w:rPr>
        <w:t xml:space="preserve">MOORE, 2010; </w:t>
      </w:r>
      <w:r w:rsidRPr="00CA15D9">
        <w:rPr>
          <w:szCs w:val="20"/>
        </w:rPr>
        <w:t xml:space="preserve">OLUJIC, 1998; WATTS e ZIMMERMAN </w:t>
      </w:r>
      <w:r w:rsidRPr="00CA15D9">
        <w:rPr>
          <w:i/>
          <w:szCs w:val="20"/>
        </w:rPr>
        <w:t>apud</w:t>
      </w:r>
      <w:r w:rsidRPr="00CA15D9">
        <w:rPr>
          <w:szCs w:val="20"/>
        </w:rPr>
        <w:t xml:space="preserve"> DIKEN e LAUSTSEN, 2005).</w:t>
      </w:r>
      <w:r>
        <w:rPr>
          <w:szCs w:val="20"/>
        </w:rPr>
        <w:t xml:space="preserve"> </w:t>
      </w:r>
    </w:p>
    <w:p w:rsidR="004D58A7" w:rsidRDefault="004D58A7" w:rsidP="004D58A7">
      <w:pPr>
        <w:tabs>
          <w:tab w:val="left" w:pos="709"/>
        </w:tabs>
        <w:spacing w:line="360" w:lineRule="auto"/>
        <w:ind w:firstLine="567"/>
        <w:jc w:val="both"/>
        <w:rPr>
          <w:szCs w:val="20"/>
        </w:rPr>
      </w:pPr>
      <w:r>
        <w:rPr>
          <w:szCs w:val="20"/>
        </w:rPr>
        <w:t>O caso mais ilustre deu-se c</w:t>
      </w:r>
      <w:r w:rsidRPr="00546332">
        <w:rPr>
          <w:szCs w:val="20"/>
        </w:rPr>
        <w:t xml:space="preserve">om o </w:t>
      </w:r>
      <w:r w:rsidRPr="000F0E76">
        <w:rPr>
          <w:szCs w:val="20"/>
        </w:rPr>
        <w:t>advento da Guerra da Bósnia, em 1992 (</w:t>
      </w:r>
      <w:r>
        <w:rPr>
          <w:szCs w:val="20"/>
        </w:rPr>
        <w:t xml:space="preserve">AYDELOTT, 1993; </w:t>
      </w:r>
      <w:r w:rsidRPr="000F0E76">
        <w:rPr>
          <w:szCs w:val="20"/>
        </w:rPr>
        <w:t>OLUJIC, 1998</w:t>
      </w:r>
      <w:r>
        <w:rPr>
          <w:szCs w:val="20"/>
        </w:rPr>
        <w:t>; PERES, 2011</w:t>
      </w:r>
      <w:r w:rsidRPr="000F0E76">
        <w:rPr>
          <w:szCs w:val="20"/>
        </w:rPr>
        <w:t>), não apenas pela sua recenticidade, mas, especialmente, pelo notável caráter político e sistemático do uso militar do estupro (</w:t>
      </w:r>
      <w:r>
        <w:rPr>
          <w:szCs w:val="20"/>
        </w:rPr>
        <w:t xml:space="preserve">AYDELOTT, 1993; </w:t>
      </w:r>
      <w:r w:rsidRPr="000F0E76">
        <w:rPr>
          <w:szCs w:val="20"/>
        </w:rPr>
        <w:t xml:space="preserve">CARD, 2010; </w:t>
      </w:r>
      <w:r>
        <w:rPr>
          <w:szCs w:val="20"/>
        </w:rPr>
        <w:t xml:space="preserve">MONTE, 2010; MOORE, 2010; </w:t>
      </w:r>
      <w:r w:rsidRPr="000F0E76">
        <w:rPr>
          <w:szCs w:val="20"/>
        </w:rPr>
        <w:t>KULLASHI, 2003</w:t>
      </w:r>
      <w:r>
        <w:rPr>
          <w:szCs w:val="20"/>
        </w:rPr>
        <w:t>; PERES, 2011; TICKNER, 2001</w:t>
      </w:r>
      <w:r w:rsidRPr="000F0E76">
        <w:rPr>
          <w:szCs w:val="20"/>
        </w:rPr>
        <w:t xml:space="preserve">), </w:t>
      </w:r>
      <w:r>
        <w:rPr>
          <w:szCs w:val="20"/>
        </w:rPr>
        <w:t xml:space="preserve">que </w:t>
      </w:r>
      <w:r w:rsidRPr="000F0E76">
        <w:rPr>
          <w:szCs w:val="20"/>
        </w:rPr>
        <w:t>foi utilizado pelo Governo, milícias e militares sérvios como estratégia para</w:t>
      </w:r>
      <w:r>
        <w:rPr>
          <w:szCs w:val="20"/>
        </w:rPr>
        <w:t xml:space="preserve"> o genocídio e limpeza étnica dos bósnios muçulmanos, de forma intencional e sistemática, objetivando a remoção dos mesmos dos territórios reclamados pelos sérvios (AYDELOTT, 1993; KOO, 2002; PERES, 2011). </w:t>
      </w:r>
    </w:p>
    <w:p w:rsidR="004D58A7" w:rsidRDefault="004D58A7" w:rsidP="004D58A7">
      <w:pPr>
        <w:tabs>
          <w:tab w:val="left" w:pos="709"/>
        </w:tabs>
        <w:spacing w:line="360" w:lineRule="auto"/>
        <w:jc w:val="both"/>
        <w:rPr>
          <w:szCs w:val="20"/>
        </w:rPr>
      </w:pPr>
      <w:r>
        <w:rPr>
          <w:szCs w:val="20"/>
        </w:rPr>
        <w:tab/>
      </w:r>
      <w:r w:rsidRPr="002B21D1">
        <w:rPr>
          <w:szCs w:val="20"/>
        </w:rPr>
        <w:t>Segundo Olujic (1998</w:t>
      </w:r>
      <w:r>
        <w:rPr>
          <w:szCs w:val="20"/>
        </w:rPr>
        <w:t>, p. 40)</w:t>
      </w:r>
      <w:r w:rsidRPr="002B21D1">
        <w:rPr>
          <w:szCs w:val="20"/>
        </w:rPr>
        <w:t>, muitas das violações sexuais contra mulheres foram cometidas nos chamados campos de estupro, que comumente possuíam nomes denotativos de lugares de pra</w:t>
      </w:r>
      <w:r>
        <w:rPr>
          <w:szCs w:val="20"/>
        </w:rPr>
        <w:t xml:space="preserve">zer existentes em tempos de paz. Ali, as mulheres eram sucessivamente forçadas e mantidas pelos soldados sérvios, com o intuito de serem posteriormente torturadas ou mortas (AYDELOTT, 1993; PERES, 2011), algumas delas, inclusive, sentindo-se envergonhadas, acabavam por cometer </w:t>
      </w:r>
      <w:r w:rsidRPr="00AF018B">
        <w:rPr>
          <w:szCs w:val="20"/>
        </w:rPr>
        <w:t>suicídio (SABOURIN, 2009), tal</w:t>
      </w:r>
      <w:r>
        <w:rPr>
          <w:szCs w:val="20"/>
        </w:rPr>
        <w:t xml:space="preserve"> qual Lucrécia em Shakespeare. </w:t>
      </w:r>
    </w:p>
    <w:p w:rsidR="004D58A7" w:rsidRPr="00091837" w:rsidRDefault="004D58A7" w:rsidP="004D58A7">
      <w:pPr>
        <w:tabs>
          <w:tab w:val="left" w:pos="709"/>
        </w:tabs>
        <w:spacing w:line="360" w:lineRule="auto"/>
        <w:jc w:val="both"/>
        <w:rPr>
          <w:szCs w:val="20"/>
        </w:rPr>
      </w:pPr>
      <w:r>
        <w:rPr>
          <w:szCs w:val="20"/>
        </w:rPr>
        <w:tab/>
      </w:r>
      <w:r w:rsidRPr="00091837">
        <w:rPr>
          <w:szCs w:val="20"/>
        </w:rPr>
        <w:t xml:space="preserve">Segundo Allien </w:t>
      </w:r>
      <w:r w:rsidRPr="00091837">
        <w:rPr>
          <w:i/>
          <w:szCs w:val="20"/>
        </w:rPr>
        <w:t xml:space="preserve">apud </w:t>
      </w:r>
      <w:r>
        <w:rPr>
          <w:szCs w:val="20"/>
        </w:rPr>
        <w:t>Koo</w:t>
      </w:r>
      <w:r w:rsidRPr="00091837">
        <w:rPr>
          <w:szCs w:val="20"/>
        </w:rPr>
        <w:t xml:space="preserve"> </w:t>
      </w:r>
      <w:r>
        <w:rPr>
          <w:szCs w:val="20"/>
        </w:rPr>
        <w:t>(2002</w:t>
      </w:r>
      <w:r w:rsidRPr="00091837">
        <w:rPr>
          <w:szCs w:val="20"/>
        </w:rPr>
        <w:t xml:space="preserve">), alguns dos estupros eram realizados, inclusive, </w:t>
      </w:r>
      <w:r>
        <w:rPr>
          <w:szCs w:val="20"/>
        </w:rPr>
        <w:t>com o aval de altas autoridades, por militares treinados, formalizados e estruturados, o que fica claro justamente por constar em vários documentos autorizados por oficiais e militares sérvios, além de testemunhos (AYDELOTT, 1993; OLUJIC, 1998; PERES, 2011).</w:t>
      </w:r>
    </w:p>
    <w:p w:rsidR="004D58A7" w:rsidRPr="00C359FA" w:rsidRDefault="004D58A7" w:rsidP="004D58A7">
      <w:pPr>
        <w:tabs>
          <w:tab w:val="left" w:pos="709"/>
          <w:tab w:val="left" w:pos="2268"/>
        </w:tabs>
        <w:spacing w:after="240"/>
        <w:ind w:left="2268"/>
        <w:jc w:val="both"/>
        <w:rPr>
          <w:sz w:val="20"/>
          <w:szCs w:val="20"/>
        </w:rPr>
      </w:pPr>
      <w:r w:rsidRPr="00C359FA">
        <w:rPr>
          <w:sz w:val="20"/>
          <w:szCs w:val="20"/>
        </w:rPr>
        <w:lastRenderedPageBreak/>
        <w:t>Há evidências suficientes para concluir que as práticas de ‘limpeza étnica’ não foram coincidentais, esporádicas ou levadas a cabo por grupos desorganizados ou por bandos de civis que não pudessem ser controlados pela liderança Bósnia-Sérvia. Com efeito, os padrões de conduta, a maneira com que esses fatos foram realizados, o duração de tempo com que tinham lugar e onde  aconteceram combinaram para revelar um propósito, uma sistematicidade, e algum planejamento e co</w:t>
      </w:r>
      <w:r>
        <w:rPr>
          <w:sz w:val="20"/>
          <w:szCs w:val="20"/>
        </w:rPr>
        <w:t>ordenação das altas autoridades</w:t>
      </w:r>
      <w:r w:rsidRPr="00C359FA">
        <w:rPr>
          <w:sz w:val="20"/>
          <w:szCs w:val="20"/>
        </w:rPr>
        <w:t xml:space="preserve">. </w:t>
      </w:r>
      <w:r w:rsidRPr="00AF018B">
        <w:rPr>
          <w:sz w:val="20"/>
          <w:szCs w:val="20"/>
        </w:rPr>
        <w:t xml:space="preserve">(ALLIEN </w:t>
      </w:r>
      <w:r w:rsidRPr="00AF018B">
        <w:rPr>
          <w:i/>
          <w:sz w:val="20"/>
          <w:szCs w:val="20"/>
        </w:rPr>
        <w:t xml:space="preserve">apud </w:t>
      </w:r>
      <w:r w:rsidRPr="00AF018B">
        <w:rPr>
          <w:sz w:val="20"/>
          <w:szCs w:val="20"/>
        </w:rPr>
        <w:t>KOO, 2002, p.529)</w:t>
      </w:r>
      <w:r>
        <w:rPr>
          <w:sz w:val="20"/>
          <w:szCs w:val="20"/>
        </w:rPr>
        <w:t>.</w:t>
      </w:r>
      <w:r>
        <w:rPr>
          <w:rStyle w:val="Refdenotaderodap"/>
        </w:rPr>
        <w:footnoteReference w:id="6"/>
      </w:r>
      <w:r>
        <w:rPr>
          <w:sz w:val="20"/>
          <w:szCs w:val="20"/>
        </w:rPr>
        <w:t xml:space="preserve"> </w:t>
      </w:r>
    </w:p>
    <w:p w:rsidR="004D58A7" w:rsidRPr="00B95BFD" w:rsidRDefault="004D58A7" w:rsidP="004D58A7">
      <w:pPr>
        <w:tabs>
          <w:tab w:val="left" w:pos="709"/>
        </w:tabs>
        <w:spacing w:line="360" w:lineRule="auto"/>
        <w:jc w:val="both"/>
        <w:rPr>
          <w:szCs w:val="20"/>
        </w:rPr>
      </w:pPr>
      <w:r>
        <w:rPr>
          <w:szCs w:val="20"/>
        </w:rPr>
        <w:tab/>
        <w:t xml:space="preserve">Os soldados que atuassem de maneira relutante aos comandos militares muitas vezes eram obrigados pelos seus superiores a estuprar ou ajudar no abuso, já que isso </w:t>
      </w:r>
      <w:r w:rsidRPr="00775E4D">
        <w:rPr>
          <w:szCs w:val="20"/>
        </w:rPr>
        <w:t>seria “</w:t>
      </w:r>
      <w:r w:rsidRPr="00775E4D">
        <w:rPr>
          <w:i/>
          <w:szCs w:val="20"/>
        </w:rPr>
        <w:t>bom para aumentar a moral dos soldados</w:t>
      </w:r>
      <w:r w:rsidRPr="00775E4D">
        <w:rPr>
          <w:szCs w:val="20"/>
        </w:rPr>
        <w:t>”</w:t>
      </w:r>
      <w:r w:rsidRPr="00775E4D">
        <w:rPr>
          <w:rStyle w:val="Refdenotaderodap"/>
        </w:rPr>
        <w:footnoteReference w:id="7"/>
      </w:r>
      <w:r w:rsidRPr="00775E4D">
        <w:rPr>
          <w:szCs w:val="20"/>
        </w:rPr>
        <w:t xml:space="preserve"> (</w:t>
      </w:r>
      <w:r w:rsidRPr="00775E4D">
        <w:rPr>
          <w:i/>
          <w:szCs w:val="20"/>
        </w:rPr>
        <w:t xml:space="preserve">New York Times apud </w:t>
      </w:r>
      <w:r w:rsidRPr="00775E4D">
        <w:rPr>
          <w:szCs w:val="20"/>
        </w:rPr>
        <w:t>OLUJIC, 1998, p. 41). Forçados</w:t>
      </w:r>
      <w:r>
        <w:rPr>
          <w:szCs w:val="20"/>
        </w:rPr>
        <w:t xml:space="preserve"> a estuprar, os soldados ou camaradas sérvios entravam em uma zona de irmandade de culpa; aqueles que recusassem eram humilhados e muitas vezes punidos, inclusive, com a castração ou a morte (DIKEN e LAUSTSEN, 2005).</w:t>
      </w:r>
    </w:p>
    <w:p w:rsidR="004D58A7" w:rsidRDefault="004D58A7" w:rsidP="004D58A7">
      <w:pPr>
        <w:tabs>
          <w:tab w:val="left" w:pos="709"/>
        </w:tabs>
        <w:spacing w:line="360" w:lineRule="auto"/>
        <w:jc w:val="both"/>
        <w:rPr>
          <w:szCs w:val="20"/>
        </w:rPr>
      </w:pPr>
      <w:r>
        <w:rPr>
          <w:szCs w:val="20"/>
        </w:rPr>
        <w:tab/>
      </w:r>
      <w:r w:rsidRPr="00512FAA">
        <w:rPr>
          <w:szCs w:val="20"/>
        </w:rPr>
        <w:t>Em um dos documentos relativos à Guerra</w:t>
      </w:r>
      <w:r>
        <w:rPr>
          <w:szCs w:val="20"/>
        </w:rPr>
        <w:t xml:space="preserve"> da Bósnia, o chamado </w:t>
      </w:r>
      <w:r>
        <w:rPr>
          <w:i/>
          <w:szCs w:val="20"/>
        </w:rPr>
        <w:t xml:space="preserve">RAM-plan, </w:t>
      </w:r>
      <w:r>
        <w:rPr>
          <w:szCs w:val="20"/>
        </w:rPr>
        <w:t xml:space="preserve">de 1991 (ALLEN </w:t>
      </w:r>
      <w:r>
        <w:rPr>
          <w:i/>
          <w:szCs w:val="20"/>
        </w:rPr>
        <w:t>apud</w:t>
      </w:r>
      <w:r>
        <w:rPr>
          <w:szCs w:val="20"/>
        </w:rPr>
        <w:t xml:space="preserve"> CARD, 2010), estabelece-se o objetivo de limpeza étnica e recomenda-se atacar onde a estrutura social e religiosa for mais frágil, sendo evidente que as mulheres e principalmente as</w:t>
      </w:r>
      <w:r w:rsidRPr="000F0E76">
        <w:rPr>
          <w:szCs w:val="20"/>
        </w:rPr>
        <w:t xml:space="preserve"> crianças </w:t>
      </w:r>
      <w:r>
        <w:rPr>
          <w:szCs w:val="20"/>
        </w:rPr>
        <w:t>e as</w:t>
      </w:r>
      <w:r w:rsidRPr="000F0E76">
        <w:rPr>
          <w:szCs w:val="20"/>
        </w:rPr>
        <w:t xml:space="preserve"> adolescentes</w:t>
      </w:r>
      <w:r>
        <w:rPr>
          <w:szCs w:val="20"/>
        </w:rPr>
        <w:t xml:space="preserve"> </w:t>
      </w:r>
      <w:r w:rsidRPr="000F0E76">
        <w:rPr>
          <w:szCs w:val="20"/>
        </w:rPr>
        <w:t>constitu</w:t>
      </w:r>
      <w:r>
        <w:rPr>
          <w:szCs w:val="20"/>
        </w:rPr>
        <w:t xml:space="preserve">iriam </w:t>
      </w:r>
      <w:r w:rsidRPr="000F0E76">
        <w:rPr>
          <w:szCs w:val="20"/>
        </w:rPr>
        <w:t>o alvo a ser atacado (CARD, 2010; DIKEN</w:t>
      </w:r>
      <w:r>
        <w:rPr>
          <w:szCs w:val="20"/>
        </w:rPr>
        <w:t xml:space="preserve"> e LAUSTSEN, 2005; KOO, 2002; KULLASHI, 2003; SABOURIN, 2009). </w:t>
      </w:r>
    </w:p>
    <w:p w:rsidR="004D58A7" w:rsidRDefault="004D58A7" w:rsidP="004D58A7">
      <w:pPr>
        <w:tabs>
          <w:tab w:val="left" w:pos="709"/>
        </w:tabs>
        <w:spacing w:line="360" w:lineRule="auto"/>
        <w:jc w:val="both"/>
        <w:rPr>
          <w:szCs w:val="20"/>
        </w:rPr>
      </w:pPr>
      <w:r>
        <w:rPr>
          <w:szCs w:val="20"/>
        </w:rPr>
        <w:tab/>
        <w:t xml:space="preserve">Consoante Seifert </w:t>
      </w:r>
      <w:r>
        <w:rPr>
          <w:i/>
          <w:szCs w:val="20"/>
        </w:rPr>
        <w:t xml:space="preserve">apud </w:t>
      </w:r>
      <w:r>
        <w:rPr>
          <w:szCs w:val="20"/>
        </w:rPr>
        <w:t>Diken e Laustsen (2005), as mulheres passam a ser a mira mais propícia devido à posição que ocupam na estrutura social e familiar.</w:t>
      </w:r>
    </w:p>
    <w:p w:rsidR="004D58A7" w:rsidRPr="00A16A3F" w:rsidRDefault="004D58A7" w:rsidP="004D58A7">
      <w:pPr>
        <w:tabs>
          <w:tab w:val="left" w:pos="709"/>
        </w:tabs>
        <w:spacing w:after="240"/>
        <w:ind w:left="2268"/>
        <w:jc w:val="both"/>
        <w:rPr>
          <w:sz w:val="20"/>
          <w:szCs w:val="20"/>
          <w:lang w:val="en-US"/>
        </w:rPr>
      </w:pPr>
      <w:r w:rsidRPr="00F772DA">
        <w:rPr>
          <w:sz w:val="20"/>
          <w:szCs w:val="20"/>
        </w:rPr>
        <w:t>Nossas análises do comportamento da comunidade muçulmana demonstra</w:t>
      </w:r>
      <w:r>
        <w:rPr>
          <w:sz w:val="20"/>
          <w:szCs w:val="20"/>
        </w:rPr>
        <w:t>m</w:t>
      </w:r>
      <w:r w:rsidRPr="00F772DA">
        <w:rPr>
          <w:sz w:val="20"/>
          <w:szCs w:val="20"/>
        </w:rPr>
        <w:t xml:space="preserve"> que a moral, a intenção, e a natureza belicosa dos seus grupos podem ser minados somente se nós direcionarmos nossas ações para o ponto onde a estrutura religiosa e moral são mais frágeis. Referimo-nos às mulheres, especificamente, às adolescentes e às crianças. Uma intervenção decisiva nessas figuras sociais espalharia confusão entre as comunidades, causando, primeiro, o medo e, então, o pânico, levando a uma provável retirada muçulmana dos territórios envolvidos na atividade de guerra. Nesse caso, nós devemos adicionar uma campanha propagandística para nossas ações bem organizadas ações incisivas, e assim o pânico irá aumentar. Temos determinado que a coordenação entre as intervenções decisivas e uma campanha de informações bem organizada pode provocar uma briga e</w:t>
      </w:r>
      <w:r>
        <w:rPr>
          <w:sz w:val="20"/>
          <w:szCs w:val="20"/>
        </w:rPr>
        <w:t>spontânea em várias comunidades</w:t>
      </w:r>
      <w:r w:rsidRPr="00F772DA">
        <w:rPr>
          <w:sz w:val="20"/>
          <w:szCs w:val="20"/>
        </w:rPr>
        <w:t xml:space="preserve">. </w:t>
      </w:r>
      <w:r w:rsidRPr="00BF3916">
        <w:rPr>
          <w:sz w:val="20"/>
          <w:szCs w:val="20"/>
          <w:lang w:val="en-US"/>
        </w:rPr>
        <w:t xml:space="preserve">(ALLEN </w:t>
      </w:r>
      <w:r w:rsidRPr="00BF3916">
        <w:rPr>
          <w:i/>
          <w:sz w:val="20"/>
          <w:szCs w:val="20"/>
          <w:lang w:val="en-US"/>
        </w:rPr>
        <w:t xml:space="preserve">apud </w:t>
      </w:r>
      <w:r w:rsidRPr="00BF3916">
        <w:rPr>
          <w:sz w:val="20"/>
          <w:szCs w:val="20"/>
          <w:lang w:val="en-US"/>
        </w:rPr>
        <w:t>KOO, 2002, p. 529</w:t>
      </w:r>
      <w:r w:rsidRPr="007A1301">
        <w:rPr>
          <w:sz w:val="20"/>
          <w:szCs w:val="20"/>
          <w:lang w:val="en-US"/>
        </w:rPr>
        <w:t>; CARD, 2010, p. 269; DIKEN</w:t>
      </w:r>
      <w:r>
        <w:rPr>
          <w:sz w:val="20"/>
          <w:szCs w:val="20"/>
          <w:lang w:val="en-US"/>
        </w:rPr>
        <w:t xml:space="preserve"> e</w:t>
      </w:r>
      <w:r w:rsidRPr="00BF3916">
        <w:rPr>
          <w:sz w:val="20"/>
          <w:szCs w:val="20"/>
          <w:lang w:val="en-US"/>
        </w:rPr>
        <w:t xml:space="preserve"> LAUSTSEN, 2005, p. 116; SABOURIN, 2009, p. 36)</w:t>
      </w:r>
      <w:r>
        <w:rPr>
          <w:sz w:val="20"/>
          <w:szCs w:val="20"/>
          <w:lang w:val="en-US"/>
        </w:rPr>
        <w:t>.</w:t>
      </w:r>
      <w:r>
        <w:rPr>
          <w:rStyle w:val="Refdenotaderodap"/>
          <w:lang w:val="en-US"/>
        </w:rPr>
        <w:footnoteReference w:id="8"/>
      </w:r>
      <w:r w:rsidRPr="00F772DA">
        <w:rPr>
          <w:sz w:val="20"/>
          <w:szCs w:val="20"/>
          <w:lang w:val="en-US"/>
        </w:rPr>
        <w:t xml:space="preserve"> </w:t>
      </w:r>
    </w:p>
    <w:p w:rsidR="004D58A7" w:rsidRDefault="004D58A7" w:rsidP="004D58A7">
      <w:pPr>
        <w:tabs>
          <w:tab w:val="left" w:pos="709"/>
        </w:tabs>
        <w:spacing w:line="360" w:lineRule="auto"/>
        <w:ind w:right="-1"/>
        <w:jc w:val="both"/>
        <w:rPr>
          <w:szCs w:val="20"/>
        </w:rPr>
      </w:pPr>
      <w:r w:rsidRPr="004D58A7">
        <w:rPr>
          <w:szCs w:val="20"/>
          <w:lang w:val="en-US"/>
        </w:rPr>
        <w:lastRenderedPageBreak/>
        <w:tab/>
      </w:r>
      <w:r>
        <w:rPr>
          <w:szCs w:val="20"/>
        </w:rPr>
        <w:t xml:space="preserve">Destarte, o estupro funcionava, assim como ainda funciona, como parte do arcabouço estratégico de guerra, e tem o objetivo principal de infligir trauma e em seguida destruir os laços familiares, tendo majoritariamente no corpo da mulher o meio através do qual macular a identidade do inimigo. </w:t>
      </w:r>
    </w:p>
    <w:p w:rsidR="004D58A7" w:rsidRDefault="004D58A7" w:rsidP="004D58A7">
      <w:pPr>
        <w:tabs>
          <w:tab w:val="left" w:pos="709"/>
        </w:tabs>
        <w:spacing w:line="360" w:lineRule="auto"/>
        <w:ind w:right="-1"/>
        <w:jc w:val="both"/>
        <w:rPr>
          <w:szCs w:val="20"/>
        </w:rPr>
      </w:pPr>
      <w:r>
        <w:rPr>
          <w:szCs w:val="20"/>
        </w:rPr>
        <w:tab/>
      </w:r>
      <w:r>
        <w:t xml:space="preserve">Os estupros estratégicos têm o objetivo de atacar não só a vítima, no caso, a mulher, mas, por intermédio dela, atingir a estrutura social em que ela está inserida, dissolvendo sua comunidade por intermédio da violência sexual (AYDELOTT, 1993; DIKEN e LAUSTSEN, 2005), já que em tempos de guerra os corpos dos indivíduos tornam-se metaforicamente um só corpo social (OLUJIC, 1998). </w:t>
      </w:r>
    </w:p>
    <w:p w:rsidR="004D58A7" w:rsidRDefault="004D58A7" w:rsidP="004D58A7">
      <w:pPr>
        <w:tabs>
          <w:tab w:val="left" w:pos="709"/>
        </w:tabs>
        <w:spacing w:line="360" w:lineRule="auto"/>
        <w:jc w:val="both"/>
      </w:pPr>
      <w:r>
        <w:rPr>
          <w:szCs w:val="20"/>
        </w:rPr>
        <w:tab/>
      </w:r>
      <w:r>
        <w:t xml:space="preserve">O abuso sexual das mulheres da comunidade inimiga é considerado uma grande humilhação (GOLDSTEIN </w:t>
      </w:r>
      <w:r w:rsidRPr="00117E57">
        <w:rPr>
          <w:i/>
        </w:rPr>
        <w:t xml:space="preserve">apud </w:t>
      </w:r>
      <w:r>
        <w:t>DIKEN e LAUSTSEN,</w:t>
      </w:r>
      <w:r w:rsidRPr="00117E57">
        <w:t xml:space="preserve"> 2005</w:t>
      </w:r>
      <w:r>
        <w:t xml:space="preserve">), entendida por Susan Brownmiller como uma experiência que ilustra a impotência do rival (BROWNMILLER </w:t>
      </w:r>
      <w:r>
        <w:rPr>
          <w:i/>
        </w:rPr>
        <w:t xml:space="preserve">apud </w:t>
      </w:r>
      <w:r>
        <w:t xml:space="preserve">DIKEN e LAUSTSEN, 2005), quanto ao seu poder sexual e sua capacidade de proteger suas mulheres (OLUJIC, 1998; SALZMAN </w:t>
      </w:r>
      <w:r>
        <w:rPr>
          <w:i/>
        </w:rPr>
        <w:t xml:space="preserve">apud </w:t>
      </w:r>
      <w:r>
        <w:t>DIKEN e LAUSTSEN, 2005).</w:t>
      </w:r>
    </w:p>
    <w:p w:rsidR="004D58A7" w:rsidRDefault="004D58A7" w:rsidP="004D58A7">
      <w:pPr>
        <w:tabs>
          <w:tab w:val="left" w:pos="709"/>
        </w:tabs>
        <w:spacing w:line="360" w:lineRule="auto"/>
        <w:jc w:val="both"/>
      </w:pPr>
      <w:r>
        <w:tab/>
        <w:t>A violência sexual contra a mulher engendra sentimentos de culpa e vergonha, já que é estabelecida sobre uma construção de gênero feminino que se alicerça no sentido de que o interior do corpo, pelo menos para a cultura ocidental, é o lugar considerado mais privado e íntimo (DIKEN e LAUSTSEN, 2005; VILHENA e</w:t>
      </w:r>
      <w:r w:rsidRPr="00A65AC9">
        <w:t xml:space="preserve"> ZAMORA, 2004). E porque a mulher está inserida em um contexto que sofre construções de gênero que atribuem a ela um dever ser pautado na castidade e na sua suposta vulnerabilidade, cria-se uma zona de segurança ao redor de seu corpo e de suas ações, transformando-a em uma pré-vítima (CAHILL, 2000).</w:t>
      </w:r>
    </w:p>
    <w:p w:rsidR="004D58A7" w:rsidRPr="00CF67E2" w:rsidRDefault="004D58A7" w:rsidP="004D58A7">
      <w:pPr>
        <w:tabs>
          <w:tab w:val="left" w:pos="709"/>
        </w:tabs>
        <w:spacing w:line="360" w:lineRule="auto"/>
        <w:jc w:val="both"/>
      </w:pPr>
      <w:r>
        <w:tab/>
      </w:r>
      <w:r w:rsidRPr="00AF0997">
        <w:t>Logo, se uma mulher é estuprada, ela é vista como culpada p</w:t>
      </w:r>
      <w:r>
        <w:t xml:space="preserve">or haver estado em um lugar onde não deveria estar, ou vestido uma roupa provocante, por exemplo. A vítima passa, então, a questionar-se sobre a possibilidade de ter concorrido culposamente com o estupro, ou a imaginar que por algum motivo o mereceu (HENGEHOLD, 1998). </w:t>
      </w:r>
      <w:r w:rsidRPr="002762CA">
        <w:t>Esse sentiment</w:t>
      </w:r>
      <w:r>
        <w:t>o</w:t>
      </w:r>
      <w:r w:rsidRPr="002762CA">
        <w:t xml:space="preserve"> de culpa está tamb</w:t>
      </w:r>
      <w:r>
        <w:t>ém relacionado a um mito que se criou ao redor do estupro, de que a mulher quer, almeja, em seus recônditos mais profundos, ser estuprada</w:t>
      </w:r>
      <w:r w:rsidRPr="00CF67E2">
        <w:t xml:space="preserve">. Ou que ela pede por isso </w:t>
      </w:r>
      <w:r>
        <w:t xml:space="preserve">agindo de determinada maneira ou </w:t>
      </w:r>
      <w:r w:rsidRPr="00CF67E2">
        <w:t>usando roupas, maquiagem ou perfumes considerados sensuais (DI</w:t>
      </w:r>
      <w:r>
        <w:t>KEN e</w:t>
      </w:r>
      <w:r w:rsidRPr="00CF67E2">
        <w:t xml:space="preserve"> LAUSTSEN, 2005; V</w:t>
      </w:r>
      <w:r>
        <w:t>ILHENA e</w:t>
      </w:r>
      <w:r w:rsidRPr="00CF67E2">
        <w:t xml:space="preserve"> ZAMORA, 2004). </w:t>
      </w:r>
    </w:p>
    <w:p w:rsidR="004D58A7" w:rsidRDefault="004D58A7" w:rsidP="004D58A7">
      <w:pPr>
        <w:tabs>
          <w:tab w:val="left" w:pos="709"/>
        </w:tabs>
        <w:spacing w:line="360" w:lineRule="auto"/>
        <w:jc w:val="both"/>
      </w:pPr>
      <w:r>
        <w:tab/>
      </w:r>
      <w:r w:rsidRPr="00CF67E2">
        <w:t xml:space="preserve">O fato de a vítima se sentir envergonhada surge como um suposto indício da existência desse mito, relacionando-se ao pecado, internalizando-se como uma impureza no imaginário </w:t>
      </w:r>
      <w:r w:rsidRPr="00CF67E2">
        <w:lastRenderedPageBreak/>
        <w:t>da vítima, situando-a em uma zona cinzenta, entre a culpa e a inocência (DIKEN</w:t>
      </w:r>
      <w:r>
        <w:t xml:space="preserve"> e</w:t>
      </w:r>
      <w:r w:rsidRPr="00CF67E2">
        <w:t xml:space="preserve"> LAUSTSEN, 2005).</w:t>
      </w:r>
      <w:r>
        <w:t xml:space="preserve"> Se a vítima sobrevive ao seu algoz, foi porque não houve resistência necessária, ou até mesmo supõe-se que em algum ela o tenha seduzido. É observado se a vítima bebeu, se pegou carona, se usou roupa provocativa e sensual, como indícios de que a vítima tenha contribuído para com o estupro (VILHENA e ZAMORA, 2004).</w:t>
      </w:r>
    </w:p>
    <w:p w:rsidR="004D58A7" w:rsidRDefault="004D58A7" w:rsidP="004D58A7">
      <w:pPr>
        <w:tabs>
          <w:tab w:val="left" w:pos="709"/>
        </w:tabs>
        <w:spacing w:line="360" w:lineRule="auto"/>
        <w:ind w:firstLine="709"/>
        <w:jc w:val="both"/>
      </w:pPr>
      <w:r>
        <w:t xml:space="preserve">Isso tem a ver com a ideia de que é a mulher quem seduz, de que é a mulher quem ocupa o lugar passivo, e que, portanto, dependeria dela a classificação do sexo em um ato consensual ou indesejado (VILHENA e ZAMORA, 2004). A mulher situa-se, então, em uma posição de vulnerabilidade, pois sua alegação pode ser facilmente apontada como falsa, já que poderia ter seduzido o homem, consentido com o ato sexual e depois o acusado de estupro (DIKEN e LAUSTSEN, 2005). </w:t>
      </w:r>
    </w:p>
    <w:p w:rsidR="004D58A7" w:rsidRDefault="004D58A7" w:rsidP="004D58A7">
      <w:pPr>
        <w:tabs>
          <w:tab w:val="left" w:pos="709"/>
        </w:tabs>
        <w:spacing w:after="240" w:line="360" w:lineRule="auto"/>
        <w:ind w:firstLine="709"/>
        <w:jc w:val="both"/>
      </w:pPr>
      <w:r w:rsidRPr="00425A17">
        <w:t xml:space="preserve">Por esses motivos, segundo Diken e Laustsen (2005, p. 123), </w:t>
      </w:r>
      <w:r w:rsidRPr="00775E4D">
        <w:t>“</w:t>
      </w:r>
      <w:r w:rsidRPr="00775E4D">
        <w:rPr>
          <w:i/>
        </w:rPr>
        <w:t>a vítima se sente culpada e envergonhada. O mito do estupro desejado bloqueia a tentativa de verbalizar o ato</w:t>
      </w:r>
      <w:r w:rsidRPr="00775E4D">
        <w:t>”</w:t>
      </w:r>
      <w:r w:rsidRPr="00775E4D">
        <w:rPr>
          <w:rStyle w:val="Refdenotaderodap"/>
        </w:rPr>
        <w:footnoteReference w:id="9"/>
      </w:r>
      <w:r w:rsidRPr="00775E4D">
        <w:t>. Vítima de estupro, a mulher recai, então, em um tabu. Vejamos:</w:t>
      </w:r>
    </w:p>
    <w:p w:rsidR="004D58A7" w:rsidRDefault="004D58A7" w:rsidP="004D58A7">
      <w:pPr>
        <w:tabs>
          <w:tab w:val="left" w:pos="709"/>
        </w:tabs>
        <w:spacing w:after="240"/>
        <w:ind w:left="2268"/>
        <w:jc w:val="both"/>
        <w:rPr>
          <w:sz w:val="20"/>
          <w:szCs w:val="20"/>
        </w:rPr>
      </w:pPr>
      <w:r w:rsidRPr="00676861">
        <w:rPr>
          <w:sz w:val="20"/>
          <w:szCs w:val="20"/>
        </w:rPr>
        <w:t>O significado de ‘tabu’, como vemos, diverge em dois sentidos contrários. Para nós significa, por um lado, ‘sagrado’, ‘consagrado’, e, por outro, ‘misterioso’, ‘perigoso’, ‘proibido’, ‘impuro’. [...] Assim, ‘tabu’ traz em si um sentido de algo inabordável, sendo principalmente expresso em proibições e restrições. [...] ‘Propriamente falando, o tabu abrange apenas (</w:t>
      </w:r>
      <w:r w:rsidRPr="00676861">
        <w:rPr>
          <w:i/>
          <w:sz w:val="20"/>
          <w:szCs w:val="20"/>
        </w:rPr>
        <w:t>a</w:t>
      </w:r>
      <w:r w:rsidRPr="00676861">
        <w:rPr>
          <w:sz w:val="20"/>
          <w:szCs w:val="20"/>
        </w:rPr>
        <w:t>) o caráter sagrado (ou impuro) de pessoas ou coisas, (</w:t>
      </w:r>
      <w:r w:rsidRPr="00676861">
        <w:rPr>
          <w:i/>
          <w:sz w:val="20"/>
          <w:szCs w:val="20"/>
        </w:rPr>
        <w:t>b</w:t>
      </w:r>
      <w:r w:rsidRPr="00676861">
        <w:rPr>
          <w:sz w:val="20"/>
          <w:szCs w:val="20"/>
        </w:rPr>
        <w:t>) a espécie de proibição que resulta desse caráter, e (</w:t>
      </w:r>
      <w:r w:rsidRPr="00676861">
        <w:rPr>
          <w:i/>
          <w:sz w:val="20"/>
          <w:szCs w:val="20"/>
        </w:rPr>
        <w:t>c</w:t>
      </w:r>
      <w:r w:rsidRPr="00676861">
        <w:rPr>
          <w:sz w:val="20"/>
          <w:szCs w:val="20"/>
        </w:rPr>
        <w:t>) a santidade (ou impureza) que resulta de uma violação da proibição. [...] ‘A violação de um tabu transforma o pró</w:t>
      </w:r>
      <w:r>
        <w:rPr>
          <w:sz w:val="20"/>
          <w:szCs w:val="20"/>
        </w:rPr>
        <w:t>prio transgressor em tabu (...)</w:t>
      </w:r>
      <w:r w:rsidRPr="00676861">
        <w:rPr>
          <w:sz w:val="20"/>
          <w:szCs w:val="20"/>
        </w:rPr>
        <w:t>’</w:t>
      </w:r>
      <w:r>
        <w:rPr>
          <w:sz w:val="20"/>
          <w:szCs w:val="20"/>
        </w:rPr>
        <w:t xml:space="preserve">. (FREUD, </w:t>
      </w:r>
      <w:r w:rsidRPr="00676861">
        <w:rPr>
          <w:sz w:val="20"/>
          <w:szCs w:val="20"/>
        </w:rPr>
        <w:t>1996</w:t>
      </w:r>
      <w:r>
        <w:rPr>
          <w:sz w:val="20"/>
          <w:szCs w:val="20"/>
        </w:rPr>
        <w:t>, p. 37</w:t>
      </w:r>
      <w:r w:rsidRPr="00676861">
        <w:rPr>
          <w:sz w:val="20"/>
          <w:szCs w:val="20"/>
        </w:rPr>
        <w:t>)</w:t>
      </w:r>
      <w:r>
        <w:rPr>
          <w:sz w:val="20"/>
          <w:szCs w:val="20"/>
        </w:rPr>
        <w:t>.</w:t>
      </w:r>
    </w:p>
    <w:p w:rsidR="004D58A7" w:rsidRDefault="004D58A7" w:rsidP="004D58A7">
      <w:pPr>
        <w:tabs>
          <w:tab w:val="left" w:pos="709"/>
        </w:tabs>
        <w:spacing w:after="240" w:line="360" w:lineRule="auto"/>
        <w:jc w:val="both"/>
      </w:pPr>
      <w:r>
        <w:tab/>
        <w:t>É justamente por considerar ser o estupro e ela mesma, enquanto sujeito passivo da ação violenta, tabus, que a mulher silencia, pois se sente culpada pelo acontecido, esse tabu, inclusive, excede a seara nacional e pode ser observado também a nível internacional, quando observado o posicionamento tardio do Direito Internacional, conforme veremos adiante.</w:t>
      </w:r>
    </w:p>
    <w:p w:rsidR="004D58A7" w:rsidRPr="00B32FFD" w:rsidRDefault="004D58A7" w:rsidP="004D58A7">
      <w:pPr>
        <w:pStyle w:val="PargrafodaLista"/>
        <w:numPr>
          <w:ilvl w:val="0"/>
          <w:numId w:val="2"/>
        </w:numPr>
        <w:spacing w:line="360" w:lineRule="auto"/>
        <w:ind w:left="0" w:hanging="11"/>
        <w:jc w:val="both"/>
      </w:pPr>
      <w:r w:rsidRPr="00B32FFD">
        <w:rPr>
          <w:b/>
        </w:rPr>
        <w:t>O DIREITO INTERNACIONAL E O ESTUPRO DE MULHERES EM TEMPOS DE GUERRA SOB O VIÉS DAS RELAÇÕES INTERNACIONAIS</w:t>
      </w:r>
    </w:p>
    <w:p w:rsidR="004D58A7" w:rsidRDefault="004D58A7" w:rsidP="004D58A7">
      <w:pPr>
        <w:spacing w:line="360" w:lineRule="auto"/>
        <w:jc w:val="both"/>
      </w:pPr>
      <w:r>
        <w:tab/>
        <w:t xml:space="preserve">Conforme visto na seção anterior, relatos de estupro e outras violências sexuais cometidas contra mulheres estão presentes em toda parte, desde "A Ilíada" de Homero, passando pelas guerras mundiais e vários outros conflitos, no entanto, a apreciação da prática pelo direito internacional pode ser considerada tardia. Durante muito tempo o estupro foi compreendido como um produto inevitável da guerra (AYDELOTT, 1993; MITCHELL, 2005), recebendo muito pouca atenção do direito internacional. </w:t>
      </w:r>
    </w:p>
    <w:p w:rsidR="004D58A7" w:rsidRDefault="004D58A7" w:rsidP="004D58A7">
      <w:pPr>
        <w:spacing w:line="360" w:lineRule="auto"/>
        <w:jc w:val="both"/>
      </w:pPr>
      <w:r>
        <w:lastRenderedPageBreak/>
        <w:tab/>
        <w:t>Segundo Askin (2003), no ano de 1300, houve um advogado italiano que defendeu a criminalização severa do estupro não apenas nos tempos de guerra, mas igualmente durante os tempos de paz. No ano de 1600, Hugo Grotius também concluiu pela criminalização do estupro tanto em gue</w:t>
      </w:r>
      <w:r w:rsidR="009142AA">
        <w:t>rra quanto em paz. E</w:t>
      </w:r>
      <w:r>
        <w:t>m meados de 1800, já existiam as leis</w:t>
      </w:r>
      <w:r w:rsidR="009142AA">
        <w:t xml:space="preserve"> de guerra, porém, com base nos</w:t>
      </w:r>
      <w:r>
        <w:t xml:space="preserve"> costumes ou em códigos militares domésticos e religiosos (ASKIN, 2003).</w:t>
      </w:r>
    </w:p>
    <w:p w:rsidR="004D58A7" w:rsidRDefault="004D58A7" w:rsidP="004D58A7">
      <w:pPr>
        <w:spacing w:line="360" w:lineRule="auto"/>
        <w:jc w:val="both"/>
      </w:pPr>
      <w:r>
        <w:tab/>
      </w:r>
      <w:r w:rsidR="009142AA">
        <w:t>Somente n</w:t>
      </w:r>
      <w:r>
        <w:t>o ano de 1863, os EUA fizeram</w:t>
      </w:r>
      <w:r w:rsidR="009142AA">
        <w:t>,</w:t>
      </w:r>
      <w:r>
        <w:t xml:space="preserve"> </w:t>
      </w:r>
      <w:r w:rsidR="009142AA">
        <w:t>n</w:t>
      </w:r>
      <w:r>
        <w:t xml:space="preserve">o Código Lieber, a primeira codificação internacional dos costumes de guerra a proibir o estupro (AZEVEDO, 2014), na qual ficou listado o estupro cometido pelo beligerante como um dos crimes de guerra mais sérios (ASKIN 2003; MITCHELL, 2005), no entanto, classificado como crime de disciplina de tropa (MITCHELL, 2005). </w:t>
      </w:r>
    </w:p>
    <w:p w:rsidR="004D58A7" w:rsidRDefault="004D58A7" w:rsidP="004D58A7">
      <w:pPr>
        <w:spacing w:line="360" w:lineRule="auto"/>
        <w:jc w:val="both"/>
      </w:pPr>
      <w:r>
        <w:tab/>
        <w:t>Em 1907, a Convenção de Haia defendeu a proteção das mulheres com base em seu artigo 46,</w:t>
      </w:r>
      <w:r w:rsidR="009142AA">
        <w:t xml:space="preserve"> o</w:t>
      </w:r>
      <w:r>
        <w:t xml:space="preserve"> qual dispõe que os direitos de família e de honra, da vida das pessoas e da propriedade privada deveriam ser respeitados, obstando-se de mencionar explicitamente a proibição do estupro (ASKIN, 2003; AZEVEDO, 2014; MITCHELL, 2005).</w:t>
      </w:r>
    </w:p>
    <w:p w:rsidR="004D58A7" w:rsidRDefault="004D58A7" w:rsidP="004D58A7">
      <w:pPr>
        <w:spacing w:line="360" w:lineRule="auto"/>
        <w:jc w:val="both"/>
      </w:pPr>
      <w:r>
        <w:tab/>
        <w:t>Posteriormente à Primeira Guerra Mundial, uma comissão foi instituída para averiguar</w:t>
      </w:r>
      <w:r w:rsidR="009142AA">
        <w:t xml:space="preserve"> as responsabilidades de guerra. Constatou-se</w:t>
      </w:r>
      <w:r>
        <w:t xml:space="preserve">, dentro de uma lista de trinta e dois crimes, </w:t>
      </w:r>
      <w:r w:rsidR="009142AA">
        <w:t xml:space="preserve">em quinto lugar, </w:t>
      </w:r>
      <w:r>
        <w:t>a ocorrência de estupros</w:t>
      </w:r>
      <w:r w:rsidR="009142AA">
        <w:t>.</w:t>
      </w:r>
      <w:r>
        <w:t xml:space="preserve"> </w:t>
      </w:r>
      <w:r w:rsidR="009142AA">
        <w:t>A</w:t>
      </w:r>
      <w:r>
        <w:t xml:space="preserve"> atenção dada a esse fato, no entanto, foi mínima (ASKIN, 2003; AYDELOTT, 1993; AZEVEDO, 2014). </w:t>
      </w:r>
    </w:p>
    <w:p w:rsidR="004D58A7" w:rsidRDefault="004D58A7" w:rsidP="004D58A7">
      <w:pPr>
        <w:spacing w:line="360" w:lineRule="auto"/>
        <w:jc w:val="both"/>
      </w:pPr>
      <w:r>
        <w:tab/>
        <w:t>No Tribunal de Nuremberg, instituído após a Segunda Guerra Mundial, não houve julgamentos de estupro (AZEVEDO, 2014), não obstante tenham havido notícias de ocorrência da prática na Noite dos Cristais, em novembro de 1938, ademais de fortes evidências em documentos alemães de utilização em massa do estupro como arma de terror (ASKIN, 2003; AYDELOTT, 1993; MITCHELL, 2005). Sabe-se que as forças norte-americanas, quando invadiram a Alemanha, também cometeram violências sexuais contra as mulheres locais; algum tempo depois os mesmos relatos puderam ser percebidos também na Guerra do Vietnã  (AYDELOTT, 1993).</w:t>
      </w:r>
    </w:p>
    <w:p w:rsidR="004D58A7" w:rsidRDefault="004D58A7" w:rsidP="004D58A7">
      <w:pPr>
        <w:spacing w:line="360" w:lineRule="auto"/>
        <w:jc w:val="both"/>
      </w:pPr>
      <w:r>
        <w:tab/>
        <w:t xml:space="preserve">Um dos episódios mais horrendos envolvendo abusos sexuais contra mulheres ocorreu também durante a Segunda Guerra Mundial, em 1937, na China, quando os militares japoneses invadiram a cidade de Nanking e fizeram de escravas sexuais mais de duzentas mil mulheres (ASKIN, 2003; AYDELOTT, 1993; MITCHELL, 2005). Apenas dez anos depois foi instituído o Tribunal para Crimes de Guerra de Tóquio, para averiguar as ações japonesas, que, semelhante ao Tribunal de Nuremberg, não listou explicitamente nenhum crime de estupro (ASKIN, 2003; AYDELOTT, 1993; AZEVEDO, 2014; MITCHELL, 2005). </w:t>
      </w:r>
    </w:p>
    <w:p w:rsidR="004D58A7" w:rsidRPr="00DF4167" w:rsidRDefault="004D58A7" w:rsidP="004D58A7">
      <w:pPr>
        <w:spacing w:after="240"/>
        <w:ind w:left="2268"/>
        <w:jc w:val="both"/>
        <w:rPr>
          <w:sz w:val="20"/>
          <w:szCs w:val="20"/>
        </w:rPr>
      </w:pPr>
      <w:r w:rsidRPr="00DF4167">
        <w:rPr>
          <w:sz w:val="20"/>
          <w:szCs w:val="20"/>
        </w:rPr>
        <w:lastRenderedPageBreak/>
        <w:t xml:space="preserve">Na I e na II Convenção de Genebra, o Artigo 12º dispõe que "as mulheres serão tratadas com todos os cuidados especiais devidos ao seu sexo". A </w:t>
      </w:r>
      <w:r w:rsidR="009142AA">
        <w:rPr>
          <w:sz w:val="20"/>
          <w:szCs w:val="20"/>
        </w:rPr>
        <w:t>III Convenção, em seu artigo 14</w:t>
      </w:r>
      <w:r w:rsidRPr="00DF4167">
        <w:rPr>
          <w:sz w:val="20"/>
          <w:szCs w:val="20"/>
        </w:rPr>
        <w:t>, mantém o mesmo entendimento dos artigos previstos nas duas primeiras e determina quanto aos prisioneiros de guerra que "as mulheres devem ser tratadas com todo o respeito devido ao seu sexo e beneficiar em todos os casos de um tratamento tão favorável como o que é  dispensado aos homens". (AZEVEDO, 2014, p. 17).</w:t>
      </w:r>
    </w:p>
    <w:p w:rsidR="004D58A7" w:rsidRDefault="004D58A7" w:rsidP="004D58A7">
      <w:pPr>
        <w:spacing w:line="360" w:lineRule="auto"/>
        <w:jc w:val="both"/>
      </w:pPr>
      <w:r>
        <w:tab/>
        <w:t>Foram mais de quatrocentos artigos na IV Convenção de Genebra referente</w:t>
      </w:r>
      <w:r w:rsidR="0011304E">
        <w:t>s</w:t>
      </w:r>
      <w:r>
        <w:t xml:space="preserve"> a proteção de civis em tempos de guerra, e apenas um artigo, o artigo 27, faz menção explicitamente ao estupro (ASKIN, 2003; AZEVEDO, 2014; MITCHE</w:t>
      </w:r>
      <w:r w:rsidR="0011304E">
        <w:t xml:space="preserve">LL, 2005). </w:t>
      </w:r>
      <w:r>
        <w:t>Os Protocolos Adicionais dispuseram que a mulher deveria ser objeto de especial respeito, devendo ser particularmente protegida contra o estupro e outras formas de violência sexual em defesa da sua dignidade pessoal e da sua honra (AZEVEDO, 2014</w:t>
      </w:r>
      <w:r w:rsidR="0011304E">
        <w:t>)</w:t>
      </w:r>
      <w:r>
        <w:t>, o que facilmente nos leva a perceber que a mulher foi tratada pelos protocolos como um objeto e não como um sujeito de direito, ademais, a sua proteção tendo por base a dignidade infere observar que a lesão ocasionada com o estupro não seria pessoal, contra a autonomia sexual da vítima, mas sim contra a sua honra (MITCHELL, 2005).</w:t>
      </w:r>
    </w:p>
    <w:p w:rsidR="004D58A7" w:rsidRPr="00DF4167" w:rsidRDefault="004D58A7" w:rsidP="004D58A7">
      <w:pPr>
        <w:spacing w:after="240"/>
        <w:ind w:left="2268"/>
        <w:jc w:val="both"/>
        <w:rPr>
          <w:sz w:val="20"/>
          <w:szCs w:val="20"/>
        </w:rPr>
      </w:pPr>
      <w:r w:rsidRPr="00DF4167">
        <w:rPr>
          <w:sz w:val="20"/>
          <w:szCs w:val="20"/>
        </w:rPr>
        <w:t>A Convenção para Prevenção e Repressão ao Crime de Genocídio, de 1948, mencionou em seu Artigo 6º a criação de um tribunal penal internacional. No entanto, com</w:t>
      </w:r>
      <w:r w:rsidR="0011304E">
        <w:rPr>
          <w:sz w:val="20"/>
          <w:szCs w:val="20"/>
        </w:rPr>
        <w:t xml:space="preserve"> </w:t>
      </w:r>
      <w:r w:rsidRPr="00DF4167">
        <w:rPr>
          <w:sz w:val="20"/>
          <w:szCs w:val="20"/>
        </w:rPr>
        <w:t xml:space="preserve">o advento da Guerra Fria, os projetos para a criação de tal organismo foram relegados ao segundo plano, só reaparecendo na agenda internacional na década de 1990, com a eclosão de inúmeros conflitos e o consequente estabelecimento dos tribunais </w:t>
      </w:r>
      <w:r w:rsidRPr="00DF4167">
        <w:rPr>
          <w:i/>
          <w:sz w:val="20"/>
          <w:szCs w:val="20"/>
        </w:rPr>
        <w:t xml:space="preserve">ad hoc, </w:t>
      </w:r>
      <w:r w:rsidRPr="00DF4167">
        <w:rPr>
          <w:sz w:val="20"/>
          <w:szCs w:val="20"/>
        </w:rPr>
        <w:t>como o da Iugoslávia e o de Ruanda. (AZEVEDO, 2014, p. 21).</w:t>
      </w:r>
    </w:p>
    <w:p w:rsidR="004D58A7" w:rsidRDefault="004D58A7" w:rsidP="004D58A7">
      <w:pPr>
        <w:spacing w:line="360" w:lineRule="auto"/>
        <w:jc w:val="both"/>
      </w:pPr>
      <w:r>
        <w:tab/>
        <w:t xml:space="preserve">Como é possível observar, em que pese a antiguidade da utilização do estupro em tempos de guerra, foi apenas depois das inúmeras atrocidades de violência sexual perpetradas em larga escala, na década de 1990, associadas a uma maior difusão midiática (MITCHELL, 2005), que o estupro em tempos de conflitos passou a fazer parte, de maneira significativa, da agenda </w:t>
      </w:r>
      <w:r w:rsidRPr="00864D70">
        <w:t>internacional (VITO et al., 2009).</w:t>
      </w:r>
      <w:r>
        <w:t xml:space="preserve"> </w:t>
      </w:r>
    </w:p>
    <w:p w:rsidR="004D58A7" w:rsidRDefault="004D58A7" w:rsidP="004D58A7">
      <w:pPr>
        <w:spacing w:line="360" w:lineRule="auto"/>
        <w:jc w:val="both"/>
      </w:pPr>
      <w:r>
        <w:tab/>
        <w:t xml:space="preserve">Os motivos para essa entrada tardia da temática relacionada ao estupro em tempos de guerra na agenda internacional e, conseqüentemente, no direito internacional, são explicados pelas teorias feministas das Relações Internacionais, que verificaram uma masculinização latente tanto no discurso teórico da área, quanto no cenário internacional em si (NOGUEIRA e MESSARI, 2005; TICKNER, 2001). </w:t>
      </w:r>
    </w:p>
    <w:p w:rsidR="004D58A7" w:rsidRDefault="004D58A7" w:rsidP="004D58A7">
      <w:pPr>
        <w:tabs>
          <w:tab w:val="left" w:pos="709"/>
        </w:tabs>
        <w:spacing w:line="360" w:lineRule="auto"/>
        <w:jc w:val="both"/>
      </w:pPr>
      <w:r>
        <w:rPr>
          <w:szCs w:val="20"/>
        </w:rPr>
        <w:tab/>
        <w:t xml:space="preserve">Historicamente, a condição da mulher pode ser associada a uma posição de subjugação. Isto porque desde os tempos primevos a condição feminina tem sido atrelada a uma docilidade e emotividade tal que passou a existir uma crença de ser necessária a intervenção do homem para o governo e proteção da categoria feminina, </w:t>
      </w:r>
      <w:r w:rsidRPr="00370322">
        <w:rPr>
          <w:szCs w:val="20"/>
        </w:rPr>
        <w:t>creditada como incapaz de autogovernar</w:t>
      </w:r>
      <w:r>
        <w:rPr>
          <w:szCs w:val="20"/>
        </w:rPr>
        <w:t xml:space="preserve">-se. </w:t>
      </w:r>
      <w:r>
        <w:rPr>
          <w:szCs w:val="20"/>
        </w:rPr>
        <w:tab/>
        <w:t xml:space="preserve">A partir dessa crença, baseada em uma suposta fragilidade e </w:t>
      </w:r>
      <w:r>
        <w:rPr>
          <w:szCs w:val="20"/>
        </w:rPr>
        <w:lastRenderedPageBreak/>
        <w:t xml:space="preserve">vulnerabilidade, aparentemente intrínsecas à mulher, foi-se construindo um conceito de dever-ser feminino. Essas assunções são creditadas a uma racionalidade construída e fundamentada pelas diversas regras e discursos que regem as mais variadas sociedades. Dentre elas, muitas vezes a mulher ficou relegada ao espaço privado/doméstico (CAMPOS, 2010), enquanto o homem transitava livremente entre ambos os cenários públicos e privados (SHIMKO, 2010). </w:t>
      </w:r>
    </w:p>
    <w:p w:rsidR="004D58A7" w:rsidRDefault="004D58A7" w:rsidP="004D58A7">
      <w:pPr>
        <w:spacing w:line="360" w:lineRule="auto"/>
        <w:jc w:val="both"/>
        <w:rPr>
          <w:szCs w:val="20"/>
        </w:rPr>
      </w:pPr>
      <w:r>
        <w:rPr>
          <w:szCs w:val="20"/>
        </w:rPr>
        <w:tab/>
        <w:t xml:space="preserve">As teorias feministas delatam essa posição subalterna ocupada pela mulher. Falamos em teorias por não ser possível alocar a alçada feminista de forma singular, e sim, em plural, já que não há apenas um feminismo, e, sim, feminismos (ARREAZA e TICKNER, 2002; CAMPOS, 2010). Não obstante haver diferentes teorias feministas, e ainda que elas discordem em variados pontos umas das outras, é possível encontrar confluências. Uma delas é a utilização do que Steans </w:t>
      </w:r>
      <w:r>
        <w:rPr>
          <w:i/>
          <w:szCs w:val="20"/>
        </w:rPr>
        <w:t xml:space="preserve">apud </w:t>
      </w:r>
      <w:r>
        <w:rPr>
          <w:szCs w:val="20"/>
        </w:rPr>
        <w:t>Campos (2010, p. 43) nomeia como “</w:t>
      </w:r>
      <w:r w:rsidRPr="00120726">
        <w:rPr>
          <w:i/>
          <w:szCs w:val="20"/>
        </w:rPr>
        <w:t>lentes de gênero</w:t>
      </w:r>
      <w:r>
        <w:rPr>
          <w:szCs w:val="20"/>
        </w:rPr>
        <w:t xml:space="preserve">”.  Ou seja, um dos pontos convergentes entre os variados feminismos concentra-se no estudo das construções de gênero (NOGUEIRA e MESSARI, 2005). </w:t>
      </w:r>
      <w:r>
        <w:rPr>
          <w:szCs w:val="20"/>
        </w:rPr>
        <w:tab/>
        <w:t xml:space="preserve">Convém, então, ressaltar o que aqui se entende por gênero: </w:t>
      </w:r>
    </w:p>
    <w:p w:rsidR="004D58A7" w:rsidRPr="00D71079" w:rsidRDefault="004D58A7" w:rsidP="004D58A7">
      <w:pPr>
        <w:tabs>
          <w:tab w:val="left" w:pos="709"/>
        </w:tabs>
        <w:spacing w:after="240"/>
        <w:ind w:left="2268"/>
        <w:jc w:val="both"/>
        <w:rPr>
          <w:sz w:val="20"/>
          <w:szCs w:val="20"/>
        </w:rPr>
      </w:pPr>
      <w:r>
        <w:rPr>
          <w:sz w:val="20"/>
          <w:szCs w:val="20"/>
        </w:rPr>
        <w:t>[A] própria criação do conceito de gênero, por feministas de língua inglesa, na década de 1970, pode ser interpretada – ainda – como uma tentativa de superar as teses essencialistas que defendem que as diferenças dos sexos não são apenas diferenças, mas sinais da superioridade natural do masculino sobre o feminino. Para além do fato de existirem diferenças reais – anatômicas e biológicas – entre o homem e a mulher, a posição essencialista converte as diferenças em diferenças ontológicas, isto é, apresenta-as como constitutivas e essenciais. Sendo assim, a condição inferior da mulher é julgada natural, inevitável, universal e imutável, e onde o controle masculino aparece como necessário e justo. Ora, é precisamente a legitimidade dessa passagem do biológico para o ontológico que o conceito crítico de gênero propõe questionar. Foram, portanto, principalmente, dois fatores interligados que motivaram a criação de uma nova categoria de investigação a respeito das questões relacionadas às diferenças entre os sexos. Por um lado, a vontade de combater o reducionismo biológico e, por outro, a necessidade de chamar a atenção sobre a construção social e histórica dos sexos. (CARVALHO, 2010, pp. 85-</w:t>
      </w:r>
      <w:r w:rsidR="0011304E">
        <w:rPr>
          <w:sz w:val="20"/>
          <w:szCs w:val="20"/>
        </w:rPr>
        <w:t>8</w:t>
      </w:r>
      <w:r>
        <w:rPr>
          <w:sz w:val="20"/>
          <w:szCs w:val="20"/>
        </w:rPr>
        <w:t>6).</w:t>
      </w:r>
    </w:p>
    <w:p w:rsidR="004D58A7" w:rsidRDefault="004D58A7" w:rsidP="004D58A7">
      <w:pPr>
        <w:tabs>
          <w:tab w:val="left" w:pos="709"/>
        </w:tabs>
        <w:spacing w:line="360" w:lineRule="auto"/>
        <w:jc w:val="both"/>
      </w:pPr>
      <w:r>
        <w:rPr>
          <w:szCs w:val="20"/>
        </w:rPr>
        <w:tab/>
        <w:t xml:space="preserve">Gênero é, pois, uma construção de identidade que se dá de forma binária e relacional, onde as desigualdades entre homens e mulheres são perpetradas através de associações binárias dicotômicas: eu/outro, público/privado, racional/irracional, objetivo/subjetivo. Comumente ocupa a mulher o espaço marginalizado, relacionado à inferioridade e a segregação, que ocupa o segundo espaço na ordem binária, como o outro, o privado, o irracional e o subjetivo (ARREAZA e TICKNER, 2002). A construção de gênero é produzida, e ao mesmo tempo reproduzida, mediante um </w:t>
      </w:r>
      <w:r w:rsidRPr="004C7404">
        <w:rPr>
          <w:szCs w:val="20"/>
        </w:rPr>
        <w:t>processo de repetição que estabelece uma</w:t>
      </w:r>
      <w:r>
        <w:rPr>
          <w:szCs w:val="20"/>
        </w:rPr>
        <w:t xml:space="preserve"> masculinidade naturalizada. Esse processo de repetição dá-se como um conjunto de atos e práticas que, repetidos ao longo do tempo, naturalizam seus efeitos como uma realidade natural, transformando esses atos e práticas em “fatos” (BUTLER, 2003).  </w:t>
      </w:r>
    </w:p>
    <w:p w:rsidR="004D58A7" w:rsidRDefault="004D58A7" w:rsidP="004D58A7">
      <w:pPr>
        <w:tabs>
          <w:tab w:val="left" w:pos="709"/>
        </w:tabs>
        <w:spacing w:line="360" w:lineRule="auto"/>
        <w:jc w:val="both"/>
      </w:pPr>
      <w:r>
        <w:rPr>
          <w:szCs w:val="20"/>
        </w:rPr>
        <w:lastRenderedPageBreak/>
        <w:tab/>
        <w:t>As teorias consideradas dominantes das Relações Internacionais diziam-se</w:t>
      </w:r>
      <w:r>
        <w:t xml:space="preserve"> partir de conceitos neutros de gênero, e com isso mascarou essas influências na disciplina (HALLIDAY, 2007), ao que o feminismo ocidental percebeu e rebateu com a alegação de que a sociedade tal qual a vemos é, sim, influenciada pelas construções de gênero, bem como as relações internacionais e a disciplina que as estuda (HALLIDAY, 2007; NOGUEIRA e MESSARI, 2005 SARFATI, 2005). </w:t>
      </w:r>
    </w:p>
    <w:p w:rsidR="004D58A7" w:rsidRPr="00901EFD" w:rsidRDefault="004D58A7" w:rsidP="004D58A7">
      <w:pPr>
        <w:tabs>
          <w:tab w:val="left" w:pos="709"/>
        </w:tabs>
        <w:spacing w:after="240"/>
        <w:ind w:left="2268"/>
        <w:jc w:val="both"/>
        <w:rPr>
          <w:sz w:val="20"/>
          <w:szCs w:val="20"/>
        </w:rPr>
      </w:pPr>
      <w:r w:rsidRPr="00901EFD">
        <w:rPr>
          <w:sz w:val="20"/>
          <w:szCs w:val="20"/>
        </w:rPr>
        <w:t xml:space="preserve">O fato é que, como em outras práticas sociais, os processos internacionais possuem efeitos de gênero: dos militares e econômicos aos de formação e difusão de imagens sobre as mulheres e de modismos feministas. A história da política estatal sobre o que pode, à primeira vista, parecer ser a mais privada e individual questão de todas, qual seja, a reprodução humana, está repleta de casos nos quais os Estados buscaram influenciar a taxa de natalidade [...] como parte da competição interestatal. [...] “A história das nações é determinada não no campo de batalha, mas no berçário, e os batalhões que dão a vitória final são os batalhões dos bebês. A política do futuro será doméstica”. (HALLIDAY, 2007, p. 164). </w:t>
      </w:r>
    </w:p>
    <w:p w:rsidR="004D58A7" w:rsidRDefault="004D58A7" w:rsidP="004D58A7">
      <w:pPr>
        <w:tabs>
          <w:tab w:val="left" w:pos="709"/>
        </w:tabs>
        <w:spacing w:line="360" w:lineRule="auto"/>
        <w:jc w:val="both"/>
      </w:pPr>
      <w:r>
        <w:tab/>
        <w:t>O nacionalismo, por exemplo, claramente não deve ser entendido de forma neutra, isenta dessas influências, o que fica evidente quando à categoria feminina são associados os papéis de esposas, mães e enfermeiras, de forma dicotômica, sexista e justaposta à categoria masculina, esta associada à militarização, alocando a mulher no âmbito doméstico/privado e o homem no público (CAPRIOLI, 2005; SALOOM, 2006). Tanto é que, devido à masculinidade presente nas relações internacionais, o número de mulheres em posições de tomadas de decisões é ainda pequeno, quando em justaposição com a história da política mundial (BROOKS, 2002; SALOOM, 2006), e isso se reflete nas políticas estatais, bem como nas Relações Internacionais como disciplina e fenô</w:t>
      </w:r>
      <w:r w:rsidR="0011304E">
        <w:t>meno. O estupro sistemático em</w:t>
      </w:r>
      <w:r>
        <w:t xml:space="preserve"> nível estatal, como aco</w:t>
      </w:r>
      <w:r w:rsidR="0011304E">
        <w:t>nteceu na Bósnia, é um espelho em</w:t>
      </w:r>
      <w:r>
        <w:t xml:space="preserve"> nível internacional das práticas domésticas de violência de gênero, que refletem essas construções, escancarando-as no cenário mundial.</w:t>
      </w:r>
    </w:p>
    <w:p w:rsidR="004D58A7" w:rsidRPr="009E2C35" w:rsidRDefault="004D58A7" w:rsidP="004D58A7">
      <w:pPr>
        <w:tabs>
          <w:tab w:val="left" w:pos="709"/>
        </w:tabs>
        <w:spacing w:line="360" w:lineRule="auto"/>
        <w:jc w:val="both"/>
        <w:rPr>
          <w:szCs w:val="20"/>
        </w:rPr>
      </w:pPr>
      <w:r>
        <w:rPr>
          <w:szCs w:val="20"/>
        </w:rPr>
        <w:tab/>
        <w:t xml:space="preserve">Não poderia ser diferente com o direito internacional, principalmente tendo em vista que o mesmo só se ateve realmente ao estupro de mulheres como estratégia de guerra depois da década de 1990. </w:t>
      </w:r>
    </w:p>
    <w:p w:rsidR="004D58A7" w:rsidRPr="009E2C35" w:rsidRDefault="004D58A7" w:rsidP="004D58A7">
      <w:pPr>
        <w:tabs>
          <w:tab w:val="left" w:pos="709"/>
        </w:tabs>
        <w:spacing w:after="240"/>
        <w:ind w:left="2268"/>
        <w:jc w:val="both"/>
        <w:rPr>
          <w:sz w:val="20"/>
          <w:szCs w:val="20"/>
        </w:rPr>
      </w:pPr>
      <w:r w:rsidRPr="009E2C35">
        <w:rPr>
          <w:sz w:val="20"/>
          <w:szCs w:val="20"/>
        </w:rPr>
        <w:t xml:space="preserve">Normas e regras não são apenas “instrumentos” para cálculos de utilidade individual. Elas condicionam estratégias e definem o critério de racionalidade, porque estabelecem os significados intersubjetivos que permitem que atores dirijam suas ações uns aos outros, comuniquem-se, critiquem e justifiquem-se. (ZEHFUSS </w:t>
      </w:r>
      <w:r w:rsidRPr="009E2C35">
        <w:rPr>
          <w:i/>
          <w:sz w:val="20"/>
          <w:szCs w:val="20"/>
        </w:rPr>
        <w:t xml:space="preserve">apud </w:t>
      </w:r>
      <w:r w:rsidRPr="009E2C35">
        <w:rPr>
          <w:sz w:val="20"/>
          <w:szCs w:val="20"/>
        </w:rPr>
        <w:t>MONTE, 2010, p. 32).</w:t>
      </w:r>
    </w:p>
    <w:p w:rsidR="004D58A7" w:rsidRDefault="004D58A7" w:rsidP="004D58A7">
      <w:pPr>
        <w:tabs>
          <w:tab w:val="left" w:pos="709"/>
        </w:tabs>
        <w:spacing w:line="360" w:lineRule="auto"/>
        <w:jc w:val="both"/>
        <w:rPr>
          <w:szCs w:val="20"/>
        </w:rPr>
      </w:pPr>
      <w:r>
        <w:rPr>
          <w:szCs w:val="20"/>
        </w:rPr>
        <w:tab/>
      </w:r>
      <w:r w:rsidRPr="009E2C35">
        <w:rPr>
          <w:szCs w:val="20"/>
        </w:rPr>
        <w:t xml:space="preserve">Desta feita, </w:t>
      </w:r>
      <w:r>
        <w:rPr>
          <w:szCs w:val="20"/>
        </w:rPr>
        <w:t xml:space="preserve">como mais um reflexo dessa distinção binária, histórica e social de homem/mulher e, respectivamente, público/privado, que permeou durante séculos as relações internacionais, </w:t>
      </w:r>
      <w:r w:rsidRPr="009E2C35">
        <w:rPr>
          <w:szCs w:val="20"/>
        </w:rPr>
        <w:t xml:space="preserve">a ideia da suposta inferioridade da mulher </w:t>
      </w:r>
      <w:r>
        <w:rPr>
          <w:szCs w:val="20"/>
        </w:rPr>
        <w:t>acaba por se legitimar</w:t>
      </w:r>
      <w:r w:rsidRPr="009E2C35">
        <w:rPr>
          <w:szCs w:val="20"/>
        </w:rPr>
        <w:t xml:space="preserve"> também por </w:t>
      </w:r>
      <w:r w:rsidRPr="009E2C35">
        <w:rPr>
          <w:szCs w:val="20"/>
        </w:rPr>
        <w:lastRenderedPageBreak/>
        <w:t xml:space="preserve">intermédio da </w:t>
      </w:r>
      <w:r>
        <w:rPr>
          <w:szCs w:val="20"/>
        </w:rPr>
        <w:t>atuação do direito internacional, ou melhor, pela ausência da sua atuação durante um largo espaço de tempo (BROOKS, 2002).</w:t>
      </w:r>
    </w:p>
    <w:p w:rsidR="004D58A7" w:rsidRDefault="004D58A7" w:rsidP="004D58A7">
      <w:pPr>
        <w:tabs>
          <w:tab w:val="left" w:pos="709"/>
        </w:tabs>
        <w:spacing w:line="360" w:lineRule="auto"/>
        <w:jc w:val="both"/>
      </w:pPr>
      <w:r>
        <w:rPr>
          <w:szCs w:val="20"/>
        </w:rPr>
        <w:tab/>
        <w:t xml:space="preserve">A omissão do direito internacional quanto a muitas questões de gênero (BROOKS, 2002), em especial quanto a apreciação do estupro em tempos de guerra, ou o seu posicionamento tardio, tendo em vista a antiguidade da </w:t>
      </w:r>
      <w:r w:rsidRPr="00512932">
        <w:rPr>
          <w:szCs w:val="20"/>
        </w:rPr>
        <w:t>prática, é explicada pelas teorias feministas das Relações Internacionais, que apontam para</w:t>
      </w:r>
      <w:r>
        <w:rPr>
          <w:szCs w:val="20"/>
        </w:rPr>
        <w:t xml:space="preserve"> uma masculinização latente no cenário internacional que obstou que os temas relacionados à mulher fossem levados em consideração </w:t>
      </w:r>
      <w:r w:rsidRPr="00DB5CCA">
        <w:rPr>
          <w:szCs w:val="20"/>
        </w:rPr>
        <w:t xml:space="preserve">(CAMPOS, 2010; </w:t>
      </w:r>
      <w:r>
        <w:rPr>
          <w:szCs w:val="20"/>
        </w:rPr>
        <w:t xml:space="preserve">CARPENTER, 2002; </w:t>
      </w:r>
      <w:r w:rsidRPr="00DB5CCA">
        <w:rPr>
          <w:szCs w:val="20"/>
        </w:rPr>
        <w:t>NOGUEIRA</w:t>
      </w:r>
      <w:r>
        <w:rPr>
          <w:szCs w:val="20"/>
        </w:rPr>
        <w:t xml:space="preserve"> e</w:t>
      </w:r>
      <w:r w:rsidRPr="00DB5CCA">
        <w:rPr>
          <w:szCs w:val="20"/>
        </w:rPr>
        <w:t xml:space="preserve"> MESSARI, 2005)</w:t>
      </w:r>
      <w:r>
        <w:rPr>
          <w:szCs w:val="20"/>
        </w:rPr>
        <w:t xml:space="preserve">. O foco na discussão entre realismo e idealismo fez com que as mulheres fossem durante décadas invisíveis às relações internacionais </w:t>
      </w:r>
      <w:r>
        <w:t xml:space="preserve">(BROOKS, 2002; CARTER, 2010), comumente atentas a debates em torno do Estado e de conceitos afins, como balança de poder, anarquia internacional, segurança internacional, etc (BROOKS, 2002; HALLIDAY, 2007; KOO, 2002; NOGUEIRA e MESSARI, 2005). </w:t>
      </w:r>
    </w:p>
    <w:p w:rsidR="004D58A7" w:rsidRDefault="004D58A7" w:rsidP="004D58A7">
      <w:pPr>
        <w:tabs>
          <w:tab w:val="left" w:pos="709"/>
        </w:tabs>
        <w:spacing w:line="360" w:lineRule="auto"/>
        <w:jc w:val="both"/>
        <w:rPr>
          <w:szCs w:val="20"/>
        </w:rPr>
      </w:pPr>
      <w:r>
        <w:tab/>
      </w:r>
      <w:r>
        <w:rPr>
          <w:szCs w:val="20"/>
        </w:rPr>
        <w:t xml:space="preserve">Foi </w:t>
      </w:r>
      <w:r w:rsidRPr="003D50E0">
        <w:rPr>
          <w:szCs w:val="20"/>
        </w:rPr>
        <w:t>a utilização do gênero como categoria de análise</w:t>
      </w:r>
      <w:r>
        <w:rPr>
          <w:szCs w:val="20"/>
        </w:rPr>
        <w:t xml:space="preserve"> </w:t>
      </w:r>
      <w:r w:rsidRPr="003D50E0">
        <w:rPr>
          <w:szCs w:val="20"/>
        </w:rPr>
        <w:t xml:space="preserve">que </w:t>
      </w:r>
      <w:r>
        <w:rPr>
          <w:szCs w:val="20"/>
        </w:rPr>
        <w:t>possibilitou</w:t>
      </w:r>
      <w:r w:rsidRPr="003D50E0">
        <w:rPr>
          <w:szCs w:val="20"/>
        </w:rPr>
        <w:t xml:space="preserve"> </w:t>
      </w:r>
      <w:r>
        <w:rPr>
          <w:szCs w:val="20"/>
        </w:rPr>
        <w:t>a</w:t>
      </w:r>
      <w:r w:rsidRPr="003D50E0">
        <w:rPr>
          <w:szCs w:val="20"/>
        </w:rPr>
        <w:t xml:space="preserve"> compreensão pela disciplina das </w:t>
      </w:r>
      <w:r>
        <w:rPr>
          <w:szCs w:val="20"/>
        </w:rPr>
        <w:t xml:space="preserve">novas realidades resultantes do fim da </w:t>
      </w:r>
      <w:r w:rsidRPr="003D50E0">
        <w:rPr>
          <w:szCs w:val="20"/>
        </w:rPr>
        <w:t xml:space="preserve">Guerra Fria, período em que o impacto das teorias feministas nas Relações Internacionais convergiu com a eclosão de algumas guerras étnicas na década </w:t>
      </w:r>
      <w:r>
        <w:rPr>
          <w:szCs w:val="20"/>
        </w:rPr>
        <w:t>de 1990, que trouxeram à</w:t>
      </w:r>
      <w:r w:rsidRPr="003D50E0">
        <w:rPr>
          <w:szCs w:val="20"/>
        </w:rPr>
        <w:t xml:space="preserve"> tona uma utilização esparsa, sistemática e política do estupro de mulheres como instrumento estratégico para a realização de genocídio e de limpeza étnica (</w:t>
      </w:r>
      <w:r>
        <w:rPr>
          <w:szCs w:val="20"/>
        </w:rPr>
        <w:t xml:space="preserve">MONTE, 2010; </w:t>
      </w:r>
      <w:r w:rsidRPr="003D50E0">
        <w:rPr>
          <w:szCs w:val="20"/>
        </w:rPr>
        <w:t>NOGUEIRA</w:t>
      </w:r>
      <w:r>
        <w:rPr>
          <w:szCs w:val="20"/>
        </w:rPr>
        <w:t xml:space="preserve"> e</w:t>
      </w:r>
      <w:r w:rsidRPr="003D50E0">
        <w:rPr>
          <w:szCs w:val="20"/>
        </w:rPr>
        <w:t xml:space="preserve"> MESSARI, 2005; SARFATI, 2005).</w:t>
      </w:r>
      <w:r>
        <w:rPr>
          <w:szCs w:val="20"/>
        </w:rPr>
        <w:t xml:space="preserve"> </w:t>
      </w:r>
      <w:r>
        <w:rPr>
          <w:szCs w:val="20"/>
        </w:rPr>
        <w:tab/>
        <w:t>Esses massacres seletivos têm base no gênero, pois são, segundo Campos (2010, p. 56) “</w:t>
      </w:r>
      <w:r w:rsidRPr="00512932">
        <w:rPr>
          <w:i/>
          <w:szCs w:val="20"/>
        </w:rPr>
        <w:t>execuções em massa que selecionam grupos de homens ou mulheres de uma determinada coletividade em função de construções de gênero essencializadas atribuídas a determinado sexo</w:t>
      </w:r>
      <w:r>
        <w:rPr>
          <w:szCs w:val="20"/>
        </w:rPr>
        <w:t xml:space="preserve">” e que muitas vezes têm no estupro o meio através do qual são realizados. </w:t>
      </w:r>
      <w:r w:rsidRPr="00CB4CC3">
        <w:rPr>
          <w:szCs w:val="20"/>
        </w:rPr>
        <w:t>O</w:t>
      </w:r>
      <w:r>
        <w:rPr>
          <w:szCs w:val="20"/>
        </w:rPr>
        <w:t xml:space="preserve"> </w:t>
      </w:r>
      <w:r w:rsidRPr="00CB4CC3">
        <w:rPr>
          <w:szCs w:val="20"/>
        </w:rPr>
        <w:t>estupro</w:t>
      </w:r>
      <w:r>
        <w:rPr>
          <w:szCs w:val="20"/>
        </w:rPr>
        <w:t xml:space="preserve"> </w:t>
      </w:r>
      <w:r w:rsidRPr="00CB4CC3">
        <w:rPr>
          <w:szCs w:val="20"/>
        </w:rPr>
        <w:t>é uma violência sexual</w:t>
      </w:r>
      <w:r>
        <w:rPr>
          <w:szCs w:val="20"/>
        </w:rPr>
        <w:t xml:space="preserve"> que se relaciona</w:t>
      </w:r>
      <w:r w:rsidRPr="00CB4CC3">
        <w:rPr>
          <w:szCs w:val="20"/>
        </w:rPr>
        <w:t xml:space="preserve"> com a posição de fragilidade ocupada pela mulher</w:t>
      </w:r>
      <w:r>
        <w:rPr>
          <w:szCs w:val="20"/>
        </w:rPr>
        <w:t xml:space="preserve"> e com a dominação masculina, e faz parte do arcabouço das mais variadas estratégias bélicas existentes </w:t>
      </w:r>
      <w:r w:rsidRPr="00CB4CC3">
        <w:rPr>
          <w:szCs w:val="20"/>
        </w:rPr>
        <w:t>(VILHENA</w:t>
      </w:r>
      <w:r>
        <w:rPr>
          <w:szCs w:val="20"/>
        </w:rPr>
        <w:t xml:space="preserve"> e</w:t>
      </w:r>
      <w:r w:rsidRPr="00CB4CC3">
        <w:rPr>
          <w:szCs w:val="20"/>
        </w:rPr>
        <w:t xml:space="preserve"> ZAMORA, 2004</w:t>
      </w:r>
      <w:r w:rsidRPr="00EF76B6">
        <w:rPr>
          <w:szCs w:val="20"/>
        </w:rPr>
        <w:t>).</w:t>
      </w:r>
    </w:p>
    <w:p w:rsidR="004D58A7" w:rsidRDefault="004D58A7" w:rsidP="004D58A7">
      <w:pPr>
        <w:tabs>
          <w:tab w:val="left" w:pos="709"/>
        </w:tabs>
        <w:spacing w:after="240" w:line="360" w:lineRule="auto"/>
        <w:jc w:val="both"/>
      </w:pPr>
      <w:r>
        <w:tab/>
        <w:t xml:space="preserve">É sobre esses constructos patriarcais que se alicerçam as violências de gênero, a exemplo do estupro de mulheres como estratégia e arma de guerra, tema do presente estudo, que se fundamentam nas construções de um dever-ser feminino associado a fragilidade e a castidade e por isso tão eficaz: porque destroem a identidade das vítimas enquanto mulher, destruindo-as a partir da ruptura da sua imagem perante o mundo e a concepção que fazem de si, fazendo-as passar por um processo de abjeção, reverberando o silêncio e o sentimento de vergonha dessas vítimas como um grande eco na comunidade em que estão inseridas. O grito </w:t>
      </w:r>
      <w:r>
        <w:lastRenderedPageBreak/>
        <w:t>ensurdecido dessas atrocidades, no entanto, ultrapassa os séculos e as fronteiras e faz-se tanto mais audível quanto mais silencioso. Silêncio não tão tacitamente imposto.</w:t>
      </w:r>
    </w:p>
    <w:p w:rsidR="004D58A7" w:rsidRDefault="004D58A7" w:rsidP="004D58A7">
      <w:pPr>
        <w:spacing w:line="360" w:lineRule="auto"/>
        <w:jc w:val="both"/>
        <w:rPr>
          <w:b/>
        </w:rPr>
      </w:pPr>
      <w:r w:rsidRPr="00F46025">
        <w:rPr>
          <w:b/>
        </w:rPr>
        <w:t>CONCLUSÃO</w:t>
      </w:r>
    </w:p>
    <w:p w:rsidR="00BE5FC3" w:rsidRDefault="004D58A7" w:rsidP="004D58A7">
      <w:pPr>
        <w:spacing w:line="360" w:lineRule="auto"/>
        <w:jc w:val="both"/>
        <w:rPr>
          <w:szCs w:val="20"/>
        </w:rPr>
      </w:pPr>
      <w:r>
        <w:rPr>
          <w:szCs w:val="20"/>
        </w:rPr>
        <w:tab/>
        <w:t>Conforme visto nas duas primeiras seções deste artigo, fica evidente a significante recorrência da guerra nas relações internacionais e também a antiguidade da utilização estratégica e armamentista do estupro, tão antiga quanto a própria guerra em si e tão presente na história quanto ofu</w:t>
      </w:r>
      <w:r w:rsidR="00BE5FC3">
        <w:rPr>
          <w:szCs w:val="20"/>
        </w:rPr>
        <w:t>scada, em que pesem as várias</w:t>
      </w:r>
      <w:r>
        <w:rPr>
          <w:szCs w:val="20"/>
        </w:rPr>
        <w:t xml:space="preserve"> menções a essas violações sexuais presentes na literatura e na arte em geral, dentre outros. Isto porque, de acordo com o exposto, as relações internacionais estiveram durante séculos centradas em assuntos referentes ao Estado e a sua sobr</w:t>
      </w:r>
      <w:r w:rsidR="00BE5FC3">
        <w:rPr>
          <w:szCs w:val="20"/>
        </w:rPr>
        <w:t xml:space="preserve">evivência no meio internacional, assuntos que diziam respeito ao universo masculino. </w:t>
      </w:r>
    </w:p>
    <w:p w:rsidR="00B71842" w:rsidRDefault="00A5745F" w:rsidP="00A5745F">
      <w:pPr>
        <w:spacing w:line="360" w:lineRule="auto"/>
        <w:jc w:val="both"/>
      </w:pPr>
      <w:r>
        <w:rPr>
          <w:szCs w:val="20"/>
        </w:rPr>
        <w:tab/>
      </w:r>
      <w:r w:rsidR="00E13F91">
        <w:t>Da leitura da bibliografia levantada, observa-se que as</w:t>
      </w:r>
      <w:r w:rsidR="00E13F91" w:rsidRPr="00B30D6F">
        <w:t xml:space="preserve"> mulheres são vítimas de estupro em uma escala </w:t>
      </w:r>
      <w:r w:rsidR="00E13F91">
        <w:t xml:space="preserve">bem </w:t>
      </w:r>
      <w:r w:rsidR="00E13F91" w:rsidRPr="00B30D6F">
        <w:t xml:space="preserve">maior do que são os homens, o que </w:t>
      </w:r>
      <w:r w:rsidR="00E13F91">
        <w:t xml:space="preserve">já </w:t>
      </w:r>
      <w:r w:rsidR="00E13F91" w:rsidRPr="00B30D6F">
        <w:t xml:space="preserve">demonstra uma disparidade de gênero. </w:t>
      </w:r>
      <w:r w:rsidR="00E13F91">
        <w:t xml:space="preserve">Isto tem a ver com a construção histórica e social de um dever-ser feminino comumente </w:t>
      </w:r>
      <w:r w:rsidR="00214699">
        <w:t>pautado na castidade e na maternidade, embasado em</w:t>
      </w:r>
      <w:r w:rsidR="00E13F91">
        <w:t xml:space="preserve"> uma fragilidade e impotência sup</w:t>
      </w:r>
      <w:r w:rsidR="00214699">
        <w:t xml:space="preserve">ostamente inerentes à condição de mulher, o que a coloca sob a responsabilidade do homem. </w:t>
      </w:r>
    </w:p>
    <w:p w:rsidR="00B71842" w:rsidRDefault="00B71842" w:rsidP="00B71842">
      <w:pPr>
        <w:tabs>
          <w:tab w:val="left" w:pos="709"/>
        </w:tabs>
        <w:spacing w:line="360" w:lineRule="auto"/>
        <w:jc w:val="both"/>
        <w:rPr>
          <w:szCs w:val="20"/>
        </w:rPr>
      </w:pPr>
      <w:r>
        <w:tab/>
        <w:t>Essa visão excludente e marginalizada da mulher pode ser encontrada inclusive e</w:t>
      </w:r>
      <w:r w:rsidR="00214699">
        <w:rPr>
          <w:szCs w:val="20"/>
        </w:rPr>
        <w:t>m alguns</w:t>
      </w:r>
      <w:r>
        <w:rPr>
          <w:szCs w:val="20"/>
        </w:rPr>
        <w:t xml:space="preserve"> filósofos</w:t>
      </w:r>
      <w:r w:rsidR="00214699">
        <w:rPr>
          <w:szCs w:val="20"/>
        </w:rPr>
        <w:t>, como Aristóteles e Kant</w:t>
      </w:r>
      <w:r>
        <w:rPr>
          <w:szCs w:val="20"/>
        </w:rPr>
        <w:t xml:space="preserve"> </w:t>
      </w:r>
      <w:r w:rsidR="00214699">
        <w:rPr>
          <w:szCs w:val="20"/>
        </w:rPr>
        <w:t>(CARVALHO, 2010; RABENHORST, 2010)</w:t>
      </w:r>
      <w:r>
        <w:rPr>
          <w:szCs w:val="20"/>
        </w:rPr>
        <w:t>.</w:t>
      </w:r>
      <w:r w:rsidR="00214699">
        <w:rPr>
          <w:szCs w:val="20"/>
        </w:rPr>
        <w:t xml:space="preserve"> Aristóteles defendia a ideia de que as mulheres são essencialmente inferiores aos homens e que, apesar de possuírem equivalente capacidade de intelecto, não possuíam o mesmo senso de autogoverno, nem autodomínio, devendo subjugar-se ao controle dos outros (CARVALHO, 2010). Na mesma linha de pensamento, Kant creditava a essa ineficiência de autogoverno da mulher à sua (suposta) incapacidade de seguir preceitos morais ou princípios formais ou abstratos (CARVALHO, 2010; RABENHORST, 2010).</w:t>
      </w:r>
      <w:r>
        <w:rPr>
          <w:szCs w:val="20"/>
        </w:rPr>
        <w:t xml:space="preserve"> </w:t>
      </w:r>
    </w:p>
    <w:p w:rsidR="00B71842" w:rsidRDefault="00B71842" w:rsidP="00B71842">
      <w:pPr>
        <w:tabs>
          <w:tab w:val="left" w:pos="709"/>
        </w:tabs>
        <w:spacing w:line="360" w:lineRule="auto"/>
        <w:jc w:val="both"/>
        <w:rPr>
          <w:szCs w:val="20"/>
        </w:rPr>
      </w:pPr>
      <w:r>
        <w:rPr>
          <w:szCs w:val="20"/>
        </w:rPr>
        <w:tab/>
        <w:t xml:space="preserve">São </w:t>
      </w:r>
      <w:r w:rsidR="00A5745F">
        <w:rPr>
          <w:szCs w:val="20"/>
        </w:rPr>
        <w:t>acreditações como essas</w:t>
      </w:r>
      <w:r>
        <w:rPr>
          <w:szCs w:val="20"/>
        </w:rPr>
        <w:t xml:space="preserve"> que muitas </w:t>
      </w:r>
      <w:r w:rsidRPr="00BD4978">
        <w:rPr>
          <w:szCs w:val="20"/>
        </w:rPr>
        <w:t>vezes acabam permitindo uma série de práticas injustas contra a mulher</w:t>
      </w:r>
      <w:r w:rsidR="00A5745F">
        <w:rPr>
          <w:szCs w:val="20"/>
        </w:rPr>
        <w:t xml:space="preserve">. </w:t>
      </w:r>
      <w:r>
        <w:rPr>
          <w:szCs w:val="20"/>
        </w:rPr>
        <w:t xml:space="preserve">A prática </w:t>
      </w:r>
      <w:r w:rsidRPr="00BD4978">
        <w:rPr>
          <w:szCs w:val="20"/>
        </w:rPr>
        <w:t xml:space="preserve">do </w:t>
      </w:r>
      <w:r w:rsidRPr="00BD4978">
        <w:rPr>
          <w:i/>
          <w:szCs w:val="20"/>
        </w:rPr>
        <w:t>tigh</w:t>
      </w:r>
      <w:r>
        <w:rPr>
          <w:i/>
          <w:szCs w:val="20"/>
        </w:rPr>
        <w:t>t-</w:t>
      </w:r>
      <w:r w:rsidRPr="00BD4978">
        <w:rPr>
          <w:i/>
          <w:szCs w:val="20"/>
        </w:rPr>
        <w:t>lacing</w:t>
      </w:r>
      <w:r>
        <w:rPr>
          <w:rStyle w:val="Refdenotaderodap"/>
          <w:i/>
        </w:rPr>
        <w:footnoteReference w:id="10"/>
      </w:r>
      <w:r w:rsidRPr="00BD4978">
        <w:rPr>
          <w:szCs w:val="20"/>
        </w:rPr>
        <w:t>,</w:t>
      </w:r>
      <w:r w:rsidRPr="00BD4978">
        <w:rPr>
          <w:i/>
          <w:szCs w:val="20"/>
        </w:rPr>
        <w:t xml:space="preserve"> </w:t>
      </w:r>
      <w:r w:rsidRPr="00BD4978">
        <w:rPr>
          <w:szCs w:val="20"/>
        </w:rPr>
        <w:t>do</w:t>
      </w:r>
      <w:r w:rsidRPr="00BD4978">
        <w:rPr>
          <w:i/>
          <w:szCs w:val="20"/>
        </w:rPr>
        <w:t xml:space="preserve"> foot-binding</w:t>
      </w:r>
      <w:r>
        <w:rPr>
          <w:rStyle w:val="Refdenotaderodap"/>
          <w:i/>
        </w:rPr>
        <w:footnoteReference w:id="11"/>
      </w:r>
      <w:r w:rsidRPr="00BD4978">
        <w:rPr>
          <w:i/>
          <w:szCs w:val="20"/>
        </w:rPr>
        <w:t xml:space="preserve">, </w:t>
      </w:r>
      <w:r>
        <w:rPr>
          <w:szCs w:val="20"/>
        </w:rPr>
        <w:t>da</w:t>
      </w:r>
      <w:r w:rsidRPr="00BD4978">
        <w:rPr>
          <w:szCs w:val="20"/>
        </w:rPr>
        <w:t xml:space="preserve"> </w:t>
      </w:r>
      <w:r>
        <w:rPr>
          <w:szCs w:val="20"/>
        </w:rPr>
        <w:t xml:space="preserve">mutilação genital feminina, da circuncisão, da esterilização e da gravidez forçada são exemplos de práticas e violências </w:t>
      </w:r>
      <w:r w:rsidR="00A5745F">
        <w:rPr>
          <w:szCs w:val="20"/>
        </w:rPr>
        <w:t xml:space="preserve">de gênero </w:t>
      </w:r>
      <w:r>
        <w:rPr>
          <w:szCs w:val="20"/>
        </w:rPr>
        <w:t xml:space="preserve">baseadas a partir dessas construções de identidade feminina baseadas na dominação masculina (CAHILL, 2000; SHIMKO, 2010). </w:t>
      </w:r>
    </w:p>
    <w:p w:rsidR="0089623C" w:rsidRDefault="00A5745F" w:rsidP="0089623C">
      <w:pPr>
        <w:tabs>
          <w:tab w:val="left" w:pos="709"/>
        </w:tabs>
        <w:spacing w:line="360" w:lineRule="auto"/>
        <w:ind w:right="-1"/>
        <w:jc w:val="both"/>
      </w:pPr>
      <w:r>
        <w:rPr>
          <w:szCs w:val="20"/>
        </w:rPr>
        <w:lastRenderedPageBreak/>
        <w:tab/>
        <w:t xml:space="preserve">O estupro de mulheres como estratégia e arma de guerra torna-se tão eficaz porque tem como fundamento e como alvo a ser atingido </w:t>
      </w:r>
      <w:r w:rsidR="00B279E5">
        <w:rPr>
          <w:szCs w:val="20"/>
        </w:rPr>
        <w:t xml:space="preserve">a construção de uma identidade feminina, baseada na castidade e na maternidade, compartilhada por uma comunidade. </w:t>
      </w:r>
      <w:r w:rsidR="0089623C">
        <w:t xml:space="preserve">Nos Balcãs, o nome de família deve seguir o nome do pai independentemente da religião ou etnia da mulher (DIKEN e LAUSTSEN, 2005). Logo, se um indivíduo do sexo masculino e de etnia albanesa estupra uma mulher sérvia, que posteriormente constata a gravidez e dá a luz ao bebê fruto desse estupro, esse filho deverá ser considerado não como sérvio, mas, sim, albanês, ainda que também seja geneticamente sérvio (SOFOS </w:t>
      </w:r>
      <w:r w:rsidR="0089623C">
        <w:rPr>
          <w:i/>
        </w:rPr>
        <w:t xml:space="preserve">apud </w:t>
      </w:r>
      <w:r w:rsidR="0089623C">
        <w:t xml:space="preserve">DIKEN e LAUSTSEN, 2005). </w:t>
      </w:r>
    </w:p>
    <w:p w:rsidR="0089623C" w:rsidRPr="0031767F" w:rsidRDefault="0089623C" w:rsidP="0089623C">
      <w:pPr>
        <w:tabs>
          <w:tab w:val="left" w:pos="709"/>
        </w:tabs>
        <w:spacing w:after="240"/>
        <w:ind w:left="2268" w:right="-1"/>
        <w:jc w:val="both"/>
        <w:rPr>
          <w:lang w:val="es-ES"/>
        </w:rPr>
      </w:pPr>
      <w:r w:rsidRPr="0089623C">
        <w:rPr>
          <w:sz w:val="20"/>
        </w:rPr>
        <w:t>A análise da violação das mulheres muçulmanas põe em evidência um verdadeiro delírio acerca da paternidade... Os violadores tentariam prosseguir com sua cruzada até romper o porvir da religião do Outro, privando-o de seus filhos, como se o ideal religioso pudesse ser transmitido geneticamente... A análise do que poderia ser o desejo do violador põe, ademais, em evidência, o ódio, a paixão mortífera do narcisismo. Ao anexar-se através da violação da Mãe, os filhos da Outra religião, golpeiam certamente ao seu inimigo em seu ponto mais íntimo, golpeando sua descendência. Entretanto, acaso, não lavra com igual certeza a desgraça e o sacrifício do "filho da violação", ou seja, o seu próprio filho. Mortificação da carne de sua carne</w:t>
      </w:r>
      <w:r>
        <w:rPr>
          <w:sz w:val="20"/>
        </w:rPr>
        <w:t>.</w:t>
      </w:r>
      <w:r>
        <w:rPr>
          <w:rStyle w:val="Refdenotaderodap"/>
        </w:rPr>
        <w:footnoteReference w:id="12"/>
      </w:r>
      <w:r w:rsidRPr="0031767F">
        <w:rPr>
          <w:sz w:val="20"/>
          <w:szCs w:val="20"/>
          <w:lang w:val="es-ES"/>
        </w:rPr>
        <w:t>(CEVASCO</w:t>
      </w:r>
      <w:r>
        <w:rPr>
          <w:sz w:val="20"/>
          <w:szCs w:val="20"/>
          <w:lang w:val="es-ES"/>
        </w:rPr>
        <w:t xml:space="preserve"> e</w:t>
      </w:r>
      <w:r w:rsidRPr="0031767F">
        <w:rPr>
          <w:sz w:val="20"/>
          <w:szCs w:val="20"/>
          <w:lang w:val="es-ES"/>
        </w:rPr>
        <w:t xml:space="preserve"> ZAVIROPOULOS </w:t>
      </w:r>
      <w:r w:rsidRPr="0031767F">
        <w:rPr>
          <w:i/>
          <w:sz w:val="20"/>
          <w:szCs w:val="20"/>
          <w:lang w:val="es-ES"/>
        </w:rPr>
        <w:t xml:space="preserve">apud </w:t>
      </w:r>
      <w:r w:rsidRPr="0031767F">
        <w:rPr>
          <w:sz w:val="20"/>
          <w:szCs w:val="20"/>
          <w:lang w:val="es-ES"/>
        </w:rPr>
        <w:t>VILHENA</w:t>
      </w:r>
      <w:r>
        <w:rPr>
          <w:sz w:val="20"/>
          <w:szCs w:val="20"/>
          <w:lang w:val="es-ES"/>
        </w:rPr>
        <w:t xml:space="preserve"> e</w:t>
      </w:r>
      <w:r w:rsidRPr="0031767F">
        <w:rPr>
          <w:sz w:val="20"/>
          <w:szCs w:val="20"/>
          <w:lang w:val="es-ES"/>
        </w:rPr>
        <w:t xml:space="preserve"> ZAMORA, 2004, p. 116). </w:t>
      </w:r>
    </w:p>
    <w:p w:rsidR="00086DF0" w:rsidRDefault="0089623C" w:rsidP="0089623C">
      <w:pPr>
        <w:tabs>
          <w:tab w:val="left" w:pos="709"/>
        </w:tabs>
        <w:spacing w:line="360" w:lineRule="auto"/>
        <w:ind w:right="-1"/>
        <w:jc w:val="both"/>
      </w:pPr>
      <w:r>
        <w:tab/>
      </w:r>
      <w:r w:rsidR="00086DF0">
        <w:t>A mulher que, após diversos estupros, estivesse enfim grávida, era forçada a gerar o bebê de seu algoz. Carregar um filho produto de um estupro, pode facilmente ser visto como uma maneira extremamente cruel de tortura</w:t>
      </w:r>
      <w:r w:rsidR="00086DF0" w:rsidRPr="000F0E76">
        <w:t xml:space="preserve"> </w:t>
      </w:r>
      <w:r w:rsidR="00086DF0">
        <w:t>e também como</w:t>
      </w:r>
      <w:r w:rsidR="00086DF0" w:rsidRPr="000F0E76">
        <w:t xml:space="preserve"> parte de uma estratégia de guerra (DIKEN</w:t>
      </w:r>
      <w:r w:rsidR="00086DF0">
        <w:t xml:space="preserve"> e</w:t>
      </w:r>
      <w:r w:rsidR="00086DF0" w:rsidRPr="000F0E76">
        <w:t xml:space="preserve"> LAUSTSEN</w:t>
      </w:r>
      <w:r w:rsidR="00086DF0">
        <w:t xml:space="preserve">, 2005). </w:t>
      </w:r>
    </w:p>
    <w:p w:rsidR="0089623C" w:rsidRDefault="00086DF0" w:rsidP="0089623C">
      <w:pPr>
        <w:tabs>
          <w:tab w:val="left" w:pos="709"/>
        </w:tabs>
        <w:spacing w:line="360" w:lineRule="auto"/>
        <w:ind w:right="-1"/>
        <w:jc w:val="both"/>
      </w:pPr>
      <w:r>
        <w:tab/>
      </w:r>
      <w:r w:rsidR="0089623C">
        <w:t>As mulheres que passaram por essa experiência acabaram por ser</w:t>
      </w:r>
      <w:r>
        <w:t>em</w:t>
      </w:r>
      <w:r w:rsidR="0089623C">
        <w:t xml:space="preserve"> reduzidas ao que seria equivalente a incubadoras, ou receptáculos, servindo ao propósito de tão-somente reproduzir genes (SALZMAN </w:t>
      </w:r>
      <w:r w:rsidR="0089623C">
        <w:rPr>
          <w:i/>
        </w:rPr>
        <w:t xml:space="preserve">apud </w:t>
      </w:r>
      <w:r w:rsidR="0089623C">
        <w:t xml:space="preserve">DIKEN e LAUSTSEN, 2005). Nesta comunidade era esperado que a mulher muçulmana fosse casta e pura, devendo a mesma estar sob a proteção do pai até contrair matrimônio, com o qual passaria de ser propriedade do pai para ser propriedade do marido, sendo considerada uma vergonha que engravidasse sem estar devidamente casada (STIGLMAYER </w:t>
      </w:r>
      <w:r w:rsidR="0089623C">
        <w:rPr>
          <w:i/>
        </w:rPr>
        <w:t xml:space="preserve">apud </w:t>
      </w:r>
      <w:r w:rsidR="0089623C">
        <w:t xml:space="preserve">SABOURIN, 2009). </w:t>
      </w:r>
    </w:p>
    <w:p w:rsidR="00D72FC6" w:rsidRDefault="00374AD4" w:rsidP="0089623C">
      <w:pPr>
        <w:tabs>
          <w:tab w:val="left" w:pos="709"/>
        </w:tabs>
        <w:spacing w:line="360" w:lineRule="auto"/>
        <w:ind w:right="-1"/>
        <w:jc w:val="both"/>
      </w:pPr>
      <w:r>
        <w:tab/>
        <w:t xml:space="preserve">A vítima é excluída da família e da comunidade em que está inserida, acarretando em um duplo sofrimento: o primeiro, em ser estuprada, e o segundo em ser por isso condenada, </w:t>
      </w:r>
      <w:r>
        <w:lastRenderedPageBreak/>
        <w:t xml:space="preserve">motivo pelo qual passa a sentir-se suja e deslocada, como um abjeto (KESIC </w:t>
      </w:r>
      <w:r>
        <w:rPr>
          <w:i/>
        </w:rPr>
        <w:t xml:space="preserve">apud </w:t>
      </w:r>
      <w:r>
        <w:t xml:space="preserve">DIKEN e LAUSTSEN, 2005). </w:t>
      </w:r>
    </w:p>
    <w:p w:rsidR="0068089A" w:rsidRDefault="00D72FC6" w:rsidP="0089623C">
      <w:pPr>
        <w:tabs>
          <w:tab w:val="left" w:pos="709"/>
        </w:tabs>
        <w:spacing w:line="360" w:lineRule="auto"/>
        <w:ind w:right="-1"/>
        <w:jc w:val="both"/>
        <w:rPr>
          <w:szCs w:val="20"/>
        </w:rPr>
      </w:pPr>
      <w:r>
        <w:rPr>
          <w:szCs w:val="20"/>
        </w:rPr>
        <w:tab/>
      </w:r>
      <w:r w:rsidR="0068089A">
        <w:rPr>
          <w:szCs w:val="20"/>
        </w:rPr>
        <w:t>A prática do estupro de mulheres em tempos de guerra, conforme explanado na segunda seção, é antiga. Ainda assim, foi somente no ano de 1863 que o estupro passou a ser proibido em uma codificação internacional de guerra. A atuação tardia do direito internacional, ou melhor, a omissão durante muito tempo por parte do direito internacional em ater-se à prática do estupro de mulheres em tempos de guerra nada mais é do que um reflexo dessas construções de gênero. Diante da complexidade do tema, utilizar os conhecimentos do direito internacional para explanar a temática proposta incorreria em reduzir a discussão a um único viés da problemática, o que cercearia maiores questionamentos acerca das influências de gênero nessa instituição. O direito internacional é apenas mais um dos inúmeros fenômenos das relações internacionais, e tal qual, também tardou a reparar nas influências das construções de gênero.</w:t>
      </w:r>
    </w:p>
    <w:p w:rsidR="004D58A7" w:rsidRDefault="0068089A" w:rsidP="00EB363C">
      <w:pPr>
        <w:tabs>
          <w:tab w:val="left" w:pos="709"/>
        </w:tabs>
        <w:spacing w:line="360" w:lineRule="auto"/>
        <w:ind w:right="-1"/>
        <w:jc w:val="both"/>
      </w:pPr>
      <w:r>
        <w:rPr>
          <w:szCs w:val="20"/>
        </w:rPr>
        <w:tab/>
      </w:r>
      <w:r w:rsidR="00AB41AB">
        <w:rPr>
          <w:szCs w:val="20"/>
        </w:rPr>
        <w:t>Em conclusão,</w:t>
      </w:r>
      <w:r w:rsidR="00D72FC6">
        <w:rPr>
          <w:szCs w:val="20"/>
        </w:rPr>
        <w:t xml:space="preserve"> afetar a identidade do que é ser mulher</w:t>
      </w:r>
      <w:r w:rsidR="00EB363C">
        <w:rPr>
          <w:szCs w:val="20"/>
        </w:rPr>
        <w:t xml:space="preserve"> </w:t>
      </w:r>
      <w:r w:rsidR="00D72FC6">
        <w:rPr>
          <w:szCs w:val="20"/>
        </w:rPr>
        <w:t>perante uma determinada sociedade</w:t>
      </w:r>
      <w:r w:rsidR="00EB363C">
        <w:rPr>
          <w:szCs w:val="20"/>
        </w:rPr>
        <w:t xml:space="preserve"> pautada na castidade e na maternidade relacionadas à condição feminina</w:t>
      </w:r>
      <w:r w:rsidR="00D72FC6">
        <w:rPr>
          <w:szCs w:val="20"/>
        </w:rPr>
        <w:t xml:space="preserve">, além de infligir traumas psicológicos e físicos na vítima, afeta também, e principalmente, a comunidade em que ela está inserida. O estupro macula a integridade física da mulher e a identidade que esta tem de si, ilustra também uma suposta falha na responsabilidade do homem em protegê-la e, por fim, destrói os laços familiares e sociais da vítima. O corpo da mulher transforma-se, pois, no próprio campo de batalha. </w:t>
      </w:r>
      <w:r w:rsidR="00374AD4">
        <w:t xml:space="preserve">Por </w:t>
      </w:r>
      <w:r w:rsidR="00AB41AB">
        <w:t>ve</w:t>
      </w:r>
      <w:r w:rsidR="00374AD4">
        <w:t xml:space="preserve">rgonha, por tabu e pela crença de que a mulher secretamente pediu pelo estupro, seja por estar trajando roupas consideradas sensuais, seja por estar em um local onde não deveria estar, </w:t>
      </w:r>
      <w:r w:rsidR="00D72FC6">
        <w:t xml:space="preserve">a mulher estuprada cala. E pelos mesmos motivos que uma vítima de estupro cala, durante séculos também esteve </w:t>
      </w:r>
      <w:r w:rsidR="00EB363C">
        <w:t>calado o direito internacional, mostrando, s</w:t>
      </w:r>
      <w:r w:rsidR="0011304E">
        <w:t>egundo</w:t>
      </w:r>
      <w:r w:rsidR="004D58A7">
        <w:t xml:space="preserve"> a</w:t>
      </w:r>
      <w:r w:rsidR="00D72FC6">
        <w:t>s palavras de Saramago</w:t>
      </w:r>
      <w:r w:rsidR="00EB363C">
        <w:t>, que</w:t>
      </w:r>
      <w:r w:rsidR="00D72FC6">
        <w:t>:</w:t>
      </w:r>
      <w:r w:rsidR="0011304E">
        <w:t xml:space="preserve"> </w:t>
      </w:r>
    </w:p>
    <w:p w:rsidR="004D58A7" w:rsidRPr="009D7FAB" w:rsidRDefault="004D58A7" w:rsidP="00D72FC6">
      <w:pPr>
        <w:tabs>
          <w:tab w:val="left" w:pos="709"/>
        </w:tabs>
        <w:spacing w:after="240"/>
        <w:ind w:left="2268" w:right="-1"/>
        <w:jc w:val="both"/>
        <w:rPr>
          <w:sz w:val="20"/>
          <w:szCs w:val="20"/>
        </w:rPr>
      </w:pPr>
      <w:r w:rsidRPr="009D7FAB">
        <w:rPr>
          <w:sz w:val="20"/>
          <w:szCs w:val="20"/>
        </w:rPr>
        <w:t>A gente habitua-se. Sim, ouvimos dizer muitas vezes, ou dizemo-lo nós próprios, A gente habitua-se, dizemo-lo, ou dizem-no, com uma serenidade que parece autêntica, porque realmente não existe, ou ainda não se descobriu, outro modo de deitar cá para fora com a dignidade possível as nossas resignações, o que ninguém pergunta é à custa de quê se habitua a gente.</w:t>
      </w:r>
      <w:r>
        <w:rPr>
          <w:sz w:val="20"/>
          <w:szCs w:val="20"/>
        </w:rPr>
        <w:t xml:space="preserve"> (SARAMAGO, 2000, p. 249).</w:t>
      </w:r>
    </w:p>
    <w:p w:rsidR="003C6C45" w:rsidRDefault="00D72FC6" w:rsidP="003C6C45">
      <w:pPr>
        <w:tabs>
          <w:tab w:val="left" w:pos="709"/>
        </w:tabs>
        <w:spacing w:line="360" w:lineRule="auto"/>
        <w:ind w:right="-1"/>
        <w:jc w:val="both"/>
      </w:pPr>
      <w:r>
        <w:tab/>
      </w:r>
      <w:r w:rsidR="00EB363C">
        <w:t>Por fim, destaca-se o</w:t>
      </w:r>
      <w:r w:rsidR="0068089A">
        <w:t xml:space="preserve"> objetivo último deste</w:t>
      </w:r>
      <w:r w:rsidR="00EB363C">
        <w:t xml:space="preserve"> artigo, qual seja, g</w:t>
      </w:r>
      <w:r>
        <w:t xml:space="preserve">erar inquietação </w:t>
      </w:r>
      <w:r w:rsidR="00EB363C">
        <w:t>ante a tudo que se vê</w:t>
      </w:r>
      <w:r>
        <w:t>. Se as mulheres que passaram por situações relacionadas ao tema deste artigo</w:t>
      </w:r>
      <w:r w:rsidR="00EB363C">
        <w:t>, seja em tempos de guerra</w:t>
      </w:r>
      <w:r w:rsidR="003C6C45">
        <w:t>, seja em</w:t>
      </w:r>
      <w:r w:rsidR="00EB363C">
        <w:t xml:space="preserve"> tempos de paz, muitas vezes ficaram mudas, o presente artigo</w:t>
      </w:r>
      <w:r>
        <w:t xml:space="preserve"> teve</w:t>
      </w:r>
      <w:r w:rsidR="003C6C45">
        <w:t>, como</w:t>
      </w:r>
      <w:r>
        <w:t xml:space="preserve"> </w:t>
      </w:r>
      <w:r w:rsidR="00EB363C">
        <w:t>objetivo derradeiro</w:t>
      </w:r>
      <w:r>
        <w:t xml:space="preserve">, a intenção de prestar-se a ser </w:t>
      </w:r>
      <w:r w:rsidR="003C6C45">
        <w:t>solo</w:t>
      </w:r>
      <w:r>
        <w:t xml:space="preserve"> fértil para que essas mulheres</w:t>
      </w:r>
      <w:r w:rsidR="003C6C45">
        <w:t xml:space="preserve"> e não apenas elas</w:t>
      </w:r>
      <w:r>
        <w:t xml:space="preserve">, </w:t>
      </w:r>
      <w:r w:rsidR="003C6C45">
        <w:t xml:space="preserve">como </w:t>
      </w:r>
      <w:r>
        <w:t xml:space="preserve">também os homens, possam </w:t>
      </w:r>
      <w:r w:rsidR="003C6C45">
        <w:t>tentar romper o silêncio muitas vezes imposto pelas construções de gênero. E flores ser.</w:t>
      </w:r>
    </w:p>
    <w:p w:rsidR="004D58A7" w:rsidRDefault="004D58A7" w:rsidP="003C6C45">
      <w:pPr>
        <w:tabs>
          <w:tab w:val="left" w:pos="709"/>
        </w:tabs>
        <w:spacing w:line="360" w:lineRule="auto"/>
        <w:ind w:right="-1"/>
        <w:jc w:val="center"/>
        <w:rPr>
          <w:b/>
        </w:rPr>
      </w:pPr>
      <w:r w:rsidRPr="00920D12">
        <w:rPr>
          <w:b/>
        </w:rPr>
        <w:lastRenderedPageBreak/>
        <w:t>REFERÊNCIAS</w:t>
      </w:r>
    </w:p>
    <w:p w:rsidR="004D58A7" w:rsidRPr="00920D12" w:rsidRDefault="004D58A7" w:rsidP="004D58A7">
      <w:pPr>
        <w:ind w:left="-180"/>
        <w:rPr>
          <w:b/>
        </w:rPr>
      </w:pPr>
    </w:p>
    <w:p w:rsidR="00086DF0" w:rsidRDefault="00086DF0" w:rsidP="00086DF0">
      <w:pPr>
        <w:spacing w:after="240" w:line="276" w:lineRule="auto"/>
        <w:ind w:right="-1"/>
        <w:jc w:val="both"/>
      </w:pPr>
      <w:r w:rsidRPr="00C22DAD">
        <w:t xml:space="preserve">ARREAZA, Catalina; TICKNER, Arlene B. Postmodernismo, postcolonialismo y feminismo: manual para (in)expertos. </w:t>
      </w:r>
      <w:r w:rsidRPr="00C22DAD">
        <w:rPr>
          <w:i/>
          <w:lang w:val="es-ES"/>
        </w:rPr>
        <w:t xml:space="preserve">In: </w:t>
      </w:r>
      <w:r w:rsidRPr="00C22DAD">
        <w:rPr>
          <w:b/>
          <w:lang w:val="es-ES"/>
        </w:rPr>
        <w:t>Revista Colombia Internacional</w:t>
      </w:r>
      <w:r w:rsidRPr="00C22DAD">
        <w:rPr>
          <w:lang w:val="es-ES"/>
        </w:rPr>
        <w:t>, [S.l.]</w:t>
      </w:r>
      <w:r>
        <w:rPr>
          <w:lang w:val="es-ES"/>
        </w:rPr>
        <w:t xml:space="preserve">, </w:t>
      </w:r>
      <w:r w:rsidRPr="00C22DAD">
        <w:rPr>
          <w:lang w:val="es-ES"/>
        </w:rPr>
        <w:t xml:space="preserve">n. 54, pp. 14-38, jan./abril 2002. </w:t>
      </w:r>
      <w:r w:rsidRPr="00C22DAD">
        <w:t>Disponível em: &lt;</w:t>
      </w:r>
      <w:hyperlink r:id="rId10" w:history="1">
        <w:r w:rsidRPr="00C22DAD">
          <w:rPr>
            <w:rStyle w:val="Hyperlink"/>
          </w:rPr>
          <w:t>http://colombiainternacional.uniandes.edu.co/indexar.php?c=Revista+No+54</w:t>
        </w:r>
      </w:hyperlink>
      <w:r w:rsidRPr="00C22DAD">
        <w:t>&gt;. Acesso em</w:t>
      </w:r>
      <w:r>
        <w:t>: 05 maio 2015</w:t>
      </w:r>
      <w:r w:rsidRPr="00C22DAD">
        <w:t>.</w:t>
      </w:r>
    </w:p>
    <w:p w:rsidR="004D58A7" w:rsidRDefault="004D58A7" w:rsidP="004D58A7">
      <w:pPr>
        <w:pStyle w:val="Default"/>
        <w:spacing w:after="240" w:line="360" w:lineRule="auto"/>
        <w:jc w:val="both"/>
      </w:pPr>
      <w:r w:rsidRPr="00F870FB">
        <w:t xml:space="preserve">ASSOCIAÇÃO BRASILEIRA DE NORMAS TÉCNICAS. </w:t>
      </w:r>
      <w:r w:rsidRPr="00F870FB">
        <w:rPr>
          <w:b/>
          <w:bCs/>
        </w:rPr>
        <w:t>NBR 10520</w:t>
      </w:r>
      <w:r w:rsidRPr="00F870FB">
        <w:t xml:space="preserve">: informação e documentação: citações em documentos: apresentação. Rio de Janeiro, 2002. </w:t>
      </w:r>
    </w:p>
    <w:p w:rsidR="004D58A7" w:rsidRDefault="004D58A7" w:rsidP="004D58A7">
      <w:pPr>
        <w:pStyle w:val="Default"/>
        <w:spacing w:after="240" w:line="360" w:lineRule="auto"/>
        <w:jc w:val="both"/>
      </w:pPr>
      <w:r w:rsidRPr="00F870FB">
        <w:t xml:space="preserve">______. </w:t>
      </w:r>
      <w:r w:rsidRPr="00F870FB">
        <w:rPr>
          <w:b/>
          <w:bCs/>
        </w:rPr>
        <w:t xml:space="preserve">NBR 6023: </w:t>
      </w:r>
      <w:r w:rsidRPr="00F870FB">
        <w:t>informação e documentação: referências: elaboração. Rio de Janeiro, 2002.</w:t>
      </w:r>
    </w:p>
    <w:p w:rsidR="004D58A7" w:rsidRPr="004D58A7" w:rsidRDefault="004D58A7" w:rsidP="004D58A7">
      <w:pPr>
        <w:pStyle w:val="Default"/>
        <w:spacing w:after="240" w:line="360" w:lineRule="auto"/>
        <w:jc w:val="both"/>
        <w:rPr>
          <w:lang w:val="en-US"/>
        </w:rPr>
      </w:pPr>
      <w:r w:rsidRPr="00A32901">
        <w:rPr>
          <w:lang w:val="en-US"/>
        </w:rPr>
        <w:t xml:space="preserve">ASKIN, Kelly D.. Prosecuting Wartime Rape and Other Gender-Related Crimes under International Law: Extraordinary Advances, Enduring Obstacles. </w:t>
      </w:r>
      <w:r>
        <w:rPr>
          <w:i/>
          <w:lang w:val="en-US"/>
        </w:rPr>
        <w:t xml:space="preserve">In: </w:t>
      </w:r>
      <w:r>
        <w:rPr>
          <w:b/>
          <w:lang w:val="en-US"/>
        </w:rPr>
        <w:t xml:space="preserve">Berkeley Journal of International Law, </w:t>
      </w:r>
      <w:r>
        <w:rPr>
          <w:lang w:val="en-US"/>
        </w:rPr>
        <w:t xml:space="preserve">vol. 21, pp. 288-349, 2003. </w:t>
      </w:r>
      <w:r w:rsidRPr="004D58A7">
        <w:rPr>
          <w:lang w:val="en-US"/>
        </w:rPr>
        <w:t>Disponível em: &lt;</w:t>
      </w:r>
      <w:hyperlink r:id="rId11" w:history="1">
        <w:r w:rsidRPr="004D58A7">
          <w:rPr>
            <w:rStyle w:val="Hyperlink"/>
            <w:lang w:val="en-US"/>
          </w:rPr>
          <w:t>http://scholarship.law.berkeley.edu/cgi/viewcontent.cgi?article=1240&amp;context=bjil</w:t>
        </w:r>
      </w:hyperlink>
      <w:r w:rsidRPr="004D58A7">
        <w:rPr>
          <w:lang w:val="en-US"/>
        </w:rPr>
        <w:t>&gt;. Acesso em: 12 de maio 2015.</w:t>
      </w:r>
    </w:p>
    <w:p w:rsidR="004D58A7" w:rsidRDefault="004D58A7" w:rsidP="004D58A7">
      <w:pPr>
        <w:pStyle w:val="Default"/>
        <w:spacing w:after="240" w:line="360" w:lineRule="auto"/>
        <w:jc w:val="both"/>
      </w:pPr>
      <w:r w:rsidRPr="00536808">
        <w:rPr>
          <w:lang w:val="en-US"/>
        </w:rPr>
        <w:t xml:space="preserve">AYDELOTT, Denise. </w:t>
      </w:r>
      <w:r w:rsidRPr="00557989">
        <w:rPr>
          <w:lang w:val="en-US"/>
        </w:rPr>
        <w:t>Mass rape during war: prosecuting</w:t>
      </w:r>
      <w:r>
        <w:rPr>
          <w:lang w:val="en-US"/>
        </w:rPr>
        <w:t xml:space="preserve"> Bosnian rapists under international law. </w:t>
      </w:r>
      <w:r w:rsidRPr="00557989">
        <w:rPr>
          <w:i/>
          <w:lang w:val="en-US"/>
        </w:rPr>
        <w:t xml:space="preserve">In: </w:t>
      </w:r>
      <w:r w:rsidRPr="00557989">
        <w:rPr>
          <w:b/>
          <w:lang w:val="en-US"/>
        </w:rPr>
        <w:t>EMORY INTERNATIONAL LAW REVIEW</w:t>
      </w:r>
      <w:r w:rsidRPr="00557989">
        <w:rPr>
          <w:lang w:val="en-US"/>
        </w:rPr>
        <w:t>,</w:t>
      </w:r>
      <w:r>
        <w:rPr>
          <w:lang w:val="en-US"/>
        </w:rPr>
        <w:t xml:space="preserve"> vol. 7, pp. 585-631, 1993. </w:t>
      </w:r>
      <w:r w:rsidRPr="00536808">
        <w:rPr>
          <w:lang w:val="en-US"/>
        </w:rPr>
        <w:t>Disponível em: &lt;</w:t>
      </w:r>
      <w:hyperlink r:id="rId12" w:history="1">
        <w:r w:rsidRPr="00536808">
          <w:rPr>
            <w:rStyle w:val="Hyperlink"/>
            <w:lang w:val="en-US"/>
          </w:rPr>
          <w:t>http://www.law-lib.utoronto.ca/Diana/whrr/cfsearch_advanced.cfm?sister=utl&amp;page=0</w:t>
        </w:r>
      </w:hyperlink>
      <w:r w:rsidRPr="00536808">
        <w:rPr>
          <w:lang w:val="en-US"/>
        </w:rPr>
        <w:t xml:space="preserve">&gt;. </w:t>
      </w:r>
      <w:r>
        <w:t>Acesso em: 13 maio 2015.</w:t>
      </w:r>
    </w:p>
    <w:p w:rsidR="004D58A7" w:rsidRDefault="004D58A7" w:rsidP="004D58A7">
      <w:pPr>
        <w:pStyle w:val="Default"/>
        <w:spacing w:after="240" w:line="360" w:lineRule="auto"/>
        <w:jc w:val="both"/>
      </w:pPr>
      <w:r w:rsidRPr="00536157">
        <w:t xml:space="preserve">AZEVEDO, Fernanda Ribeiro de. A Violência Sexual Contra a Mulher e o Direito Internacional. </w:t>
      </w:r>
      <w:r w:rsidRPr="00536157">
        <w:rPr>
          <w:i/>
        </w:rPr>
        <w:t xml:space="preserve">In: </w:t>
      </w:r>
      <w:r w:rsidRPr="00536157">
        <w:rPr>
          <w:b/>
        </w:rPr>
        <w:t>Revista Eletrônica de Direito Internacional,</w:t>
      </w:r>
      <w:r w:rsidRPr="00536157">
        <w:t xml:space="preserve"> Belo Horizonte, v. 14, pp. 2-50, 2014.2. Disponível em: &lt;</w:t>
      </w:r>
      <w:hyperlink r:id="rId13" w:history="1">
        <w:r w:rsidRPr="00536157">
          <w:rPr>
            <w:rStyle w:val="Hyperlink"/>
          </w:rPr>
          <w:t>http://www.cedin.com.br/wp-content/uploads/2014/05/A-Viol%C3%AAncia-Sexual-Contra-a-Mulher-e-o-Direito-Internacional.pdf</w:t>
        </w:r>
      </w:hyperlink>
      <w:r w:rsidRPr="00536157">
        <w:t>&gt;. Acesso em: 12 maio 2015.</w:t>
      </w:r>
      <w:r>
        <w:t xml:space="preserve"> </w:t>
      </w:r>
    </w:p>
    <w:p w:rsidR="004D58A7" w:rsidRDefault="004D58A7" w:rsidP="004D58A7">
      <w:pPr>
        <w:spacing w:after="240" w:line="360" w:lineRule="auto"/>
        <w:jc w:val="both"/>
      </w:pPr>
      <w:r w:rsidRPr="00694B2F">
        <w:t>BADIE, Bertrand. Da soberania à competência do Estado.</w:t>
      </w:r>
      <w:r>
        <w:t xml:space="preserve"> </w:t>
      </w:r>
      <w:r>
        <w:rPr>
          <w:i/>
        </w:rPr>
        <w:t xml:space="preserve">In: </w:t>
      </w:r>
      <w:r>
        <w:t xml:space="preserve">SMOUTS, Marie-Claude. </w:t>
      </w:r>
      <w:r>
        <w:rPr>
          <w:b/>
        </w:rPr>
        <w:t xml:space="preserve">As novas relações internacionais: </w:t>
      </w:r>
      <w:r>
        <w:t>práticas e teorias. Brasília: Universidade de Brasília, 2004.</w:t>
      </w:r>
      <w:r w:rsidRPr="00694B2F">
        <w:t xml:space="preserve"> </w:t>
      </w:r>
    </w:p>
    <w:p w:rsidR="004D58A7" w:rsidRPr="004D58A7" w:rsidRDefault="004D58A7" w:rsidP="004D58A7">
      <w:pPr>
        <w:spacing w:after="240" w:line="276" w:lineRule="auto"/>
        <w:jc w:val="both"/>
        <w:rPr>
          <w:lang w:val="en-US"/>
        </w:rPr>
      </w:pPr>
      <w:r w:rsidRPr="00C64EF8">
        <w:t>BÍBLIA</w:t>
      </w:r>
      <w:r w:rsidRPr="00C64EF8">
        <w:rPr>
          <w:b/>
        </w:rPr>
        <w:t>.</w:t>
      </w:r>
      <w:r w:rsidRPr="00C64EF8">
        <w:t xml:space="preserve"> Português. </w:t>
      </w:r>
      <w:r w:rsidRPr="00C64EF8">
        <w:rPr>
          <w:b/>
        </w:rPr>
        <w:t>Bíblia Sagrada.</w:t>
      </w:r>
      <w:r w:rsidRPr="00C64EF8">
        <w:t xml:space="preserve"> Barueri: Sociedade Bíblica do Brasil, 1993. </w:t>
      </w:r>
      <w:r w:rsidRPr="004D58A7">
        <w:rPr>
          <w:lang w:val="en-US"/>
        </w:rPr>
        <w:t>Bibliografia: pp. 209, 705-6, 819, 941.</w:t>
      </w:r>
    </w:p>
    <w:p w:rsidR="004D58A7" w:rsidRDefault="004D58A7" w:rsidP="004D58A7">
      <w:pPr>
        <w:spacing w:after="240" w:line="360" w:lineRule="auto"/>
        <w:jc w:val="both"/>
      </w:pPr>
      <w:r w:rsidRPr="002C482C">
        <w:rPr>
          <w:lang w:val="en-US"/>
        </w:rPr>
        <w:lastRenderedPageBreak/>
        <w:t>BROOKS, Rosa Ehrenreich. Feminism and International Law: an opportunity for transformation.</w:t>
      </w:r>
      <w:r>
        <w:rPr>
          <w:lang w:val="en-US"/>
        </w:rPr>
        <w:t xml:space="preserve"> </w:t>
      </w:r>
      <w:r>
        <w:rPr>
          <w:i/>
          <w:lang w:val="en-US"/>
        </w:rPr>
        <w:t xml:space="preserve">In: </w:t>
      </w:r>
      <w:r>
        <w:rPr>
          <w:b/>
          <w:lang w:val="en-US"/>
        </w:rPr>
        <w:t xml:space="preserve">Yale Journal of Law and Feminism, </w:t>
      </w:r>
      <w:r>
        <w:rPr>
          <w:lang w:val="en-US"/>
        </w:rPr>
        <w:t xml:space="preserve">vol. 14, pp. 345-361, 2002. </w:t>
      </w:r>
      <w:r w:rsidRPr="004D58A7">
        <w:rPr>
          <w:lang w:val="en-US"/>
        </w:rPr>
        <w:t>Disponível em: &lt;</w:t>
      </w:r>
      <w:hyperlink r:id="rId14" w:history="1">
        <w:r w:rsidRPr="004D58A7">
          <w:rPr>
            <w:rStyle w:val="Hyperlink"/>
            <w:lang w:val="en-US"/>
          </w:rPr>
          <w:t>http://scholarship.law.georgetown.edu/facpub/1132</w:t>
        </w:r>
      </w:hyperlink>
      <w:r w:rsidRPr="004D58A7">
        <w:rPr>
          <w:lang w:val="en-US"/>
        </w:rPr>
        <w:t xml:space="preserve">&gt;. </w:t>
      </w:r>
      <w:r>
        <w:t xml:space="preserve">Acesso em: 12 de maio de 2015. </w:t>
      </w:r>
    </w:p>
    <w:p w:rsidR="003C6C45" w:rsidRPr="002C482C" w:rsidRDefault="003C6C45" w:rsidP="003C6C45">
      <w:pPr>
        <w:spacing w:after="240" w:line="276" w:lineRule="auto"/>
        <w:ind w:right="-1"/>
        <w:jc w:val="both"/>
        <w:rPr>
          <w:b/>
        </w:rPr>
      </w:pPr>
      <w:r>
        <w:rPr>
          <w:color w:val="000000"/>
          <w:shd w:val="clear" w:color="auto" w:fill="FFFFFF"/>
          <w:lang w:val="en-US"/>
        </w:rPr>
        <w:t>CAHILL</w:t>
      </w:r>
      <w:r w:rsidRPr="004128F9">
        <w:rPr>
          <w:color w:val="000000"/>
          <w:shd w:val="clear" w:color="auto" w:fill="FFFFFF"/>
          <w:lang w:val="en-US"/>
        </w:rPr>
        <w:t>, Ann J.</w:t>
      </w:r>
      <w:r w:rsidRPr="004128F9">
        <w:rPr>
          <w:rStyle w:val="apple-converted-space"/>
          <w:color w:val="000000"/>
          <w:shd w:val="clear" w:color="auto" w:fill="FFFFFF"/>
          <w:lang w:val="en-US"/>
        </w:rPr>
        <w:t> </w:t>
      </w:r>
      <w:r w:rsidRPr="00BC28E9">
        <w:rPr>
          <w:iCs/>
          <w:color w:val="000000"/>
          <w:shd w:val="clear" w:color="auto" w:fill="FFFFFF"/>
          <w:lang w:val="en-US"/>
        </w:rPr>
        <w:t xml:space="preserve">Foucault, Rape and the Construction of the Feminine Body. </w:t>
      </w:r>
      <w:r w:rsidRPr="007876B5">
        <w:rPr>
          <w:i/>
          <w:iCs/>
          <w:color w:val="000000"/>
          <w:shd w:val="clear" w:color="auto" w:fill="FFFFFF"/>
        </w:rPr>
        <w:t xml:space="preserve">In: </w:t>
      </w:r>
      <w:r w:rsidRPr="007876B5">
        <w:rPr>
          <w:b/>
          <w:iCs/>
          <w:color w:val="000000"/>
          <w:shd w:val="clear" w:color="auto" w:fill="FFFFFF"/>
        </w:rPr>
        <w:t xml:space="preserve">Hypatia, </w:t>
      </w:r>
      <w:r w:rsidRPr="007876B5">
        <w:rPr>
          <w:iCs/>
          <w:color w:val="000000"/>
          <w:shd w:val="clear" w:color="auto" w:fill="FFFFFF"/>
        </w:rPr>
        <w:t>[S.l.]</w:t>
      </w:r>
      <w:r w:rsidRPr="007876B5">
        <w:rPr>
          <w:i/>
          <w:iCs/>
          <w:color w:val="000000"/>
          <w:shd w:val="clear" w:color="auto" w:fill="FFFFFF"/>
        </w:rPr>
        <w:t>,</w:t>
      </w:r>
      <w:r w:rsidRPr="007876B5">
        <w:rPr>
          <w:iCs/>
          <w:color w:val="000000"/>
          <w:shd w:val="clear" w:color="auto" w:fill="FFFFFF"/>
        </w:rPr>
        <w:t xml:space="preserve"> v. 15, n. 1, Blackwell Publishing, inverno 2000. </w:t>
      </w:r>
      <w:r w:rsidRPr="002A1147">
        <w:rPr>
          <w:iCs/>
          <w:color w:val="000000"/>
          <w:shd w:val="clear" w:color="auto" w:fill="FFFFFF"/>
        </w:rPr>
        <w:t>Disponível em: &lt;</w:t>
      </w:r>
      <w:hyperlink r:id="rId15" w:history="1">
        <w:r w:rsidRPr="002A1147">
          <w:rPr>
            <w:rStyle w:val="Hyperlink"/>
            <w:iCs/>
            <w:shd w:val="clear" w:color="auto" w:fill="FFFFFF"/>
          </w:rPr>
          <w:t>http://www.jstor.org/stable/3810511</w:t>
        </w:r>
      </w:hyperlink>
      <w:r w:rsidRPr="002A1147">
        <w:rPr>
          <w:iCs/>
          <w:color w:val="000000"/>
          <w:shd w:val="clear" w:color="auto" w:fill="FFFFFF"/>
        </w:rPr>
        <w:t>&gt;.</w:t>
      </w:r>
      <w:r>
        <w:rPr>
          <w:iCs/>
          <w:color w:val="000000"/>
          <w:shd w:val="clear" w:color="auto" w:fill="FFFFFF"/>
        </w:rPr>
        <w:t xml:space="preserve"> Acesso em: 19 maio 2015.</w:t>
      </w:r>
    </w:p>
    <w:p w:rsidR="004D58A7" w:rsidRPr="004D58A7" w:rsidRDefault="004D58A7" w:rsidP="004D58A7">
      <w:pPr>
        <w:spacing w:after="240" w:line="360" w:lineRule="auto"/>
        <w:jc w:val="both"/>
        <w:rPr>
          <w:color w:val="000000"/>
          <w:shd w:val="clear" w:color="auto" w:fill="FFFFFF"/>
          <w:lang w:val="en-US"/>
        </w:rPr>
      </w:pPr>
      <w:r w:rsidRPr="00D85EC9">
        <w:rPr>
          <w:color w:val="000000"/>
          <w:shd w:val="clear" w:color="auto" w:fill="FFFFFF"/>
        </w:rPr>
        <w:t xml:space="preserve">CAMPOS, Paula Drumond Rangel. </w:t>
      </w:r>
      <w:r w:rsidRPr="00D85EC9">
        <w:rPr>
          <w:b/>
          <w:color w:val="000000"/>
          <w:shd w:val="clear" w:color="auto" w:fill="FFFFFF"/>
        </w:rPr>
        <w:t>As relações de gênero e o crime de genocídio:</w:t>
      </w:r>
      <w:r w:rsidRPr="00D85EC9">
        <w:rPr>
          <w:color w:val="000000"/>
          <w:shd w:val="clear" w:color="auto" w:fill="FFFFFF"/>
        </w:rPr>
        <w:t xml:space="preserve"> uma análise crítica das violências contra o gênero e da construção de identidades em Darfur. Dissertação (Mestrado em Relações Internacionais) – Pontífica Universidade Católica do Rio de Janeiro, Instituto de Relações Internacionais. Rio de Janeiro, julho 2010. 222</w:t>
      </w:r>
      <w:r>
        <w:rPr>
          <w:color w:val="000000"/>
          <w:shd w:val="clear" w:color="auto" w:fill="FFFFFF"/>
        </w:rPr>
        <w:t xml:space="preserve"> p. Disponível em: &lt;</w:t>
      </w:r>
      <w:hyperlink r:id="rId16" w:history="1">
        <w:r w:rsidRPr="00FD6FF0">
          <w:rPr>
            <w:rStyle w:val="Hyperlink"/>
            <w:shd w:val="clear" w:color="auto" w:fill="FFFFFF"/>
          </w:rPr>
          <w:t>http://www.maxwell.lambda.ele.puc-rio.br/Busca_etds.php?strSecao=resultado&amp;nrSeq=16716@1</w:t>
        </w:r>
      </w:hyperlink>
      <w:r>
        <w:rPr>
          <w:color w:val="000000"/>
          <w:shd w:val="clear" w:color="auto" w:fill="FFFFFF"/>
        </w:rPr>
        <w:t xml:space="preserve">&gt;. </w:t>
      </w:r>
      <w:r w:rsidRPr="004D58A7">
        <w:rPr>
          <w:color w:val="000000"/>
          <w:shd w:val="clear" w:color="auto" w:fill="FFFFFF"/>
          <w:lang w:val="en-US"/>
        </w:rPr>
        <w:t xml:space="preserve">Acesso em: 04 maio 2015. Bibliografia: pp. 27-110. </w:t>
      </w:r>
    </w:p>
    <w:p w:rsidR="004D58A7" w:rsidRPr="00353EEC" w:rsidRDefault="004D58A7" w:rsidP="004D58A7">
      <w:pPr>
        <w:spacing w:after="240" w:line="276" w:lineRule="auto"/>
        <w:ind w:right="-1"/>
        <w:jc w:val="both"/>
        <w:rPr>
          <w:color w:val="000000"/>
          <w:shd w:val="clear" w:color="auto" w:fill="FFFFFF"/>
        </w:rPr>
      </w:pPr>
      <w:r w:rsidRPr="00F852D0">
        <w:rPr>
          <w:color w:val="000000"/>
          <w:shd w:val="clear" w:color="auto" w:fill="FFFFFF"/>
          <w:lang w:val="en-US"/>
        </w:rPr>
        <w:t>CAPRIOLI, M. Primed for Violence</w:t>
      </w:r>
      <w:r w:rsidRPr="00C06C4C">
        <w:rPr>
          <w:color w:val="000000"/>
          <w:shd w:val="clear" w:color="auto" w:fill="FFFFFF"/>
          <w:lang w:val="en-US"/>
        </w:rPr>
        <w:t xml:space="preserve">: The Role of Gender Inequality in Predicting Internal Conflict. </w:t>
      </w:r>
      <w:r w:rsidRPr="006E48F1">
        <w:rPr>
          <w:i/>
          <w:color w:val="000000"/>
          <w:shd w:val="clear" w:color="auto" w:fill="FFFFFF"/>
        </w:rPr>
        <w:t xml:space="preserve">In: </w:t>
      </w:r>
      <w:r w:rsidRPr="006E48F1">
        <w:rPr>
          <w:b/>
          <w:color w:val="000000"/>
          <w:shd w:val="clear" w:color="auto" w:fill="FFFFFF"/>
        </w:rPr>
        <w:t>International Studies Quartely</w:t>
      </w:r>
      <w:r w:rsidRPr="006E48F1">
        <w:rPr>
          <w:color w:val="000000"/>
          <w:shd w:val="clear" w:color="auto" w:fill="FFFFFF"/>
        </w:rPr>
        <w:t xml:space="preserve">, v. 49, n. 2, pp. 161-178, jun. 2005. </w:t>
      </w:r>
      <w:r w:rsidRPr="00353EEC">
        <w:rPr>
          <w:color w:val="000000"/>
          <w:shd w:val="clear" w:color="auto" w:fill="FFFFFF"/>
        </w:rPr>
        <w:t>Disponível em: &lt;</w:t>
      </w:r>
      <w:hyperlink r:id="rId17" w:history="1">
        <w:r w:rsidRPr="00353EEC">
          <w:rPr>
            <w:rStyle w:val="Hyperlink"/>
            <w:shd w:val="clear" w:color="auto" w:fill="FFFFFF"/>
          </w:rPr>
          <w:t>http://www.jstor.org/stable/3693510</w:t>
        </w:r>
      </w:hyperlink>
      <w:r w:rsidRPr="00353EEC">
        <w:rPr>
          <w:color w:val="000000"/>
          <w:shd w:val="clear" w:color="auto" w:fill="FFFFFF"/>
        </w:rPr>
        <w:t>&gt;. Acesso em</w:t>
      </w:r>
      <w:r>
        <w:rPr>
          <w:color w:val="000000"/>
          <w:shd w:val="clear" w:color="auto" w:fill="FFFFFF"/>
        </w:rPr>
        <w:t>: 26 de abril de 2015</w:t>
      </w:r>
      <w:r w:rsidRPr="00353EEC">
        <w:rPr>
          <w:color w:val="000000"/>
          <w:shd w:val="clear" w:color="auto" w:fill="FFFFFF"/>
        </w:rPr>
        <w:t>.</w:t>
      </w:r>
      <w:r>
        <w:rPr>
          <w:color w:val="000000"/>
          <w:shd w:val="clear" w:color="auto" w:fill="FFFFFF"/>
        </w:rPr>
        <w:t xml:space="preserve"> </w:t>
      </w:r>
      <w:r w:rsidRPr="00353EEC">
        <w:rPr>
          <w:color w:val="000000"/>
          <w:shd w:val="clear" w:color="auto" w:fill="FFFFFF"/>
        </w:rPr>
        <w:t xml:space="preserve"> </w:t>
      </w:r>
    </w:p>
    <w:p w:rsidR="004D58A7" w:rsidRPr="004D58A7" w:rsidRDefault="004D58A7" w:rsidP="004D58A7">
      <w:pPr>
        <w:spacing w:after="240" w:line="276" w:lineRule="auto"/>
        <w:jc w:val="both"/>
        <w:rPr>
          <w:color w:val="000000"/>
          <w:shd w:val="clear" w:color="auto" w:fill="FFFFFF"/>
        </w:rPr>
      </w:pPr>
      <w:r w:rsidRPr="004D58A7">
        <w:rPr>
          <w:color w:val="000000"/>
          <w:shd w:val="clear" w:color="auto" w:fill="FFFFFF"/>
          <w:lang w:val="en-US"/>
        </w:rPr>
        <w:t xml:space="preserve">CARD, Claudia. </w:t>
      </w:r>
      <w:r w:rsidRPr="004D58A7">
        <w:rPr>
          <w:b/>
          <w:color w:val="000000"/>
          <w:shd w:val="clear" w:color="auto" w:fill="FFFFFF"/>
          <w:lang w:val="en-US"/>
        </w:rPr>
        <w:t xml:space="preserve">Confronting Evils: </w:t>
      </w:r>
      <w:r w:rsidRPr="004D58A7">
        <w:rPr>
          <w:color w:val="000000"/>
          <w:shd w:val="clear" w:color="auto" w:fill="FFFFFF"/>
          <w:lang w:val="en-US"/>
        </w:rPr>
        <w:t xml:space="preserve">terrorism, torture, genocide. </w:t>
      </w:r>
      <w:r w:rsidRPr="0077724C">
        <w:rPr>
          <w:color w:val="000000"/>
          <w:shd w:val="clear" w:color="auto" w:fill="FFFFFF"/>
          <w:lang w:val="en-US"/>
        </w:rPr>
        <w:t>Cambridge: Cambridge University P</w:t>
      </w:r>
      <w:r>
        <w:rPr>
          <w:color w:val="000000"/>
          <w:shd w:val="clear" w:color="auto" w:fill="FFFFFF"/>
          <w:lang w:val="en-US"/>
        </w:rPr>
        <w:t xml:space="preserve">ress, 2010. </w:t>
      </w:r>
      <w:r w:rsidRPr="004D58A7">
        <w:rPr>
          <w:color w:val="000000"/>
          <w:shd w:val="clear" w:color="auto" w:fill="FFFFFF"/>
        </w:rPr>
        <w:t xml:space="preserve">Bibliografia: pp. 268-9. </w:t>
      </w:r>
    </w:p>
    <w:p w:rsidR="004D58A7" w:rsidRDefault="004D58A7" w:rsidP="004D58A7">
      <w:pPr>
        <w:spacing w:after="240" w:line="360" w:lineRule="auto"/>
        <w:jc w:val="both"/>
      </w:pPr>
      <w:r w:rsidRPr="004D58A7">
        <w:t xml:space="preserve">CARR, Edward Hallet. </w:t>
      </w:r>
      <w:r>
        <w:rPr>
          <w:b/>
        </w:rPr>
        <w:t xml:space="preserve">Vinte Anos de Crise: </w:t>
      </w:r>
      <w:r>
        <w:t>1919-1939. Brasília: Editora da Universidade de Brasília, 1939/2001.</w:t>
      </w:r>
    </w:p>
    <w:p w:rsidR="003C6C45" w:rsidRDefault="003C6C45" w:rsidP="003C6C45">
      <w:pPr>
        <w:spacing w:after="240" w:line="276" w:lineRule="auto"/>
        <w:ind w:right="-1"/>
        <w:jc w:val="both"/>
      </w:pPr>
      <w:r>
        <w:rPr>
          <w:color w:val="000000"/>
          <w:shd w:val="clear" w:color="auto" w:fill="FFFFFF"/>
        </w:rPr>
        <w:t xml:space="preserve">CARVALHO, </w:t>
      </w:r>
      <w:r w:rsidRPr="00087B35">
        <w:rPr>
          <w:color w:val="000000"/>
          <w:shd w:val="clear" w:color="auto" w:fill="FFFFFF"/>
        </w:rPr>
        <w:t xml:space="preserve">Maria da Penha F. S. A Crítica de Judith Butler às Normas que Governam Gênero e Sexualidade. </w:t>
      </w:r>
      <w:r w:rsidRPr="00087B35">
        <w:rPr>
          <w:i/>
          <w:color w:val="000000"/>
          <w:shd w:val="clear" w:color="auto" w:fill="FFFFFF"/>
        </w:rPr>
        <w:t xml:space="preserve">In: </w:t>
      </w:r>
      <w:r w:rsidRPr="00087B35">
        <w:rPr>
          <w:b/>
          <w:color w:val="000000"/>
          <w:shd w:val="clear" w:color="auto" w:fill="FFFFFF"/>
        </w:rPr>
        <w:t>Ethica,</w:t>
      </w:r>
      <w:r w:rsidRPr="00087B35">
        <w:rPr>
          <w:color w:val="000000"/>
          <w:shd w:val="clear" w:color="auto" w:fill="FFFFFF"/>
        </w:rPr>
        <w:t xml:space="preserve"> Rio de Janeiro, v. 17, n. 2, pp. 81-92, 2010. Disponível em: &lt;</w:t>
      </w:r>
      <w:hyperlink r:id="rId18" w:history="1">
        <w:r w:rsidRPr="00087B35">
          <w:rPr>
            <w:rStyle w:val="Hyperlink"/>
            <w:shd w:val="clear" w:color="auto" w:fill="FFFFFF"/>
          </w:rPr>
          <w:t>http://www.revistaethica.com.br/V17N2art4.pdf</w:t>
        </w:r>
      </w:hyperlink>
      <w:r w:rsidRPr="00087B35">
        <w:rPr>
          <w:color w:val="000000"/>
          <w:shd w:val="clear" w:color="auto" w:fill="FFFFFF"/>
        </w:rPr>
        <w:t>&gt;. Acesso em</w:t>
      </w:r>
      <w:r>
        <w:rPr>
          <w:color w:val="000000"/>
          <w:shd w:val="clear" w:color="auto" w:fill="FFFFFF"/>
        </w:rPr>
        <w:t>:</w:t>
      </w:r>
      <w:r w:rsidRPr="00087B35">
        <w:rPr>
          <w:color w:val="000000"/>
          <w:shd w:val="clear" w:color="auto" w:fill="FFFFFF"/>
        </w:rPr>
        <w:t xml:space="preserve"> 24 maio</w:t>
      </w:r>
      <w:r>
        <w:rPr>
          <w:color w:val="000000"/>
          <w:shd w:val="clear" w:color="auto" w:fill="FFFFFF"/>
        </w:rPr>
        <w:t xml:space="preserve"> 2015</w:t>
      </w:r>
      <w:r w:rsidRPr="00087B35">
        <w:rPr>
          <w:color w:val="000000"/>
          <w:shd w:val="clear" w:color="auto" w:fill="FFFFFF"/>
        </w:rPr>
        <w:t>.</w:t>
      </w:r>
    </w:p>
    <w:p w:rsidR="004D58A7" w:rsidRPr="00FB0E0E" w:rsidRDefault="004D58A7" w:rsidP="004D58A7">
      <w:pPr>
        <w:spacing w:after="240" w:line="360" w:lineRule="auto"/>
        <w:jc w:val="both"/>
      </w:pPr>
      <w:r>
        <w:t>CASTRO, T</w:t>
      </w:r>
      <w:r w:rsidRPr="006A1AC5">
        <w:t>halles.</w:t>
      </w:r>
      <w:r>
        <w:t xml:space="preserve"> </w:t>
      </w:r>
      <w:r>
        <w:rPr>
          <w:b/>
        </w:rPr>
        <w:t xml:space="preserve">Teoria das relações internacionais. </w:t>
      </w:r>
      <w:r>
        <w:t>Brasília: FUNAG, 2012. Disponível em: &lt;</w:t>
      </w:r>
      <w:hyperlink r:id="rId19" w:history="1">
        <w:r w:rsidRPr="00FD6FF0">
          <w:rPr>
            <w:rStyle w:val="Hyperlink"/>
          </w:rPr>
          <w:t>http://funag.gov.br/loja/download/931-Teoria_das_Relacoes_Internacionais.pdf</w:t>
        </w:r>
      </w:hyperlink>
      <w:r>
        <w:t>&gt;. Acesso em: 02 abril 2015.</w:t>
      </w:r>
    </w:p>
    <w:p w:rsidR="004D58A7" w:rsidRDefault="004D58A7" w:rsidP="004D58A7">
      <w:pPr>
        <w:spacing w:after="240" w:line="360" w:lineRule="auto"/>
        <w:jc w:val="both"/>
      </w:pPr>
      <w:r>
        <w:t xml:space="preserve">COLOMBO, Silvana. Da noção de soberania dos estados à noção de ingerência ecológica. </w:t>
      </w:r>
      <w:r>
        <w:rPr>
          <w:i/>
        </w:rPr>
        <w:t xml:space="preserve">In: </w:t>
      </w:r>
      <w:r>
        <w:rPr>
          <w:b/>
        </w:rPr>
        <w:t xml:space="preserve">Revista Direitos Fundamentais &amp; Democracia/Faculdades Integradas do Brasil, </w:t>
      </w:r>
      <w:r>
        <w:t>Curitiba, v.1, n.1, pp. s/p, jan./jun. 2007. Disponível em: &lt;</w:t>
      </w:r>
      <w:hyperlink r:id="rId20" w:history="1">
        <w:r w:rsidRPr="00FD6FF0">
          <w:rPr>
            <w:rStyle w:val="Hyperlink"/>
          </w:rPr>
          <w:t>http://www.didinho.org/SColombo56.pdf</w:t>
        </w:r>
      </w:hyperlink>
      <w:r>
        <w:t xml:space="preserve">&gt;. Acesso em: 02 abril 2015. </w:t>
      </w:r>
    </w:p>
    <w:p w:rsidR="004D58A7" w:rsidRPr="00CA15D9" w:rsidRDefault="004D58A7" w:rsidP="004D58A7">
      <w:pPr>
        <w:spacing w:after="240" w:line="360" w:lineRule="auto"/>
        <w:jc w:val="both"/>
        <w:rPr>
          <w:lang w:val="en-US"/>
        </w:rPr>
      </w:pPr>
      <w:r w:rsidRPr="003E565C">
        <w:lastRenderedPageBreak/>
        <w:t xml:space="preserve">CRAVINHO, João Gomes. </w:t>
      </w:r>
      <w:r w:rsidRPr="003E565C">
        <w:rPr>
          <w:b/>
        </w:rPr>
        <w:t xml:space="preserve">Visões do Mundo - </w:t>
      </w:r>
      <w:r w:rsidRPr="003E565C">
        <w:t xml:space="preserve">As Relações Internacionais e o Mundo Contemporâneo. </w:t>
      </w:r>
      <w:r w:rsidRPr="00CA15D9">
        <w:rPr>
          <w:lang w:val="en-US"/>
        </w:rPr>
        <w:t xml:space="preserve">Lisboa: Imprensa de Ciências Sociais, 2002. </w:t>
      </w:r>
    </w:p>
    <w:p w:rsidR="004D58A7" w:rsidRDefault="004D58A7" w:rsidP="004D58A7">
      <w:pPr>
        <w:spacing w:after="240" w:line="276" w:lineRule="auto"/>
        <w:jc w:val="both"/>
      </w:pPr>
      <w:r w:rsidRPr="00311B71">
        <w:rPr>
          <w:color w:val="000000"/>
          <w:shd w:val="clear" w:color="auto" w:fill="FFFFFF"/>
          <w:lang w:val="en-US"/>
        </w:rPr>
        <w:t>DIKEN, B</w:t>
      </w:r>
      <w:r>
        <w:rPr>
          <w:color w:val="000000"/>
          <w:shd w:val="clear" w:color="auto" w:fill="FFFFFF"/>
          <w:lang w:val="en-US"/>
        </w:rPr>
        <w:t>ülent;</w:t>
      </w:r>
      <w:r w:rsidRPr="00311B71">
        <w:rPr>
          <w:color w:val="000000"/>
          <w:shd w:val="clear" w:color="auto" w:fill="FFFFFF"/>
          <w:lang w:val="en-US"/>
        </w:rPr>
        <w:t xml:space="preserve"> LAUSTSEN, </w:t>
      </w:r>
      <w:r>
        <w:rPr>
          <w:color w:val="000000"/>
          <w:shd w:val="clear" w:color="auto" w:fill="FFFFFF"/>
          <w:lang w:val="en-US"/>
        </w:rPr>
        <w:t xml:space="preserve">C. B. </w:t>
      </w:r>
      <w:r w:rsidRPr="009B4E74">
        <w:rPr>
          <w:color w:val="000000"/>
          <w:shd w:val="clear" w:color="auto" w:fill="FFFFFF"/>
          <w:lang w:val="en-US"/>
        </w:rPr>
        <w:t>Becoming Abject: Rape as a Weapon of War.</w:t>
      </w:r>
      <w:r>
        <w:rPr>
          <w:color w:val="000000"/>
          <w:shd w:val="clear" w:color="auto" w:fill="FFFFFF"/>
          <w:lang w:val="en-US"/>
        </w:rPr>
        <w:t xml:space="preserve"> </w:t>
      </w:r>
      <w:r w:rsidRPr="00BC28E9">
        <w:rPr>
          <w:i/>
          <w:color w:val="000000"/>
          <w:shd w:val="clear" w:color="auto" w:fill="FFFFFF"/>
          <w:lang w:val="en-US"/>
        </w:rPr>
        <w:t xml:space="preserve">In: </w:t>
      </w:r>
      <w:r w:rsidRPr="00BC28E9">
        <w:rPr>
          <w:b/>
          <w:color w:val="000000"/>
          <w:shd w:val="clear" w:color="auto" w:fill="FFFFFF"/>
          <w:lang w:val="en-US"/>
        </w:rPr>
        <w:t>Body &amp; Society</w:t>
      </w:r>
      <w:r w:rsidRPr="00BC28E9">
        <w:rPr>
          <w:color w:val="000000"/>
          <w:shd w:val="clear" w:color="auto" w:fill="FFFFFF"/>
          <w:lang w:val="en-US"/>
        </w:rPr>
        <w:t xml:space="preserve">, </w:t>
      </w:r>
      <w:r>
        <w:rPr>
          <w:color w:val="000000"/>
          <w:shd w:val="clear" w:color="auto" w:fill="FFFFFF"/>
          <w:lang w:val="en-US"/>
        </w:rPr>
        <w:t xml:space="preserve">Londres, </w:t>
      </w:r>
      <w:r w:rsidRPr="00BC28E9">
        <w:rPr>
          <w:color w:val="000000"/>
          <w:shd w:val="clear" w:color="auto" w:fill="FFFFFF"/>
          <w:lang w:val="en-US"/>
        </w:rPr>
        <w:t>v. 11, n. 1, pp. 111-12</w:t>
      </w:r>
      <w:r w:rsidRPr="0009516C">
        <w:rPr>
          <w:color w:val="000000"/>
          <w:shd w:val="clear" w:color="auto" w:fill="FFFFFF"/>
          <w:lang w:val="en-US"/>
        </w:rPr>
        <w:t xml:space="preserve">8, 2005. </w:t>
      </w:r>
      <w:r w:rsidRPr="00CA15D9">
        <w:rPr>
          <w:color w:val="000000"/>
          <w:shd w:val="clear" w:color="auto" w:fill="FFFFFF"/>
        </w:rPr>
        <w:t>Disponível em: &lt;</w:t>
      </w:r>
      <w:hyperlink r:id="rId21" w:history="1">
        <w:r w:rsidRPr="00CA15D9">
          <w:rPr>
            <w:rStyle w:val="Hyperlink"/>
            <w:shd w:val="clear" w:color="auto" w:fill="FFFFFF"/>
          </w:rPr>
          <w:t>http://www.staff.amu.edu.pl/~ewa/Diken%20and%20Lausten,%20Becoming%20Abject.pdf</w:t>
        </w:r>
      </w:hyperlink>
      <w:r w:rsidRPr="00CA15D9">
        <w:rPr>
          <w:color w:val="000000"/>
          <w:shd w:val="clear" w:color="auto" w:fill="FFFFFF"/>
        </w:rPr>
        <w:t xml:space="preserve">&gt;. </w:t>
      </w:r>
      <w:r>
        <w:rPr>
          <w:color w:val="000000"/>
          <w:shd w:val="clear" w:color="auto" w:fill="FFFFFF"/>
        </w:rPr>
        <w:t>Acesso em: 11 maio 2015.</w:t>
      </w:r>
    </w:p>
    <w:p w:rsidR="004D58A7" w:rsidRPr="00D34F08" w:rsidRDefault="004D58A7" w:rsidP="004D58A7">
      <w:pPr>
        <w:spacing w:after="240" w:line="276" w:lineRule="auto"/>
        <w:jc w:val="both"/>
      </w:pPr>
      <w:r w:rsidRPr="00D34F08">
        <w:t>EURÍPEDES</w:t>
      </w:r>
      <w:r w:rsidRPr="00D34F08">
        <w:rPr>
          <w:b/>
        </w:rPr>
        <w:t>.</w:t>
      </w:r>
      <w:r w:rsidRPr="00D34F08">
        <w:t xml:space="preserve"> </w:t>
      </w:r>
      <w:r w:rsidRPr="00CF67E2">
        <w:rPr>
          <w:b/>
        </w:rPr>
        <w:t>Las Troyanas.</w:t>
      </w:r>
      <w:r w:rsidRPr="00CF67E2">
        <w:t xml:space="preserve"> </w:t>
      </w:r>
      <w:r>
        <w:t>[S</w:t>
      </w:r>
      <w:r w:rsidRPr="00CF67E2">
        <w:t>.d.</w:t>
      </w:r>
      <w:r>
        <w:t>]</w:t>
      </w:r>
      <w:r w:rsidRPr="00CF67E2">
        <w:t xml:space="preserve"> Disponível em: &lt;</w:t>
      </w:r>
      <w:hyperlink r:id="rId22" w:history="1">
        <w:r w:rsidRPr="00CF67E2">
          <w:rPr>
            <w:rStyle w:val="Hyperlink"/>
          </w:rPr>
          <w:t>http://www.dominiopublico.gov.br/pesquisa/DetalheObraForm.do?select_action=&amp;co_obra=6664</w:t>
        </w:r>
      </w:hyperlink>
      <w:r w:rsidRPr="00CF67E2">
        <w:t>&gt;. Acesso em</w:t>
      </w:r>
      <w:r>
        <w:t>:</w:t>
      </w:r>
      <w:r w:rsidRPr="00CF67E2">
        <w:t xml:space="preserve"> 23 </w:t>
      </w:r>
      <w:r>
        <w:t>abril 2015</w:t>
      </w:r>
      <w:r w:rsidRPr="00CF67E2">
        <w:t>.</w:t>
      </w:r>
    </w:p>
    <w:p w:rsidR="004D58A7" w:rsidRDefault="004D58A7" w:rsidP="004D58A7">
      <w:pPr>
        <w:spacing w:after="240" w:line="360" w:lineRule="auto"/>
        <w:jc w:val="both"/>
      </w:pPr>
      <w:r>
        <w:t xml:space="preserve">FERREIRA, Renata Barbosa. </w:t>
      </w:r>
      <w:r>
        <w:rPr>
          <w:i/>
        </w:rPr>
        <w:t xml:space="preserve">In: </w:t>
      </w:r>
      <w:r>
        <w:t xml:space="preserve">ENCONTRO DA ASSOCIAÇÃO BRASILEIRA DE CIÊNCIA POLÍTICA, IV, 2008, Campinas - SP. </w:t>
      </w:r>
      <w:r w:rsidRPr="007062BF">
        <w:rPr>
          <w:b/>
        </w:rPr>
        <w:t>Cultura e identidade em RI:</w:t>
      </w:r>
      <w:r>
        <w:rPr>
          <w:b/>
        </w:rPr>
        <w:t xml:space="preserve"> </w:t>
      </w:r>
      <w:r>
        <w:t>um navio e um imenso oceano para navegar. Campinas: UNICAMP, 2008. Bibliografia: p. 2-25.</w:t>
      </w:r>
    </w:p>
    <w:p w:rsidR="004D58A7" w:rsidRDefault="004D58A7" w:rsidP="004D58A7">
      <w:pPr>
        <w:spacing w:after="240" w:line="360" w:lineRule="auto"/>
        <w:jc w:val="both"/>
      </w:pPr>
      <w:r w:rsidRPr="0013011D">
        <w:t xml:space="preserve">FINGER, Marina de Oliveira. </w:t>
      </w:r>
      <w:r w:rsidRPr="0013011D">
        <w:rPr>
          <w:b/>
        </w:rPr>
        <w:t>O uso sistemático do estupro em conflitos:</w:t>
      </w:r>
      <w:r>
        <w:t xml:space="preserve"> um estudo de caso acerca de suas motivações no conflito interno a Guatemala (1960-1996). Monografia (Curso de Relações Internacionais) – Universidade Federal do Rio Grande do Sul (UFRGS) – Faculdade de Ciências Econômicas. Porto Alegre, 2013. 60 p. Disponível em: &lt;</w:t>
      </w:r>
      <w:r w:rsidRPr="0013011D">
        <w:t xml:space="preserve"> </w:t>
      </w:r>
      <w:hyperlink r:id="rId23" w:history="1">
        <w:r w:rsidRPr="0013011D">
          <w:rPr>
            <w:rStyle w:val="Hyperlink"/>
          </w:rPr>
          <w:t>https://www.lume.ufrgs.br/bitstream/handle/10183/96710/000917410.pdf?sequence=1</w:t>
        </w:r>
      </w:hyperlink>
      <w:r>
        <w:t xml:space="preserve">&gt;. Acesso em: 12 maio 2015. </w:t>
      </w:r>
    </w:p>
    <w:p w:rsidR="004D58A7" w:rsidRDefault="004D58A7" w:rsidP="004D58A7">
      <w:pPr>
        <w:spacing w:after="240" w:line="276" w:lineRule="auto"/>
        <w:jc w:val="both"/>
      </w:pPr>
      <w:r>
        <w:t xml:space="preserve">FREUD, Sigmund. </w:t>
      </w:r>
      <w:r w:rsidRPr="00276CD4">
        <w:t>Totem e tabu e outros trabalhos (1913-14).</w:t>
      </w:r>
      <w:r>
        <w:t xml:space="preserve"> </w:t>
      </w:r>
      <w:r w:rsidRPr="00EB61C4">
        <w:rPr>
          <w:i/>
        </w:rPr>
        <w:t>In</w:t>
      </w:r>
      <w:r>
        <w:t xml:space="preserve">: </w:t>
      </w:r>
      <w:r w:rsidRPr="00276CD4">
        <w:rPr>
          <w:b/>
        </w:rPr>
        <w:t>Obras Completas de Sigmund Freud</w:t>
      </w:r>
      <w:r w:rsidRPr="00E8726C">
        <w:t>:</w:t>
      </w:r>
      <w:r>
        <w:t xml:space="preserve"> edição </w:t>
      </w:r>
      <w:r>
        <w:rPr>
          <w:i/>
        </w:rPr>
        <w:t>standart</w:t>
      </w:r>
      <w:r>
        <w:t xml:space="preserve"> brasileira, vol. XIII. Rio de Janeiro: Imago Ed., 1996. Bibliografia: pp. 37-44.</w:t>
      </w:r>
    </w:p>
    <w:p w:rsidR="004D58A7" w:rsidRPr="00B47039" w:rsidRDefault="004D58A7" w:rsidP="004D58A7">
      <w:pPr>
        <w:spacing w:after="240" w:line="360" w:lineRule="auto"/>
        <w:jc w:val="both"/>
      </w:pPr>
      <w:r w:rsidRPr="007062BF">
        <w:t>GONÇALVES,</w:t>
      </w:r>
      <w:r>
        <w:t xml:space="preserve"> Williams. </w:t>
      </w:r>
      <w:r>
        <w:rPr>
          <w:b/>
        </w:rPr>
        <w:t xml:space="preserve">Relações Internacionais. </w:t>
      </w:r>
      <w:r>
        <w:t>Centro Brasileiro de Documentação e Estudos da Bacia do Prata (CEDEP), 2003. Disponível em: &lt;</w:t>
      </w:r>
      <w:hyperlink r:id="rId24" w:history="1">
        <w:r w:rsidRPr="00FD6FF0">
          <w:rPr>
            <w:rStyle w:val="Hyperlink"/>
          </w:rPr>
          <w:t>http://www.cedep.ifch.ufrgs.br/Textos_Elet/pdf/WilliamsRR.II.pdf</w:t>
        </w:r>
      </w:hyperlink>
      <w:r>
        <w:t xml:space="preserve">&gt;. </w:t>
      </w:r>
      <w:r w:rsidRPr="00B47039">
        <w:t>Acesso em: 02 abril 2015.</w:t>
      </w:r>
      <w:r>
        <w:t xml:space="preserve"> Bibliografia: pp. 11-38.</w:t>
      </w:r>
    </w:p>
    <w:p w:rsidR="004D58A7" w:rsidRPr="00000C0A" w:rsidRDefault="004D58A7" w:rsidP="004D58A7">
      <w:pPr>
        <w:spacing w:after="240" w:line="360" w:lineRule="auto"/>
        <w:jc w:val="both"/>
        <w:rPr>
          <w:lang w:val="en-US"/>
        </w:rPr>
      </w:pPr>
      <w:r w:rsidRPr="00B47039">
        <w:t xml:space="preserve">HALLIDAY, Fred. </w:t>
      </w:r>
      <w:r w:rsidRPr="00B47039">
        <w:rPr>
          <w:b/>
        </w:rPr>
        <w:t xml:space="preserve">Repensando as relações internacionais. </w:t>
      </w:r>
      <w:r w:rsidRPr="002D06A1">
        <w:t xml:space="preserve">Porto Alegre: Editora da UFRGS, 2007. </w:t>
      </w:r>
      <w:r w:rsidRPr="00000C0A">
        <w:rPr>
          <w:lang w:val="en-US"/>
        </w:rPr>
        <w:t>Bibliografia: pp. 161-185.</w:t>
      </w:r>
    </w:p>
    <w:p w:rsidR="004D58A7" w:rsidRDefault="004D58A7" w:rsidP="004D58A7">
      <w:pPr>
        <w:spacing w:after="240" w:line="360" w:lineRule="auto"/>
        <w:jc w:val="both"/>
      </w:pPr>
      <w:r>
        <w:rPr>
          <w:lang w:val="en-US"/>
        </w:rPr>
        <w:t>______</w:t>
      </w:r>
      <w:r w:rsidRPr="00BA1421">
        <w:rPr>
          <w:lang w:val="en-US"/>
        </w:rPr>
        <w:t xml:space="preserve">, Fred. </w:t>
      </w:r>
      <w:r w:rsidRPr="00BA1421">
        <w:rPr>
          <w:i/>
          <w:lang w:val="en-US"/>
        </w:rPr>
        <w:t>The future of international relation: fears and hopes.</w:t>
      </w:r>
      <w:r w:rsidRPr="00BA1421">
        <w:rPr>
          <w:lang w:val="en-US"/>
        </w:rPr>
        <w:t xml:space="preserve"> </w:t>
      </w:r>
      <w:r w:rsidRPr="00BA1421">
        <w:rPr>
          <w:i/>
          <w:lang w:val="en-US"/>
        </w:rPr>
        <w:t>In:</w:t>
      </w:r>
      <w:r w:rsidRPr="00BA1421">
        <w:rPr>
          <w:lang w:val="en-US"/>
        </w:rPr>
        <w:t xml:space="preserve"> SMITH, Steve; BOOTH, Ken; ZALEWSKI, Marisia (Org.). </w:t>
      </w:r>
      <w:r w:rsidRPr="00BA1421">
        <w:rPr>
          <w:b/>
          <w:i/>
          <w:lang w:val="en-US"/>
        </w:rPr>
        <w:t>Internation</w:t>
      </w:r>
      <w:r w:rsidRPr="00E742DF">
        <w:rPr>
          <w:b/>
          <w:i/>
          <w:lang w:val="en-US"/>
        </w:rPr>
        <w:t xml:space="preserve">al theory: </w:t>
      </w:r>
      <w:r w:rsidRPr="00E742DF">
        <w:rPr>
          <w:i/>
          <w:lang w:val="en-US"/>
        </w:rPr>
        <w:t>positivism and beyond.</w:t>
      </w:r>
      <w:r w:rsidRPr="00E742DF">
        <w:rPr>
          <w:lang w:val="en-US"/>
        </w:rPr>
        <w:t xml:space="preserve"> </w:t>
      </w:r>
      <w:r w:rsidRPr="009C68F2">
        <w:t>Cambrid</w:t>
      </w:r>
      <w:r w:rsidRPr="000C568B">
        <w:t xml:space="preserve">ge (UK): Cambridge University Press, 1996. </w:t>
      </w:r>
      <w:r>
        <w:t>Bibliografia: pp. 318-327.</w:t>
      </w:r>
    </w:p>
    <w:p w:rsidR="004D58A7" w:rsidRDefault="004D58A7" w:rsidP="004D58A7">
      <w:pPr>
        <w:spacing w:after="240" w:line="360" w:lineRule="auto"/>
        <w:jc w:val="both"/>
      </w:pPr>
      <w:r>
        <w:lastRenderedPageBreak/>
        <w:t xml:space="preserve">HERZ, Mônica. Teoria das Relações Internacionais no Pós Guerra Fria. </w:t>
      </w:r>
      <w:r>
        <w:rPr>
          <w:i/>
        </w:rPr>
        <w:t xml:space="preserve">In: </w:t>
      </w:r>
      <w:r w:rsidRPr="003576C3">
        <w:rPr>
          <w:b/>
        </w:rPr>
        <w:t>Dados,</w:t>
      </w:r>
      <w:r>
        <w:rPr>
          <w:b/>
        </w:rPr>
        <w:t xml:space="preserve"> </w:t>
      </w:r>
      <w:r>
        <w:t>Rio de Janeiro, vol. 40, nº 2, 1997.</w:t>
      </w:r>
    </w:p>
    <w:p w:rsidR="004D58A7" w:rsidRDefault="004D58A7" w:rsidP="004D58A7">
      <w:pPr>
        <w:spacing w:after="240" w:line="276" w:lineRule="auto"/>
        <w:jc w:val="both"/>
      </w:pPr>
      <w:r w:rsidRPr="000A7E11">
        <w:t xml:space="preserve">HOMERO. </w:t>
      </w:r>
      <w:r w:rsidRPr="000A7E11">
        <w:rPr>
          <w:b/>
        </w:rPr>
        <w:t>A Ilíada.</w:t>
      </w:r>
      <w:r w:rsidRPr="000A7E11">
        <w:t xml:space="preserve"> São Paulo: Editora Martin Claret Ltda., </w:t>
      </w:r>
      <w:r>
        <w:t>2003. Bibliografia: pp. 11-89.</w:t>
      </w:r>
    </w:p>
    <w:p w:rsidR="004D58A7" w:rsidRPr="00000C0A" w:rsidRDefault="004D58A7" w:rsidP="004D58A7">
      <w:pPr>
        <w:spacing w:after="240" w:line="360" w:lineRule="auto"/>
        <w:jc w:val="both"/>
      </w:pPr>
      <w:r>
        <w:t xml:space="preserve">HOBSBAWN, Eric J.. </w:t>
      </w:r>
      <w:r>
        <w:rPr>
          <w:b/>
        </w:rPr>
        <w:t xml:space="preserve">Era dos extremos: </w:t>
      </w:r>
      <w:r>
        <w:t xml:space="preserve">o breve século XX: 1914-1991. </w:t>
      </w:r>
      <w:r w:rsidRPr="00000C0A">
        <w:t>São Paulo: Companhia das Letras, 1995/2009.</w:t>
      </w:r>
    </w:p>
    <w:p w:rsidR="004D58A7" w:rsidRPr="00E60D9C" w:rsidRDefault="004D58A7" w:rsidP="004D58A7">
      <w:pPr>
        <w:spacing w:after="240" w:line="360" w:lineRule="auto"/>
        <w:jc w:val="both"/>
      </w:pPr>
      <w:r w:rsidRPr="000B0BC5">
        <w:t xml:space="preserve">JACKSON, R.; </w:t>
      </w:r>
      <w:r>
        <w:t>S</w:t>
      </w:r>
      <w:r w:rsidRPr="003B22A2">
        <w:rPr>
          <w:rStyle w:val="nfase"/>
          <w:bCs/>
          <w:shd w:val="clear" w:color="auto" w:fill="FFFFFF"/>
        </w:rPr>
        <w:t>Ø</w:t>
      </w:r>
      <w:r>
        <w:t xml:space="preserve">RENSEN, G. </w:t>
      </w:r>
      <w:r>
        <w:rPr>
          <w:b/>
        </w:rPr>
        <w:t xml:space="preserve">Introdução às Relações Internacionais. </w:t>
      </w:r>
      <w:r>
        <w:t>Rio de Janeiro: Jorge Zahar, 2007.</w:t>
      </w:r>
    </w:p>
    <w:p w:rsidR="004D58A7" w:rsidRDefault="004D58A7" w:rsidP="004D58A7">
      <w:pPr>
        <w:spacing w:after="240" w:line="360" w:lineRule="auto"/>
        <w:jc w:val="both"/>
      </w:pPr>
      <w:r w:rsidRPr="00BB6291">
        <w:t xml:space="preserve">JÚNIOR, Antônio Manoel Elíbio; MATOS, Morgana Aparecida de. </w:t>
      </w:r>
      <w:r>
        <w:rPr>
          <w:b/>
        </w:rPr>
        <w:t xml:space="preserve">Introdução às relações internacionais. </w:t>
      </w:r>
      <w:r>
        <w:t>Palhoça: UnisulVirtual, 2006. Disponível em: &lt;</w:t>
      </w:r>
      <w:r w:rsidRPr="00BB6291">
        <w:rPr>
          <w:color w:val="0070C0"/>
          <w:u w:val="single"/>
        </w:rPr>
        <w:t xml:space="preserve"> </w:t>
      </w:r>
      <w:hyperlink r:id="rId25" w:history="1">
        <w:r w:rsidRPr="00FD6FF0">
          <w:rPr>
            <w:rStyle w:val="Hyperlink"/>
          </w:rPr>
          <w:t>http://busca.unisul.br/pdf/89371_Antonio.pdf</w:t>
        </w:r>
      </w:hyperlink>
      <w:r>
        <w:t>&gt;. Acesso em: 02 de abril de 2015.</w:t>
      </w:r>
    </w:p>
    <w:p w:rsidR="004D58A7" w:rsidRDefault="004D58A7" w:rsidP="004D58A7">
      <w:pPr>
        <w:spacing w:after="240" w:line="276" w:lineRule="auto"/>
        <w:jc w:val="both"/>
      </w:pPr>
      <w:r w:rsidRPr="00CA15D9">
        <w:rPr>
          <w:lang w:val="en-US"/>
        </w:rPr>
        <w:t>KOO, Katrina Lee. Confronting a Disciplinary Blindness: Women, War and Rape i</w:t>
      </w:r>
      <w:r w:rsidRPr="00707911">
        <w:rPr>
          <w:lang w:val="en-US"/>
        </w:rPr>
        <w:t xml:space="preserve">n the International Politics of Security. </w:t>
      </w:r>
      <w:r>
        <w:rPr>
          <w:i/>
          <w:lang w:val="en-US"/>
        </w:rPr>
        <w:t xml:space="preserve">In: </w:t>
      </w:r>
      <w:r w:rsidRPr="00707911">
        <w:rPr>
          <w:b/>
          <w:lang w:val="en-US"/>
        </w:rPr>
        <w:t>Australian Journal of Political Science</w:t>
      </w:r>
      <w:r>
        <w:rPr>
          <w:lang w:val="en-US"/>
        </w:rPr>
        <w:t xml:space="preserve">, [S.l.], v. 37, n. 3, pp. 525-536, Australian National University, 2002. </w:t>
      </w:r>
      <w:r w:rsidRPr="00707911">
        <w:t xml:space="preserve">Disponível em: </w:t>
      </w:r>
      <w:r>
        <w:t>&lt;</w:t>
      </w:r>
      <w:hyperlink r:id="rId26" w:history="1">
        <w:r w:rsidRPr="00C95B56">
          <w:rPr>
            <w:rStyle w:val="Hyperlink"/>
          </w:rPr>
          <w:t>http://cges.umn.edu/docs/Koo.Confronting_a_Disciplinary_Blindness.pdf</w:t>
        </w:r>
      </w:hyperlink>
      <w:r>
        <w:t xml:space="preserve">&gt;. </w:t>
      </w:r>
      <w:r w:rsidRPr="00707911">
        <w:t xml:space="preserve"> </w:t>
      </w:r>
      <w:r>
        <w:t>Acesso em: 12 maio 2015.</w:t>
      </w:r>
    </w:p>
    <w:p w:rsidR="004D58A7" w:rsidRPr="00536808" w:rsidRDefault="004D58A7" w:rsidP="004D58A7">
      <w:pPr>
        <w:spacing w:after="240" w:line="276" w:lineRule="auto"/>
        <w:jc w:val="both"/>
        <w:rPr>
          <w:lang w:val="en-US"/>
        </w:rPr>
      </w:pPr>
      <w:r w:rsidRPr="007A3013">
        <w:t xml:space="preserve">KULLASHI, Muhamedin. </w:t>
      </w:r>
      <w:r w:rsidRPr="009B3FC4">
        <w:rPr>
          <w:lang w:val="es-ES"/>
        </w:rPr>
        <w:t xml:space="preserve">Limpieza Étnica en la Ex-Yugoslavia. </w:t>
      </w:r>
      <w:r w:rsidRPr="009B3FC4">
        <w:rPr>
          <w:i/>
          <w:lang w:val="es-ES"/>
        </w:rPr>
        <w:t xml:space="preserve">In: </w:t>
      </w:r>
      <w:r w:rsidRPr="009B3FC4">
        <w:rPr>
          <w:b/>
          <w:lang w:val="es-ES"/>
        </w:rPr>
        <w:t>Revista Praxis Filosófica</w:t>
      </w:r>
      <w:r w:rsidRPr="009B3FC4">
        <w:rPr>
          <w:lang w:val="es-ES"/>
        </w:rPr>
        <w:t>, Cali.</w:t>
      </w:r>
      <w:r>
        <w:rPr>
          <w:lang w:val="es-ES"/>
        </w:rPr>
        <w:t xml:space="preserve">, </w:t>
      </w:r>
      <w:r w:rsidRPr="009B3FC4">
        <w:rPr>
          <w:lang w:val="es-ES"/>
        </w:rPr>
        <w:t>n. 16, Universidad Del Valle, pp. 77-107</w:t>
      </w:r>
      <w:r>
        <w:rPr>
          <w:lang w:val="es-ES"/>
        </w:rPr>
        <w:t>, setembro 2003</w:t>
      </w:r>
      <w:r w:rsidRPr="009B3FC4">
        <w:rPr>
          <w:lang w:val="es-ES"/>
        </w:rPr>
        <w:t xml:space="preserve">. </w:t>
      </w:r>
      <w:r w:rsidRPr="009B3FC4">
        <w:t xml:space="preserve">Disponível em: </w:t>
      </w:r>
      <w:r>
        <w:t>&lt;</w:t>
      </w:r>
      <w:hyperlink r:id="rId27" w:history="1">
        <w:r>
          <w:rPr>
            <w:rStyle w:val="Hyperlink"/>
          </w:rPr>
          <w:t>http://praxis.univalle.edu.co/numeros/n16/vilma_penagos.pdf</w:t>
        </w:r>
      </w:hyperlink>
      <w:r>
        <w:t xml:space="preserve">&gt;. </w:t>
      </w:r>
      <w:r w:rsidRPr="00536808">
        <w:rPr>
          <w:lang w:val="en-US"/>
        </w:rPr>
        <w:t xml:space="preserve">Acesso em: 12 maio 2015. </w:t>
      </w:r>
    </w:p>
    <w:p w:rsidR="004D58A7" w:rsidRDefault="004D58A7" w:rsidP="004D58A7">
      <w:pPr>
        <w:spacing w:after="240" w:line="276" w:lineRule="auto"/>
        <w:jc w:val="both"/>
      </w:pPr>
      <w:r w:rsidRPr="003A1EE0">
        <w:rPr>
          <w:lang w:val="en-US"/>
        </w:rPr>
        <w:t xml:space="preserve">LITTLEWOOD, Roland. </w:t>
      </w:r>
      <w:r w:rsidRPr="00707911">
        <w:rPr>
          <w:lang w:val="en-US"/>
        </w:rPr>
        <w:t xml:space="preserve">Military Rape. </w:t>
      </w:r>
      <w:r w:rsidRPr="00707911">
        <w:rPr>
          <w:i/>
          <w:lang w:val="en-US"/>
        </w:rPr>
        <w:t xml:space="preserve">In: </w:t>
      </w:r>
      <w:r w:rsidRPr="00BF4B47">
        <w:rPr>
          <w:b/>
          <w:lang w:val="en-US"/>
        </w:rPr>
        <w:t>Anthropology Today</w:t>
      </w:r>
      <w:r w:rsidRPr="00707911">
        <w:rPr>
          <w:lang w:val="en-US"/>
        </w:rPr>
        <w:t xml:space="preserve">, </w:t>
      </w:r>
      <w:r>
        <w:rPr>
          <w:lang w:val="en-US"/>
        </w:rPr>
        <w:t xml:space="preserve">Londres, v. 13, n. 2, pp. 7-16, Royal Anthropological Institute of Great Britain and Ireland, abril 1997. </w:t>
      </w:r>
      <w:r w:rsidRPr="00BF4B47">
        <w:t>Disponível em: &lt;</w:t>
      </w:r>
      <w:hyperlink r:id="rId28" w:history="1">
        <w:r w:rsidRPr="00BF4B47">
          <w:rPr>
            <w:rStyle w:val="Hyperlink"/>
          </w:rPr>
          <w:t>http://www.jstor.org/stable/2783037</w:t>
        </w:r>
      </w:hyperlink>
      <w:r w:rsidRPr="00BF4B47">
        <w:t xml:space="preserve">&gt;. </w:t>
      </w:r>
      <w:r>
        <w:t>Acesso em: 11 maio 2015.</w:t>
      </w:r>
    </w:p>
    <w:p w:rsidR="004D58A7" w:rsidRDefault="004D58A7" w:rsidP="004D58A7">
      <w:pPr>
        <w:spacing w:after="240" w:line="360" w:lineRule="auto"/>
        <w:jc w:val="both"/>
      </w:pPr>
      <w:r>
        <w:t xml:space="preserve">MERLE, Marcel. </w:t>
      </w:r>
      <w:r>
        <w:rPr>
          <w:b/>
        </w:rPr>
        <w:t xml:space="preserve">Sociologia das Relações Internacionais. </w:t>
      </w:r>
      <w:r>
        <w:t>Brasília: Universidade de Brasília, 1981. Bibliografia: pp. 17-42.</w:t>
      </w:r>
    </w:p>
    <w:p w:rsidR="004D58A7" w:rsidRPr="00536808" w:rsidRDefault="004D58A7" w:rsidP="004D58A7">
      <w:pPr>
        <w:spacing w:after="240" w:line="360" w:lineRule="auto"/>
        <w:jc w:val="both"/>
        <w:rPr>
          <w:lang w:val="en-US"/>
        </w:rPr>
      </w:pPr>
      <w:r>
        <w:t xml:space="preserve">MIALHE, Jorge Luís. </w:t>
      </w:r>
      <w:r w:rsidRPr="006A1AC5">
        <w:t xml:space="preserve">Relações Internacionais e Direito Internacional numa sociedade globalizada: </w:t>
      </w:r>
      <w:r>
        <w:t xml:space="preserve">breves anotações. </w:t>
      </w:r>
      <w:r>
        <w:rPr>
          <w:i/>
        </w:rPr>
        <w:t xml:space="preserve">In: </w:t>
      </w:r>
      <w:r>
        <w:rPr>
          <w:b/>
        </w:rPr>
        <w:t xml:space="preserve">Verba Iuris, </w:t>
      </w:r>
      <w:r>
        <w:t>ano 7, v. 1, n. 1, jan./dez., 2008. Disponível em: &lt;</w:t>
      </w:r>
      <w:r w:rsidRPr="006A1AC5">
        <w:t xml:space="preserve"> </w:t>
      </w:r>
      <w:hyperlink r:id="rId29" w:history="1">
        <w:r w:rsidRPr="0013011D">
          <w:rPr>
            <w:rStyle w:val="Hyperlink"/>
          </w:rPr>
          <w:t>http://periodicos.ufpb.br/ojs/index.php/vj/article/download/14888/8447</w:t>
        </w:r>
      </w:hyperlink>
      <w:r>
        <w:t xml:space="preserve">&gt;. </w:t>
      </w:r>
      <w:r w:rsidRPr="00536808">
        <w:rPr>
          <w:lang w:val="en-US"/>
        </w:rPr>
        <w:t>Acesso em: 02 abril 2015.</w:t>
      </w:r>
    </w:p>
    <w:p w:rsidR="004D58A7" w:rsidRDefault="004D58A7" w:rsidP="004D58A7">
      <w:pPr>
        <w:spacing w:after="240" w:line="360" w:lineRule="auto"/>
        <w:jc w:val="both"/>
      </w:pPr>
      <w:r w:rsidRPr="001B6014">
        <w:rPr>
          <w:lang w:val="en-US"/>
        </w:rPr>
        <w:t>MITCHELL, David S..</w:t>
      </w:r>
      <w:r w:rsidRPr="00FD6FF0">
        <w:rPr>
          <w:lang w:val="en-US"/>
        </w:rPr>
        <w:t xml:space="preserve"> The prohibition of rape in international humanitarian law as a norm of </w:t>
      </w:r>
      <w:r>
        <w:rPr>
          <w:i/>
          <w:lang w:val="en-US"/>
        </w:rPr>
        <w:t>jus cogens</w:t>
      </w:r>
      <w:r>
        <w:rPr>
          <w:lang w:val="en-US"/>
        </w:rPr>
        <w:t xml:space="preserve">: clarifying the doctrine. </w:t>
      </w:r>
      <w:r w:rsidRPr="001B6014">
        <w:rPr>
          <w:i/>
          <w:lang w:val="en-US"/>
        </w:rPr>
        <w:t xml:space="preserve">In: </w:t>
      </w:r>
      <w:r w:rsidRPr="001B6014">
        <w:rPr>
          <w:b/>
          <w:lang w:val="en-US"/>
        </w:rPr>
        <w:t xml:space="preserve">DUKE JOURNAL OF COMPARATIVE &amp; INTERNATIONAL LAW, </w:t>
      </w:r>
      <w:r w:rsidRPr="001B6014">
        <w:rPr>
          <w:lang w:val="en-US"/>
        </w:rPr>
        <w:t xml:space="preserve">vol. 15, pp. 219-257, 2005. </w:t>
      </w:r>
      <w:r w:rsidRPr="00536808">
        <w:rPr>
          <w:lang w:val="en-US"/>
        </w:rPr>
        <w:t xml:space="preserve">Disponível em: &lt; </w:t>
      </w:r>
      <w:hyperlink r:id="rId30" w:history="1">
        <w:r w:rsidRPr="00536808">
          <w:rPr>
            <w:rStyle w:val="Hyperlink"/>
            <w:lang w:val="en-US"/>
          </w:rPr>
          <w:t>http://scholarship.law.duke.edu/djcil/vol15/iss2/2/&gt;.</w:t>
        </w:r>
      </w:hyperlink>
      <w:r w:rsidRPr="00536808">
        <w:rPr>
          <w:lang w:val="en-US"/>
        </w:rPr>
        <w:t xml:space="preserve"> </w:t>
      </w:r>
      <w:r>
        <w:t>Acesso em: 13 maio 2015.</w:t>
      </w:r>
    </w:p>
    <w:p w:rsidR="004D58A7" w:rsidRPr="00CD0A72" w:rsidRDefault="004D58A7" w:rsidP="004D58A7">
      <w:pPr>
        <w:spacing w:after="240" w:line="360" w:lineRule="auto"/>
        <w:jc w:val="both"/>
      </w:pPr>
      <w:r>
        <w:lastRenderedPageBreak/>
        <w:t xml:space="preserve">MOORE, Jina. Confronting rape as a war crime. </w:t>
      </w:r>
      <w:r w:rsidRPr="00CD0A72">
        <w:rPr>
          <w:i/>
          <w:lang w:val="en-US"/>
        </w:rPr>
        <w:t xml:space="preserve">In: </w:t>
      </w:r>
      <w:r w:rsidRPr="00CD0A72">
        <w:rPr>
          <w:b/>
          <w:lang w:val="en-US"/>
        </w:rPr>
        <w:t>CQ Global Researcher</w:t>
      </w:r>
      <w:r w:rsidRPr="00CD0A72">
        <w:rPr>
          <w:lang w:val="en-US"/>
        </w:rPr>
        <w:t xml:space="preserve">, vol. </w:t>
      </w:r>
      <w:r>
        <w:rPr>
          <w:lang w:val="en-US"/>
        </w:rPr>
        <w:t xml:space="preserve">4, n. 5, pp. 105-130, maio 2010. </w:t>
      </w:r>
      <w:r w:rsidRPr="00CD0A72">
        <w:t xml:space="preserve">Disponível em: </w:t>
      </w:r>
      <w:r>
        <w:t>&lt;</w:t>
      </w:r>
      <w:hyperlink r:id="rId31" w:history="1">
        <w:r w:rsidRPr="00CD0A72">
          <w:rPr>
            <w:rStyle w:val="Hyperlink"/>
          </w:rPr>
          <w:t>http://www.nobelwomensinitiative.org/wp-content/archive/stories/women_new_security/CQ_Press_women_in_war.pdf</w:t>
        </w:r>
      </w:hyperlink>
      <w:r>
        <w:t>&gt;. Acesso em: 13 maio 2015.</w:t>
      </w:r>
    </w:p>
    <w:p w:rsidR="004D58A7" w:rsidRPr="00BF4B47" w:rsidRDefault="004D58A7" w:rsidP="004D58A7">
      <w:pPr>
        <w:spacing w:after="240" w:line="276" w:lineRule="auto"/>
        <w:jc w:val="both"/>
      </w:pPr>
      <w:r w:rsidRPr="003D5B1A">
        <w:t>MONTE</w:t>
      </w:r>
      <w:r>
        <w:t xml:space="preserve">, Izadora Xavier do. </w:t>
      </w:r>
      <w:r w:rsidRPr="003D5B1A">
        <w:rPr>
          <w:b/>
        </w:rPr>
        <w:t>Gênero e Relações Internacionais – Uma Crítica ao Discurso Tradicional de Segurança.</w:t>
      </w:r>
      <w:r>
        <w:t xml:space="preserve"> Dissertação (Mestrado em Relações Internacionais) – Universidade de Brasília – Instituto de Relações Internacionais. Brasília, 2010. 145 p. Disponível em: &lt;</w:t>
      </w:r>
      <w:hyperlink r:id="rId32" w:history="1">
        <w:r w:rsidRPr="00C95B56">
          <w:rPr>
            <w:rStyle w:val="Hyperlink"/>
          </w:rPr>
          <w:t>http://repositorio.bce.unb.br/bitstream/10482/7726/1/2010_IzadoraXavierMonte.pdf</w:t>
        </w:r>
      </w:hyperlink>
      <w:r>
        <w:t xml:space="preserve">&gt;. Acesso em: 12 maio 2015. Bibliografia: pp. 1-34, 128-130. </w:t>
      </w:r>
    </w:p>
    <w:p w:rsidR="004D58A7" w:rsidRPr="006A1AC5" w:rsidRDefault="004D58A7" w:rsidP="004D58A7">
      <w:pPr>
        <w:spacing w:after="240" w:line="276" w:lineRule="auto"/>
        <w:jc w:val="both"/>
      </w:pPr>
      <w:r w:rsidRPr="007C404A">
        <w:t xml:space="preserve">NÓLIBOS, P. </w:t>
      </w:r>
      <w:r w:rsidRPr="007C404A">
        <w:rPr>
          <w:b/>
          <w:i/>
        </w:rPr>
        <w:t>Eros</w:t>
      </w:r>
      <w:r w:rsidRPr="007C404A">
        <w:rPr>
          <w:b/>
        </w:rPr>
        <w:t xml:space="preserve"> e </w:t>
      </w:r>
      <w:r w:rsidRPr="007C404A">
        <w:rPr>
          <w:b/>
          <w:i/>
        </w:rPr>
        <w:t>Bía</w:t>
      </w:r>
      <w:r w:rsidRPr="007C404A">
        <w:rPr>
          <w:b/>
        </w:rPr>
        <w:t xml:space="preserve"> entre Helena e Cassandra:</w:t>
      </w:r>
      <w:r w:rsidRPr="007C404A">
        <w:t xml:space="preserve"> Gênero, Sexualidade e Matrimônio no Imaginário Clássico </w:t>
      </w:r>
      <w:r w:rsidRPr="00087B35">
        <w:t xml:space="preserve">Ateniense. Tese (Doutorado em História) – Universidade Federal do Rio Grande do Sul, Instituto de Filosofia e Ciências Humanas. Porto Alegre: outubro 2006. </w:t>
      </w:r>
      <w:r>
        <w:t xml:space="preserve">346 p. </w:t>
      </w:r>
      <w:r w:rsidRPr="00087B35">
        <w:t>Disponível em: &lt;</w:t>
      </w:r>
      <w:hyperlink r:id="rId33" w:history="1">
        <w:r w:rsidRPr="00087B35">
          <w:rPr>
            <w:rStyle w:val="Hyperlink"/>
          </w:rPr>
          <w:t>http://www.lume.ufrgs.br/bitstream/handle/10183/12515/000627203.pdf?sequence=1</w:t>
        </w:r>
      </w:hyperlink>
      <w:r w:rsidRPr="00087B35">
        <w:t>&gt;. Ac</w:t>
      </w:r>
      <w:r>
        <w:t xml:space="preserve">esso em: 11 maio 2015. </w:t>
      </w:r>
      <w:r w:rsidRPr="00087B35">
        <w:t>Bibliografia: pp. 193-</w:t>
      </w:r>
      <w:r>
        <w:t>208.</w:t>
      </w:r>
    </w:p>
    <w:p w:rsidR="004D58A7" w:rsidRDefault="004D58A7" w:rsidP="004D58A7">
      <w:pPr>
        <w:spacing w:after="240" w:line="360" w:lineRule="auto"/>
        <w:jc w:val="both"/>
      </w:pPr>
      <w:r>
        <w:t xml:space="preserve">NOGUEIRA, João Pontes; MESSARI, Nizar. </w:t>
      </w:r>
      <w:r w:rsidRPr="000C568B">
        <w:rPr>
          <w:b/>
        </w:rPr>
        <w:t xml:space="preserve">Teoria das relações internacionais: </w:t>
      </w:r>
      <w:r>
        <w:t>correntes e debates. Rio de Janeiro: Elsevier, 2005.</w:t>
      </w:r>
    </w:p>
    <w:p w:rsidR="004D58A7" w:rsidRPr="00536808" w:rsidRDefault="004D58A7" w:rsidP="004D58A7">
      <w:pPr>
        <w:spacing w:after="240" w:line="276" w:lineRule="auto"/>
        <w:jc w:val="both"/>
        <w:rPr>
          <w:lang w:val="en-US"/>
        </w:rPr>
      </w:pPr>
      <w:r w:rsidRPr="00087B35">
        <w:rPr>
          <w:color w:val="000000"/>
          <w:shd w:val="clear" w:color="auto" w:fill="FFFFFF"/>
        </w:rPr>
        <w:t xml:space="preserve">OLIVEIRA, Solange R. Contemporaneidade de Shakespeare: a violência contra a mulher no poema narrativo “O estupro de Lucrécia”. </w:t>
      </w:r>
      <w:r w:rsidRPr="00087B35">
        <w:rPr>
          <w:i/>
          <w:color w:val="000000"/>
          <w:shd w:val="clear" w:color="auto" w:fill="FFFFFF"/>
        </w:rPr>
        <w:t>In</w:t>
      </w:r>
      <w:r w:rsidRPr="00087B35">
        <w:rPr>
          <w:color w:val="000000"/>
          <w:shd w:val="clear" w:color="auto" w:fill="FFFFFF"/>
        </w:rPr>
        <w:t>: LEÃO, Liana de Camargo; SANTOS, Marlene Soares dos.</w:t>
      </w:r>
      <w:r w:rsidRPr="00087B35">
        <w:rPr>
          <w:rStyle w:val="apple-converted-space"/>
          <w:color w:val="000000"/>
          <w:shd w:val="clear" w:color="auto" w:fill="FFFFFF"/>
        </w:rPr>
        <w:t> </w:t>
      </w:r>
      <w:r w:rsidRPr="00087B35">
        <w:rPr>
          <w:rStyle w:val="nfase"/>
          <w:b/>
          <w:color w:val="000000"/>
          <w:shd w:val="clear" w:color="auto" w:fill="FFFFFF"/>
        </w:rPr>
        <w:t>Shakespeare</w:t>
      </w:r>
      <w:r w:rsidRPr="00087B35">
        <w:rPr>
          <w:b/>
          <w:color w:val="000000"/>
          <w:shd w:val="clear" w:color="auto" w:fill="FFFFFF"/>
        </w:rPr>
        <w:t>:</w:t>
      </w:r>
      <w:r w:rsidRPr="00087B35">
        <w:rPr>
          <w:color w:val="000000"/>
          <w:shd w:val="clear" w:color="auto" w:fill="FFFFFF"/>
        </w:rPr>
        <w:t xml:space="preserve"> sua época e sua obra. Curitiba: Editora Beatrice, pp. 227-240, 2008.</w:t>
      </w:r>
      <w:r w:rsidRPr="00087B35">
        <w:t xml:space="preserve"> Disponível em: &lt; </w:t>
      </w:r>
      <w:hyperlink r:id="rId34" w:history="1">
        <w:r w:rsidRPr="00087B35">
          <w:rPr>
            <w:rStyle w:val="Hyperlink"/>
          </w:rPr>
          <w:t>http://www.letras.ufmg.br/poslit/16_producao_pgs/OLIVEIRA,%20Solange.Contemporaneidade.2008.pdf</w:t>
        </w:r>
      </w:hyperlink>
      <w:r w:rsidRPr="00087B35">
        <w:t xml:space="preserve">&gt;. </w:t>
      </w:r>
      <w:r w:rsidRPr="00536808">
        <w:rPr>
          <w:lang w:val="en-US"/>
        </w:rPr>
        <w:t>Acesso em: 11 maio 2015.</w:t>
      </w:r>
    </w:p>
    <w:p w:rsidR="004D58A7" w:rsidRDefault="004D58A7" w:rsidP="004D58A7">
      <w:pPr>
        <w:spacing w:after="240" w:line="276" w:lineRule="auto"/>
        <w:jc w:val="both"/>
      </w:pPr>
      <w:r w:rsidRPr="00CA15D9">
        <w:rPr>
          <w:color w:val="000000"/>
          <w:shd w:val="clear" w:color="auto" w:fill="FFFFFF"/>
          <w:lang w:val="en-US"/>
        </w:rPr>
        <w:t>OLUJIC, Maria B</w:t>
      </w:r>
      <w:r w:rsidRPr="00CA15D9">
        <w:rPr>
          <w:lang w:val="en-US"/>
        </w:rPr>
        <w:t xml:space="preserve">. Embodiment of Terror: Gendered Violence in Peacetime and Wartime in Croatia-Bosnia-Herzegovina. </w:t>
      </w:r>
      <w:r w:rsidRPr="00087B35">
        <w:rPr>
          <w:i/>
          <w:lang w:val="en-US"/>
        </w:rPr>
        <w:t>In:</w:t>
      </w:r>
      <w:r w:rsidRPr="00087B35">
        <w:rPr>
          <w:lang w:val="en-US"/>
        </w:rPr>
        <w:t xml:space="preserve"> </w:t>
      </w:r>
      <w:r w:rsidRPr="00087B35">
        <w:rPr>
          <w:b/>
          <w:lang w:val="en-US"/>
        </w:rPr>
        <w:t>Medical Anthropology Quarterly</w:t>
      </w:r>
      <w:r w:rsidRPr="00087B35">
        <w:rPr>
          <w:lang w:val="en-US"/>
        </w:rPr>
        <w:t xml:space="preserve">, Berkeley, New Series, v. 12, n. 1, The Embodiment of Violence, pp. 31-50, mar. 1998. </w:t>
      </w:r>
      <w:r w:rsidRPr="00CA15D9">
        <w:t>Disponível em: &lt;</w:t>
      </w:r>
      <w:hyperlink r:id="rId35" w:history="1">
        <w:r w:rsidRPr="00CA15D9">
          <w:rPr>
            <w:rStyle w:val="Hyperlink"/>
          </w:rPr>
          <w:t>http://www.jstor.org/stable/649476</w:t>
        </w:r>
      </w:hyperlink>
      <w:r w:rsidRPr="00CA15D9">
        <w:t xml:space="preserve">&gt;. </w:t>
      </w:r>
      <w:r>
        <w:t>Acesso em: 12 maio 2015</w:t>
      </w:r>
      <w:r w:rsidRPr="00087B35">
        <w:t>.</w:t>
      </w:r>
    </w:p>
    <w:p w:rsidR="004D58A7" w:rsidRDefault="004D58A7" w:rsidP="004D58A7">
      <w:pPr>
        <w:spacing w:after="240" w:line="276" w:lineRule="auto"/>
        <w:jc w:val="both"/>
        <w:rPr>
          <w:rStyle w:val="article-title"/>
          <w:rFonts w:ascii="Verdana" w:hAnsi="Verdana"/>
          <w:bCs/>
          <w:color w:val="000000"/>
          <w:sz w:val="18"/>
          <w:szCs w:val="18"/>
          <w:shd w:val="clear" w:color="auto" w:fill="FFFFFF"/>
        </w:rPr>
      </w:pPr>
      <w:r w:rsidRPr="00247A96">
        <w:t xml:space="preserve">PERES, Andréa Carolina Schvartz. Campos de estupro e a guerra na Bósnia. </w:t>
      </w:r>
      <w:r w:rsidRPr="00247A96">
        <w:rPr>
          <w:i/>
        </w:rPr>
        <w:t xml:space="preserve">In: </w:t>
      </w:r>
      <w:r w:rsidRPr="00247A96">
        <w:rPr>
          <w:rStyle w:val="article-title"/>
          <w:rFonts w:ascii="Verdana" w:hAnsi="Verdana"/>
          <w:b/>
          <w:bCs/>
          <w:color w:val="000000"/>
          <w:sz w:val="18"/>
          <w:szCs w:val="18"/>
          <w:shd w:val="clear" w:color="auto" w:fill="FFFFFF"/>
        </w:rPr>
        <w:t xml:space="preserve">Cadernos Pagu, </w:t>
      </w:r>
      <w:r w:rsidRPr="00247A96">
        <w:rPr>
          <w:rStyle w:val="article-title"/>
          <w:rFonts w:ascii="Verdana" w:hAnsi="Verdana"/>
          <w:bCs/>
          <w:color w:val="000000"/>
          <w:sz w:val="18"/>
          <w:szCs w:val="18"/>
          <w:shd w:val="clear" w:color="auto" w:fill="FFFFFF"/>
        </w:rPr>
        <w:t>Campinas, n. 37, p. 117-162, dez. 2011. Disponível em: &lt;</w:t>
      </w:r>
      <w:r w:rsidRPr="00247A96">
        <w:t>&lt;</w:t>
      </w:r>
      <w:hyperlink r:id="rId36" w:history="1">
        <w:r w:rsidRPr="00247A96">
          <w:rPr>
            <w:rStyle w:val="Hyperlink"/>
            <w:rFonts w:ascii="Verdana" w:hAnsi="Verdana"/>
            <w:bCs/>
            <w:sz w:val="18"/>
            <w:szCs w:val="18"/>
            <w:shd w:val="clear" w:color="auto" w:fill="FFFFFF"/>
          </w:rPr>
          <w:t>http://www.scielo.br/scielo.php?pid=S0104-83332011000200005&amp;script=sci_arttext</w:t>
        </w:r>
      </w:hyperlink>
      <w:r w:rsidRPr="00247A96">
        <w:rPr>
          <w:rStyle w:val="article-title"/>
          <w:rFonts w:ascii="Verdana" w:hAnsi="Verdana"/>
          <w:bCs/>
          <w:color w:val="000000"/>
          <w:sz w:val="18"/>
          <w:szCs w:val="18"/>
          <w:shd w:val="clear" w:color="auto" w:fill="FFFFFF"/>
        </w:rPr>
        <w:t>&gt;. Acesso em: 13 maio 2015.</w:t>
      </w:r>
    </w:p>
    <w:p w:rsidR="003C6C45" w:rsidRDefault="003C6C45" w:rsidP="003C6C45">
      <w:pPr>
        <w:spacing w:after="240" w:line="276" w:lineRule="auto"/>
        <w:ind w:right="-1"/>
        <w:jc w:val="both"/>
      </w:pPr>
      <w:r w:rsidRPr="00814D02">
        <w:rPr>
          <w:color w:val="000000"/>
          <w:shd w:val="clear" w:color="auto" w:fill="FFFFFF"/>
        </w:rPr>
        <w:t>RABENHORST,</w:t>
      </w:r>
      <w:r w:rsidRPr="004205A5">
        <w:rPr>
          <w:color w:val="000000"/>
          <w:shd w:val="clear" w:color="auto" w:fill="FFFFFF"/>
        </w:rPr>
        <w:t xml:space="preserve"> </w:t>
      </w:r>
      <w:r>
        <w:rPr>
          <w:color w:val="000000"/>
          <w:shd w:val="clear" w:color="auto" w:fill="FFFFFF"/>
        </w:rPr>
        <w:t xml:space="preserve">Eduardo Ramalho. Feminismo e Direito. </w:t>
      </w:r>
      <w:r>
        <w:rPr>
          <w:i/>
          <w:color w:val="000000"/>
          <w:shd w:val="clear" w:color="auto" w:fill="FFFFFF"/>
        </w:rPr>
        <w:t xml:space="preserve">In: </w:t>
      </w:r>
      <w:r w:rsidRPr="00762F9E">
        <w:rPr>
          <w:b/>
        </w:rPr>
        <w:t>Revista do Núcleo de Estudos e Pesquisas em Gênero &amp; Direito</w:t>
      </w:r>
      <w:r>
        <w:t>, João Pessoa, v. 1, n. 1, pp. 109-127, Editora Universitária, jan./jun. 2010. Disponível em: &lt;</w:t>
      </w:r>
      <w:hyperlink r:id="rId37" w:history="1">
        <w:r w:rsidRPr="00C95B56">
          <w:rPr>
            <w:rStyle w:val="Hyperlink"/>
          </w:rPr>
          <w:t>http://www.jfce.jus.br/internet/esmafe/materialDidatico/documentos/judiciarioDireitosHumanos/revistaDoNEPGED.pdf</w:t>
        </w:r>
      </w:hyperlink>
      <w:r>
        <w:t xml:space="preserve">&gt;. Acesso em: 16 maio 2015. </w:t>
      </w:r>
    </w:p>
    <w:p w:rsidR="004D58A7" w:rsidRPr="00536808" w:rsidRDefault="004D58A7" w:rsidP="004D58A7">
      <w:pPr>
        <w:spacing w:after="240" w:line="276" w:lineRule="auto"/>
        <w:jc w:val="both"/>
        <w:rPr>
          <w:lang w:val="en-US"/>
        </w:rPr>
      </w:pPr>
      <w:r>
        <w:lastRenderedPageBreak/>
        <w:t xml:space="preserve">RODRIGUES, Jorge da Silva. </w:t>
      </w:r>
      <w:r>
        <w:rPr>
          <w:b/>
        </w:rPr>
        <w:t xml:space="preserve">Dinâminas econômicas e política externa portuguesa nos países não lusófonos da SADC (1975-2002). </w:t>
      </w:r>
      <w:r>
        <w:t xml:space="preserve"> 2004. 116f. Dissertação (Mestrado em Desenvolvimento e Cooperação Internacional) - Instituto Superior de Economia e Gestão, Universidade Técnica de Lisboa, Lisboa. Disponível em: &lt;</w:t>
      </w:r>
      <w:hyperlink r:id="rId38" w:history="1">
        <w:r w:rsidRPr="0067008C">
          <w:rPr>
            <w:rStyle w:val="Hyperlink"/>
          </w:rPr>
          <w:t>https://www.repository.utl.pt/bitstream/10400.5/1271/1/TESE%20DCI%202004(Ricardo%20Rodrigues).pdf</w:t>
        </w:r>
      </w:hyperlink>
      <w:r>
        <w:t xml:space="preserve">&gt;. </w:t>
      </w:r>
      <w:r w:rsidRPr="00536808">
        <w:rPr>
          <w:lang w:val="en-US"/>
        </w:rPr>
        <w:t xml:space="preserve">Acesso em: 08 abril 2015. </w:t>
      </w:r>
    </w:p>
    <w:p w:rsidR="004D58A7" w:rsidRPr="004D58A7" w:rsidRDefault="004D58A7" w:rsidP="004D58A7">
      <w:pPr>
        <w:spacing w:after="240" w:line="276" w:lineRule="auto"/>
        <w:jc w:val="both"/>
        <w:rPr>
          <w:lang w:val="en-US"/>
        </w:rPr>
      </w:pPr>
      <w:r w:rsidRPr="00585DA1">
        <w:rPr>
          <w:color w:val="000000"/>
          <w:shd w:val="clear" w:color="auto" w:fill="FFFFFF"/>
          <w:lang w:val="en-US"/>
        </w:rPr>
        <w:t>SABOURIN, Kimberly M</w:t>
      </w:r>
      <w:r>
        <w:rPr>
          <w:color w:val="000000"/>
          <w:shd w:val="clear" w:color="auto" w:fill="FFFFFF"/>
          <w:lang w:val="en-US"/>
        </w:rPr>
        <w:t>arie</w:t>
      </w:r>
      <w:r w:rsidRPr="00585DA1">
        <w:rPr>
          <w:color w:val="000000"/>
          <w:shd w:val="clear" w:color="auto" w:fill="FFFFFF"/>
          <w:lang w:val="en-US"/>
        </w:rPr>
        <w:t xml:space="preserve">. </w:t>
      </w:r>
      <w:r w:rsidRPr="00585DA1">
        <w:rPr>
          <w:b/>
          <w:color w:val="000000"/>
          <w:shd w:val="clear" w:color="auto" w:fill="FFFFFF"/>
          <w:lang w:val="en-US"/>
        </w:rPr>
        <w:t>The Female Body, the Battlefield:</w:t>
      </w:r>
      <w:r w:rsidRPr="00585DA1">
        <w:rPr>
          <w:color w:val="000000"/>
          <w:shd w:val="clear" w:color="auto" w:fill="FFFFFF"/>
          <w:lang w:val="en-US"/>
        </w:rPr>
        <w:t xml:space="preserve"> The Use of Sexual Violence Against Women as a Systematic Tool of Warfare. </w:t>
      </w:r>
      <w:r w:rsidRPr="00585DA1">
        <w:rPr>
          <w:color w:val="000000"/>
          <w:shd w:val="clear" w:color="auto" w:fill="FFFFFF"/>
        </w:rPr>
        <w:t>Dissertação (Mestrado em Relações Internacionais) – Webster University, Faculty of Social Sciences</w:t>
      </w:r>
      <w:r>
        <w:rPr>
          <w:color w:val="000000"/>
          <w:shd w:val="clear" w:color="auto" w:fill="FFFFFF"/>
        </w:rPr>
        <w:t xml:space="preserve">, Londres, fevereiro </w:t>
      </w:r>
      <w:r w:rsidRPr="00585DA1">
        <w:rPr>
          <w:color w:val="000000"/>
          <w:shd w:val="clear" w:color="auto" w:fill="FFFFFF"/>
        </w:rPr>
        <w:t xml:space="preserve">2009. </w:t>
      </w:r>
      <w:r w:rsidRPr="0077724C">
        <w:rPr>
          <w:color w:val="000000"/>
          <w:shd w:val="clear" w:color="auto" w:fill="FFFFFF"/>
        </w:rPr>
        <w:t>117 p. Disponível em: &lt;</w:t>
      </w:r>
      <w:hyperlink r:id="rId39" w:anchor="v=onepage&amp;q&amp;f=false" w:history="1">
        <w:r w:rsidRPr="0077724C">
          <w:rPr>
            <w:rStyle w:val="Hyperlink"/>
          </w:rPr>
          <w:t>http://books.google.com.br/books?id=lCKe-RcqUuEC&amp;printsec=frontcover&amp;hl=pt-BR#v=onepage&amp;q&amp;f=false</w:t>
        </w:r>
      </w:hyperlink>
      <w:r w:rsidRPr="0077724C">
        <w:t xml:space="preserve">&gt;. </w:t>
      </w:r>
      <w:r w:rsidRPr="004D58A7">
        <w:rPr>
          <w:lang w:val="en-US"/>
        </w:rPr>
        <w:t xml:space="preserve">Acesso em: 12 maio 2015. Bibliografia: pp. 22-70. </w:t>
      </w:r>
    </w:p>
    <w:p w:rsidR="004D58A7" w:rsidRPr="00197B58" w:rsidRDefault="004D58A7" w:rsidP="004D58A7">
      <w:pPr>
        <w:spacing w:after="240" w:line="276" w:lineRule="auto"/>
        <w:jc w:val="both"/>
      </w:pPr>
      <w:r w:rsidRPr="00197B58">
        <w:rPr>
          <w:lang w:val="en-US"/>
        </w:rPr>
        <w:t xml:space="preserve">SALOOM, Rachel. A Feminist Inquiry Into International Law and International Relations. </w:t>
      </w:r>
      <w:r>
        <w:rPr>
          <w:i/>
          <w:lang w:val="en-US"/>
        </w:rPr>
        <w:t xml:space="preserve">In: </w:t>
      </w:r>
      <w:r>
        <w:rPr>
          <w:b/>
          <w:lang w:val="en-US"/>
        </w:rPr>
        <w:t xml:space="preserve">Roger Williams University Law Review, </w:t>
      </w:r>
      <w:r>
        <w:rPr>
          <w:lang w:val="en-US"/>
        </w:rPr>
        <w:t xml:space="preserve">vol. 12, Iss. 1, art. 4º, 2006. </w:t>
      </w:r>
      <w:r w:rsidRPr="00197B58">
        <w:t>Disponível em: &lt;</w:t>
      </w:r>
      <w:hyperlink r:id="rId40" w:history="1">
        <w:r w:rsidRPr="00197B58">
          <w:rPr>
            <w:rStyle w:val="Hyperlink"/>
            <w:rFonts w:eastAsiaTheme="minorHAnsi"/>
            <w:lang w:eastAsia="en-US"/>
          </w:rPr>
          <w:t>http://docs.rwu.edu/rwu_LR/vol12/iss1/4</w:t>
        </w:r>
      </w:hyperlink>
      <w:r w:rsidRPr="00197B58">
        <w:rPr>
          <w:rFonts w:eastAsiaTheme="minorHAnsi"/>
          <w:lang w:eastAsia="en-US"/>
        </w:rPr>
        <w:t>&gt;</w:t>
      </w:r>
      <w:r>
        <w:t>. Acesso em: 20 maio 2015.</w:t>
      </w:r>
    </w:p>
    <w:p w:rsidR="004D58A7" w:rsidRPr="004D58A7" w:rsidRDefault="004D58A7" w:rsidP="004D58A7">
      <w:pPr>
        <w:spacing w:after="240" w:line="360" w:lineRule="auto"/>
        <w:jc w:val="both"/>
      </w:pPr>
      <w:r>
        <w:t xml:space="preserve">SANTOS, Norma Breda dos. </w:t>
      </w:r>
      <w:r w:rsidRPr="00624216">
        <w:t>História das Relações Internacionais no Brasil:</w:t>
      </w:r>
      <w:r>
        <w:rPr>
          <w:b/>
        </w:rPr>
        <w:t xml:space="preserve"> </w:t>
      </w:r>
      <w:r>
        <w:t xml:space="preserve">esboço de uma avaliação sobre a área. </w:t>
      </w:r>
      <w:r>
        <w:rPr>
          <w:i/>
        </w:rPr>
        <w:t xml:space="preserve">In: </w:t>
      </w:r>
      <w:r w:rsidRPr="00624216">
        <w:rPr>
          <w:b/>
        </w:rPr>
        <w:t>HIST</w:t>
      </w:r>
      <w:r>
        <w:rPr>
          <w:b/>
        </w:rPr>
        <w:t>ÓRIA</w:t>
      </w:r>
      <w:r>
        <w:t>,</w:t>
      </w:r>
      <w:r>
        <w:rPr>
          <w:b/>
        </w:rPr>
        <w:t xml:space="preserve"> </w:t>
      </w:r>
      <w:r>
        <w:t>São Paulo, v. 24, n. 1, p. 11-39, 2005. Disponível em</w:t>
      </w:r>
      <w:r w:rsidRPr="002E6021">
        <w:t>: &lt;</w:t>
      </w:r>
      <w:hyperlink r:id="rId41" w:history="1">
        <w:r w:rsidRPr="0067008C">
          <w:rPr>
            <w:rStyle w:val="Hyperlink"/>
          </w:rPr>
          <w:t>http://www.scielo.br/pdf/his/v24n1/a02v24n1.pdf</w:t>
        </w:r>
      </w:hyperlink>
      <w:r w:rsidRPr="002E6021">
        <w:t>&gt;</w:t>
      </w:r>
      <w:r>
        <w:t xml:space="preserve">. </w:t>
      </w:r>
      <w:r w:rsidRPr="004D58A7">
        <w:t>Acesso em: 09 abril 2015.</w:t>
      </w:r>
    </w:p>
    <w:p w:rsidR="004D58A7" w:rsidRPr="004D58A7" w:rsidRDefault="004D58A7" w:rsidP="004D58A7">
      <w:pPr>
        <w:spacing w:after="240" w:line="360" w:lineRule="auto"/>
        <w:jc w:val="both"/>
        <w:rPr>
          <w:lang w:val="en-US"/>
        </w:rPr>
      </w:pPr>
      <w:r w:rsidRPr="004D58A7">
        <w:t xml:space="preserve">SARAMAGO, José. </w:t>
      </w:r>
      <w:r w:rsidRPr="004D58A7">
        <w:rPr>
          <w:b/>
        </w:rPr>
        <w:t xml:space="preserve">A caverna. </w:t>
      </w:r>
      <w:r w:rsidRPr="009D7FAB">
        <w:t>São Paulo: Companhia das Letras, 2000.</w:t>
      </w:r>
      <w:r>
        <w:t xml:space="preserve"> </w:t>
      </w:r>
      <w:r w:rsidRPr="004D58A7">
        <w:rPr>
          <w:lang w:val="en-US"/>
        </w:rPr>
        <w:t>Bibliografia: p. 249.</w:t>
      </w:r>
    </w:p>
    <w:p w:rsidR="004D58A7" w:rsidRPr="00CA15D9" w:rsidRDefault="004D58A7" w:rsidP="004D58A7">
      <w:pPr>
        <w:spacing w:after="240" w:line="276" w:lineRule="auto"/>
        <w:ind w:right="-1"/>
        <w:jc w:val="both"/>
        <w:rPr>
          <w:lang w:val="en-US"/>
        </w:rPr>
      </w:pPr>
      <w:r w:rsidRPr="002C482C">
        <w:rPr>
          <w:lang w:val="en-US"/>
        </w:rPr>
        <w:t xml:space="preserve">SHIMKO, Keith L. </w:t>
      </w:r>
      <w:r w:rsidRPr="002C482C">
        <w:rPr>
          <w:b/>
          <w:lang w:val="en-US"/>
        </w:rPr>
        <w:t>International Relations:</w:t>
      </w:r>
      <w:r w:rsidRPr="002C482C">
        <w:rPr>
          <w:lang w:val="en-US"/>
        </w:rPr>
        <w:t xml:space="preserve"> Perspectives &amp; Controversies. </w:t>
      </w:r>
      <w:r w:rsidRPr="009D7FAB">
        <w:rPr>
          <w:lang w:val="en-US"/>
        </w:rPr>
        <w:t xml:space="preserve">Boston: Wadsworth Cengage </w:t>
      </w:r>
      <w:r w:rsidRPr="00C22DAD">
        <w:rPr>
          <w:lang w:val="en-US"/>
        </w:rPr>
        <w:t>Learning, 2010. Bibliografia: pp. 50-55.</w:t>
      </w:r>
    </w:p>
    <w:p w:rsidR="004D58A7" w:rsidRDefault="004D58A7" w:rsidP="004D58A7">
      <w:pPr>
        <w:pStyle w:val="Textodecomentrio"/>
        <w:spacing w:after="240" w:line="276" w:lineRule="auto"/>
        <w:jc w:val="both"/>
        <w:rPr>
          <w:sz w:val="24"/>
          <w:szCs w:val="24"/>
          <w:lang w:val="en-US"/>
        </w:rPr>
      </w:pPr>
      <w:r>
        <w:rPr>
          <w:sz w:val="24"/>
          <w:szCs w:val="24"/>
          <w:lang w:val="en-US"/>
        </w:rPr>
        <w:t>SMITH, Merril D.</w:t>
      </w:r>
      <w:r w:rsidRPr="006327C3">
        <w:rPr>
          <w:sz w:val="24"/>
          <w:szCs w:val="24"/>
          <w:lang w:val="en-US"/>
        </w:rPr>
        <w:t xml:space="preserve"> </w:t>
      </w:r>
      <w:r w:rsidRPr="006327C3">
        <w:rPr>
          <w:b/>
          <w:sz w:val="24"/>
          <w:szCs w:val="24"/>
          <w:lang w:val="en-US"/>
        </w:rPr>
        <w:t>Encyclopedia of Rape.</w:t>
      </w:r>
      <w:r>
        <w:rPr>
          <w:sz w:val="24"/>
          <w:szCs w:val="24"/>
          <w:lang w:val="en-US"/>
        </w:rPr>
        <w:t xml:space="preserve"> Westpor: Greenwood Press: 2004.</w:t>
      </w:r>
      <w:r w:rsidRPr="006327C3">
        <w:rPr>
          <w:sz w:val="24"/>
          <w:szCs w:val="24"/>
          <w:lang w:val="en-US"/>
        </w:rPr>
        <w:t xml:space="preserve"> </w:t>
      </w:r>
      <w:r>
        <w:rPr>
          <w:sz w:val="24"/>
          <w:szCs w:val="24"/>
          <w:lang w:val="en-US"/>
        </w:rPr>
        <w:t>Bibliografia: pp. 15-16.</w:t>
      </w:r>
    </w:p>
    <w:p w:rsidR="004D58A7" w:rsidRDefault="004D58A7" w:rsidP="004D58A7">
      <w:pPr>
        <w:pStyle w:val="Textodecomentrio"/>
        <w:spacing w:after="240" w:line="276" w:lineRule="auto"/>
        <w:jc w:val="both"/>
        <w:rPr>
          <w:sz w:val="24"/>
        </w:rPr>
      </w:pPr>
      <w:r w:rsidRPr="00AE1AA8">
        <w:rPr>
          <w:sz w:val="24"/>
          <w:lang w:val="en-US"/>
        </w:rPr>
        <w:t>STAMPLER, Laura.</w:t>
      </w:r>
      <w:r w:rsidRPr="00AE1AA8">
        <w:rPr>
          <w:rFonts w:ascii="Arial" w:hAnsi="Arial" w:cs="Arial"/>
          <w:color w:val="000000"/>
          <w:sz w:val="24"/>
          <w:shd w:val="clear" w:color="auto" w:fill="FFFFFF"/>
          <w:lang w:val="en-US"/>
        </w:rPr>
        <w:t xml:space="preserve"> </w:t>
      </w:r>
      <w:r w:rsidRPr="00AE1AA8">
        <w:rPr>
          <w:rFonts w:ascii="Arial" w:hAnsi="Arial" w:cs="Arial"/>
          <w:color w:val="000000"/>
          <w:sz w:val="24"/>
          <w:shd w:val="clear" w:color="auto" w:fill="FFFFFF"/>
          <w:lang w:val="en-US" w:eastAsia="es-ES"/>
        </w:rPr>
        <w:t> </w:t>
      </w:r>
      <w:r w:rsidRPr="00AE1AA8">
        <w:rPr>
          <w:b/>
          <w:color w:val="000000"/>
          <w:sz w:val="24"/>
          <w:lang w:val="en-US" w:eastAsia="es-ES"/>
        </w:rPr>
        <w:t xml:space="preserve">The (Un)speakability of Rape: </w:t>
      </w:r>
      <w:r w:rsidRPr="00AE1AA8">
        <w:rPr>
          <w:color w:val="000000"/>
          <w:sz w:val="24"/>
          <w:lang w:val="en-US" w:eastAsia="es-ES"/>
        </w:rPr>
        <w:t xml:space="preserve">Shakespeare’s Lucrece and Lavinia. </w:t>
      </w:r>
      <w:r w:rsidRPr="00585DA1">
        <w:rPr>
          <w:color w:val="000000"/>
          <w:sz w:val="24"/>
          <w:lang w:val="en-US" w:eastAsia="es-ES"/>
        </w:rPr>
        <w:t>D</w:t>
      </w:r>
      <w:r>
        <w:rPr>
          <w:color w:val="000000"/>
          <w:sz w:val="24"/>
          <w:lang w:val="en-US" w:eastAsia="es-ES"/>
        </w:rPr>
        <w:t>issertação</w:t>
      </w:r>
      <w:r w:rsidRPr="00585DA1">
        <w:rPr>
          <w:color w:val="000000"/>
          <w:sz w:val="24"/>
          <w:lang w:val="en-US" w:eastAsia="es-ES"/>
        </w:rPr>
        <w:t xml:space="preserve"> </w:t>
      </w:r>
      <w:r w:rsidRPr="0009516C">
        <w:rPr>
          <w:color w:val="000000"/>
          <w:sz w:val="24"/>
          <w:lang w:val="en-US" w:eastAsia="es-ES"/>
        </w:rPr>
        <w:t xml:space="preserve">(English Honors Thesis) – Stanford University. Stanford, maio 2010. 71 p. </w:t>
      </w:r>
      <w:r w:rsidRPr="0009516C">
        <w:rPr>
          <w:sz w:val="24"/>
          <w:lang w:val="en-US"/>
        </w:rPr>
        <w:t>Disponível em: &lt;</w:t>
      </w:r>
      <w:hyperlink r:id="rId42" w:history="1">
        <w:r w:rsidRPr="0009516C">
          <w:rPr>
            <w:rStyle w:val="Hyperlink"/>
            <w:sz w:val="24"/>
            <w:lang w:val="en-US"/>
          </w:rPr>
          <w:t>http://es.scribd.com/doc/32440195/The-Un-speakability-of-Rape-Shakespeare-s-Lucrece-and-Lavinia</w:t>
        </w:r>
      </w:hyperlink>
      <w:r w:rsidRPr="0009516C">
        <w:rPr>
          <w:sz w:val="24"/>
          <w:lang w:val="en-US"/>
        </w:rPr>
        <w:t xml:space="preserve">&gt;. </w:t>
      </w:r>
      <w:r w:rsidRPr="00AE1AA8">
        <w:rPr>
          <w:sz w:val="24"/>
        </w:rPr>
        <w:t>Acesso em: 23 de setembro de 2012. Bibliografia: pp. 1-38.</w:t>
      </w:r>
    </w:p>
    <w:p w:rsidR="004D58A7" w:rsidRPr="00B5329D" w:rsidRDefault="004D58A7" w:rsidP="004D58A7">
      <w:pPr>
        <w:pStyle w:val="Textodecomentrio"/>
        <w:spacing w:after="240" w:line="276" w:lineRule="auto"/>
        <w:jc w:val="both"/>
        <w:rPr>
          <w:sz w:val="24"/>
        </w:rPr>
      </w:pPr>
      <w:r w:rsidRPr="00CA15D9">
        <w:rPr>
          <w:sz w:val="24"/>
        </w:rPr>
        <w:t xml:space="preserve">TICKNER, J. Ann. </w:t>
      </w:r>
      <w:r w:rsidRPr="007F34CA">
        <w:rPr>
          <w:b/>
          <w:sz w:val="24"/>
          <w:lang w:val="en-US"/>
        </w:rPr>
        <w:t xml:space="preserve">Gendering World Politics </w:t>
      </w:r>
      <w:r w:rsidRPr="007F34CA">
        <w:rPr>
          <w:sz w:val="24"/>
          <w:lang w:val="en-US"/>
        </w:rPr>
        <w:t xml:space="preserve">– Issues and Approaches in the Post-Cold War Era. </w:t>
      </w:r>
      <w:r w:rsidRPr="00B5329D">
        <w:rPr>
          <w:sz w:val="24"/>
        </w:rPr>
        <w:t>Nova Iorque: Columbia University Press, 2001. Bibliografia: pp. 36-64.</w:t>
      </w:r>
    </w:p>
    <w:p w:rsidR="004D58A7" w:rsidRDefault="004D58A7" w:rsidP="004D58A7">
      <w:pPr>
        <w:pStyle w:val="Textodecomentrio"/>
        <w:spacing w:after="240" w:line="276" w:lineRule="auto"/>
        <w:jc w:val="both"/>
        <w:rPr>
          <w:sz w:val="24"/>
        </w:rPr>
      </w:pPr>
      <w:r w:rsidRPr="007F34CA">
        <w:rPr>
          <w:sz w:val="24"/>
        </w:rPr>
        <w:t>VIL</w:t>
      </w:r>
      <w:r>
        <w:rPr>
          <w:sz w:val="24"/>
        </w:rPr>
        <w:t xml:space="preserve">HENA, J.; ZAMORA, M. H. </w:t>
      </w:r>
      <w:r w:rsidRPr="00D30B54">
        <w:rPr>
          <w:sz w:val="24"/>
        </w:rPr>
        <w:t>Além do ato:</w:t>
      </w:r>
      <w:r>
        <w:rPr>
          <w:sz w:val="24"/>
        </w:rPr>
        <w:t xml:space="preserve"> os transbordamentos do estupro. </w:t>
      </w:r>
      <w:r w:rsidRPr="00311B71">
        <w:rPr>
          <w:i/>
          <w:sz w:val="24"/>
        </w:rPr>
        <w:t xml:space="preserve">In: </w:t>
      </w:r>
      <w:r w:rsidRPr="00D30B54">
        <w:rPr>
          <w:b/>
          <w:sz w:val="24"/>
        </w:rPr>
        <w:t>Revista Rio de Janeiro</w:t>
      </w:r>
      <w:r w:rsidRPr="00311B71">
        <w:rPr>
          <w:sz w:val="24"/>
        </w:rPr>
        <w:t xml:space="preserve">, </w:t>
      </w:r>
      <w:r>
        <w:rPr>
          <w:sz w:val="24"/>
        </w:rPr>
        <w:t xml:space="preserve">Rio de Janeiro, </w:t>
      </w:r>
      <w:r w:rsidRPr="00311B71">
        <w:rPr>
          <w:sz w:val="24"/>
        </w:rPr>
        <w:t xml:space="preserve">n. </w:t>
      </w:r>
      <w:r>
        <w:rPr>
          <w:sz w:val="24"/>
        </w:rPr>
        <w:t>12, pp. 115-129, jan./abril 2004. Disponível em: &lt;</w:t>
      </w:r>
      <w:hyperlink r:id="rId43" w:history="1">
        <w:r w:rsidRPr="006D44E0">
          <w:rPr>
            <w:rStyle w:val="Hyperlink"/>
            <w:sz w:val="24"/>
          </w:rPr>
          <w:t>http://www.forumrio.uerj.br/documentos/revista_12/12_dossie_JuniaVilhena.pdf</w:t>
        </w:r>
      </w:hyperlink>
      <w:r>
        <w:rPr>
          <w:sz w:val="24"/>
        </w:rPr>
        <w:t xml:space="preserve">&gt;. Acesso em: 11 maio 2015. </w:t>
      </w:r>
    </w:p>
    <w:p w:rsidR="004D58A7" w:rsidRDefault="004D58A7" w:rsidP="004D58A7">
      <w:pPr>
        <w:pStyle w:val="Textodecomentrio"/>
        <w:spacing w:after="240" w:line="276" w:lineRule="auto"/>
        <w:jc w:val="both"/>
        <w:rPr>
          <w:sz w:val="24"/>
        </w:rPr>
      </w:pPr>
      <w:r w:rsidRPr="004D58A7">
        <w:rPr>
          <w:sz w:val="24"/>
        </w:rPr>
        <w:lastRenderedPageBreak/>
        <w:t xml:space="preserve">VITO, Daniela; GILL, Aisha; SHORT, Damien. </w:t>
      </w:r>
      <w:r w:rsidRPr="00815A6F">
        <w:rPr>
          <w:sz w:val="24"/>
        </w:rPr>
        <w:t>A tipificação do estupro como genoc</w:t>
      </w:r>
      <w:r>
        <w:rPr>
          <w:sz w:val="24"/>
        </w:rPr>
        <w:t xml:space="preserve">ídio. </w:t>
      </w:r>
      <w:r>
        <w:rPr>
          <w:i/>
          <w:sz w:val="24"/>
        </w:rPr>
        <w:t xml:space="preserve">In: </w:t>
      </w:r>
      <w:r w:rsidRPr="00815A6F">
        <w:rPr>
          <w:b/>
          <w:sz w:val="24"/>
        </w:rPr>
        <w:t>SUR - Revista Internacional de Direitos Humanos</w:t>
      </w:r>
      <w:r>
        <w:rPr>
          <w:b/>
          <w:sz w:val="24"/>
        </w:rPr>
        <w:t xml:space="preserve">, </w:t>
      </w:r>
      <w:r>
        <w:rPr>
          <w:sz w:val="24"/>
        </w:rPr>
        <w:t>vol. 6, nº 10, p. 28-51, São Paulo, junho de 2009. Disponível em: &lt;</w:t>
      </w:r>
      <w:hyperlink r:id="rId44" w:history="1">
        <w:r w:rsidRPr="00864D70">
          <w:rPr>
            <w:rStyle w:val="Hyperlink"/>
            <w:sz w:val="24"/>
          </w:rPr>
          <w:t>http://www.scielo.br/scielo.php?pid=S1806-64452009000100003&amp;script=sci_arttext</w:t>
        </w:r>
      </w:hyperlink>
      <w:r>
        <w:rPr>
          <w:sz w:val="24"/>
        </w:rPr>
        <w:t>&gt;. Acesso em: 12 maio 2015.</w:t>
      </w:r>
    </w:p>
    <w:p w:rsidR="004C5480" w:rsidRDefault="004C5480"/>
    <w:sectPr w:rsidR="004C5480" w:rsidSect="004D58A7">
      <w:headerReference w:type="default" r:id="rId45"/>
      <w:pgSz w:w="11906" w:h="16838"/>
      <w:pgMar w:top="1701" w:right="1134" w:bottom="1134" w:left="1701" w:header="1134"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75" w:rsidRDefault="00571075" w:rsidP="004D58A7">
      <w:r>
        <w:separator/>
      </w:r>
    </w:p>
  </w:endnote>
  <w:endnote w:type="continuationSeparator" w:id="1">
    <w:p w:rsidR="00571075" w:rsidRDefault="00571075" w:rsidP="004D58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75" w:rsidRDefault="00571075" w:rsidP="004D58A7">
      <w:r>
        <w:separator/>
      </w:r>
    </w:p>
  </w:footnote>
  <w:footnote w:type="continuationSeparator" w:id="1">
    <w:p w:rsidR="00571075" w:rsidRDefault="00571075" w:rsidP="004D58A7">
      <w:r>
        <w:continuationSeparator/>
      </w:r>
    </w:p>
  </w:footnote>
  <w:footnote w:id="2">
    <w:p w:rsidR="00AB41AB" w:rsidRDefault="00AB41AB" w:rsidP="004D58A7">
      <w:pPr>
        <w:pStyle w:val="Textodenotaderodap"/>
        <w:jc w:val="both"/>
      </w:pPr>
      <w:r>
        <w:rPr>
          <w:rStyle w:val="Refdenotaderodap"/>
        </w:rPr>
        <w:footnoteRef/>
      </w:r>
      <w:r>
        <w:t xml:space="preserve"> Bacharela em Relações Internacionais pela Universidade Estadual da Paraíba - UEPB. </w:t>
      </w:r>
    </w:p>
    <w:p w:rsidR="00AB41AB" w:rsidRDefault="00AB41AB" w:rsidP="004D58A7">
      <w:pPr>
        <w:pStyle w:val="Textodenotaderodap"/>
        <w:jc w:val="both"/>
      </w:pPr>
      <w:r>
        <w:t xml:space="preserve">Graduanda em Direito pela Faculdade de Ciências Sociais Aplicadas - FACISA. </w:t>
      </w:r>
    </w:p>
    <w:p w:rsidR="00AB41AB" w:rsidRDefault="00AB41AB" w:rsidP="004D58A7">
      <w:pPr>
        <w:pStyle w:val="Textodenotaderodap"/>
        <w:jc w:val="both"/>
      </w:pPr>
      <w:r>
        <w:t xml:space="preserve">E-mail para contato: </w:t>
      </w:r>
      <w:hyperlink r:id="rId1" w:history="1">
        <w:r w:rsidRPr="00695D47">
          <w:rPr>
            <w:rStyle w:val="Hyperlink"/>
          </w:rPr>
          <w:t>haulahamad@hotmail.com</w:t>
        </w:r>
      </w:hyperlink>
      <w:r>
        <w:t xml:space="preserve">. </w:t>
      </w:r>
    </w:p>
  </w:footnote>
  <w:footnote w:id="3">
    <w:p w:rsidR="00AB41AB" w:rsidRPr="004D58A7" w:rsidRDefault="00AB41AB" w:rsidP="004D58A7">
      <w:pPr>
        <w:pStyle w:val="Textodenotaderodap"/>
      </w:pPr>
      <w:r>
        <w:rPr>
          <w:rStyle w:val="Refdenotaderodap"/>
        </w:rPr>
        <w:footnoteRef/>
      </w:r>
      <w:r w:rsidRPr="004D58A7">
        <w:t xml:space="preserve"> Tradução livre da autora, do inglês: </w:t>
      </w:r>
      <w:r w:rsidRPr="004D58A7">
        <w:rPr>
          <w:i/>
        </w:rPr>
        <w:t>"Anarchy is what states make of it".</w:t>
      </w:r>
    </w:p>
  </w:footnote>
  <w:footnote w:id="4">
    <w:p w:rsidR="00AB41AB" w:rsidRPr="00CA3155" w:rsidRDefault="00AB41AB" w:rsidP="004D58A7">
      <w:pPr>
        <w:autoSpaceDE w:val="0"/>
        <w:autoSpaceDN w:val="0"/>
        <w:adjustRightInd w:val="0"/>
        <w:jc w:val="both"/>
        <w:rPr>
          <w:sz w:val="20"/>
          <w:szCs w:val="20"/>
        </w:rPr>
      </w:pPr>
      <w:r>
        <w:rPr>
          <w:rStyle w:val="Refdenotaderodap"/>
        </w:rPr>
        <w:footnoteRef/>
      </w:r>
      <w:r>
        <w:t xml:space="preserve"> </w:t>
      </w:r>
      <w:r>
        <w:rPr>
          <w:sz w:val="20"/>
          <w:szCs w:val="20"/>
        </w:rPr>
        <w:t>Tradução livre da autora.</w:t>
      </w:r>
      <w:r w:rsidRPr="00CA3155">
        <w:rPr>
          <w:sz w:val="20"/>
          <w:szCs w:val="20"/>
        </w:rPr>
        <w:t xml:space="preserve"> </w:t>
      </w:r>
      <w:r>
        <w:rPr>
          <w:sz w:val="20"/>
          <w:szCs w:val="20"/>
        </w:rPr>
        <w:t>Texto em  espanhol</w:t>
      </w:r>
      <w:r w:rsidRPr="00CA3155">
        <w:rPr>
          <w:sz w:val="20"/>
          <w:szCs w:val="20"/>
        </w:rPr>
        <w:t>:</w:t>
      </w:r>
    </w:p>
    <w:p w:rsidR="00AB41AB" w:rsidRPr="00DE2335" w:rsidRDefault="00AB41AB" w:rsidP="004D58A7">
      <w:pPr>
        <w:autoSpaceDE w:val="0"/>
        <w:autoSpaceDN w:val="0"/>
        <w:adjustRightInd w:val="0"/>
        <w:rPr>
          <w:i/>
          <w:sz w:val="20"/>
          <w:szCs w:val="20"/>
          <w:lang w:val="es-ES"/>
        </w:rPr>
      </w:pPr>
      <w:r w:rsidRPr="00DE2335">
        <w:rPr>
          <w:i/>
          <w:sz w:val="20"/>
          <w:szCs w:val="20"/>
          <w:lang w:val="es-ES"/>
        </w:rPr>
        <w:t>"HÉCUBA: ¿Y a quién servirá cada una? ¿Quién será el dueño de mi hija? Di, ¿quién será el dueño de la mísera Casandra?</w:t>
      </w:r>
    </w:p>
    <w:p w:rsidR="00AB41AB" w:rsidRPr="00DE2335" w:rsidRDefault="00AB41AB" w:rsidP="004D58A7">
      <w:pPr>
        <w:pStyle w:val="Textodenotaderodap"/>
        <w:rPr>
          <w:lang w:val="es-ES"/>
        </w:rPr>
      </w:pPr>
      <w:r w:rsidRPr="00DE2335">
        <w:rPr>
          <w:i/>
          <w:lang w:val="es-ES"/>
        </w:rPr>
        <w:t>TALTIBIO: La eligió para sí el rey Agamenón.</w:t>
      </w:r>
      <w:r w:rsidRPr="00DE2335">
        <w:rPr>
          <w:i/>
          <w:lang w:val="es-ES"/>
        </w:rPr>
        <w:br/>
        <w:t>HÉCUBA: ¿Para ser esclava de su esposa?</w:t>
      </w:r>
      <w:r w:rsidRPr="00DE2335">
        <w:rPr>
          <w:i/>
          <w:lang w:val="es-ES"/>
        </w:rPr>
        <w:br/>
        <w:t>TALTIBIO: No; ocultamente lo acompañará en su lecho."</w:t>
      </w:r>
      <w:r>
        <w:rPr>
          <w:lang w:val="es-ES"/>
        </w:rPr>
        <w:t xml:space="preserve"> </w:t>
      </w:r>
    </w:p>
  </w:footnote>
  <w:footnote w:id="5">
    <w:p w:rsidR="00AB41AB" w:rsidRPr="00DE2335" w:rsidRDefault="00AB41AB" w:rsidP="004D58A7">
      <w:pPr>
        <w:pStyle w:val="Textodenotaderodap"/>
        <w:jc w:val="both"/>
        <w:rPr>
          <w:i/>
          <w:iCs/>
          <w:lang w:val="en-US"/>
        </w:rPr>
      </w:pPr>
      <w:r>
        <w:rPr>
          <w:rStyle w:val="Refdenotaderodap"/>
        </w:rPr>
        <w:footnoteRef/>
      </w:r>
      <w:r>
        <w:rPr>
          <w:lang w:val="es-ES"/>
        </w:rPr>
        <w:t xml:space="preserve"> Tradução livre da autora. Do</w:t>
      </w:r>
      <w:r w:rsidRPr="00DE2335">
        <w:rPr>
          <w:lang w:val="es-ES"/>
        </w:rPr>
        <w:t xml:space="preserve"> inglês: "</w:t>
      </w:r>
      <w:r w:rsidRPr="00DE2335">
        <w:rPr>
          <w:i/>
          <w:color w:val="000000"/>
          <w:lang w:val="es-ES" w:eastAsia="es-ES"/>
        </w:rPr>
        <w:t xml:space="preserve">The word “rape” comes from the Latin verb “rapere” which means, “to seize or take by force.” </w:t>
      </w:r>
      <w:r w:rsidRPr="00DE2335">
        <w:rPr>
          <w:i/>
          <w:color w:val="000000"/>
          <w:lang w:val="en-US" w:eastAsia="es-ES"/>
        </w:rPr>
        <w:t>In the words of a Roman legal dictionary, “raptus” was defined as “The abduction of a woman against the will of her parents. The abductor (</w:t>
      </w:r>
      <w:r w:rsidRPr="00DE2335">
        <w:rPr>
          <w:i/>
          <w:iCs/>
          <w:color w:val="000000"/>
          <w:lang w:val="en-US" w:eastAsia="es-ES"/>
        </w:rPr>
        <w:t>raptor</w:t>
      </w:r>
      <w:r w:rsidRPr="00DE2335">
        <w:rPr>
          <w:i/>
          <w:color w:val="000000"/>
          <w:lang w:val="en-US" w:eastAsia="es-ES"/>
        </w:rPr>
        <w:t xml:space="preserve">) was punished with death from the time of Constantine, under whom </w:t>
      </w:r>
      <w:r w:rsidRPr="00DE2335">
        <w:rPr>
          <w:i/>
          <w:iCs/>
          <w:color w:val="000000"/>
          <w:lang w:val="en-US" w:eastAsia="es-ES"/>
        </w:rPr>
        <w:t xml:space="preserve">raptus </w:t>
      </w:r>
      <w:r w:rsidRPr="00DE2335">
        <w:rPr>
          <w:i/>
          <w:color w:val="000000"/>
          <w:lang w:val="en-US" w:eastAsia="es-ES"/>
        </w:rPr>
        <w:t xml:space="preserve">became a </w:t>
      </w:r>
      <w:r w:rsidRPr="00DE2335">
        <w:rPr>
          <w:i/>
          <w:iCs/>
          <w:color w:val="000000"/>
          <w:lang w:val="en-US" w:eastAsia="es-ES"/>
        </w:rPr>
        <w:t xml:space="preserve">crimen publicum </w:t>
      </w:r>
      <w:r w:rsidRPr="00DE2335">
        <w:rPr>
          <w:i/>
          <w:color w:val="000000"/>
          <w:lang w:val="en-US" w:eastAsia="es-ES"/>
        </w:rPr>
        <w:t xml:space="preserve">and so was the woman (until Justinian) when she had consented.” </w:t>
      </w:r>
    </w:p>
    <w:p w:rsidR="00AB41AB" w:rsidRPr="00DE2335" w:rsidRDefault="00AB41AB" w:rsidP="004D58A7">
      <w:pPr>
        <w:pStyle w:val="Textodenotaderodap"/>
        <w:rPr>
          <w:lang w:val="en-US"/>
        </w:rPr>
      </w:pPr>
    </w:p>
  </w:footnote>
  <w:footnote w:id="6">
    <w:p w:rsidR="00AB41AB" w:rsidRPr="00A16A3F" w:rsidRDefault="00AB41AB" w:rsidP="004D58A7">
      <w:pPr>
        <w:pStyle w:val="Textodenotaderodap"/>
        <w:jc w:val="both"/>
        <w:rPr>
          <w:lang w:val="en-US"/>
        </w:rPr>
      </w:pPr>
      <w:r>
        <w:rPr>
          <w:rStyle w:val="Refdenotaderodap"/>
        </w:rPr>
        <w:footnoteRef/>
      </w:r>
      <w:r>
        <w:rPr>
          <w:lang w:val="en-US"/>
        </w:rPr>
        <w:t xml:space="preserve"> Tradução livre da autora. Do original, em</w:t>
      </w:r>
      <w:r w:rsidRPr="00DE2335">
        <w:rPr>
          <w:lang w:val="en-US"/>
        </w:rPr>
        <w:t xml:space="preserve"> inglês: </w:t>
      </w:r>
      <w:r w:rsidRPr="00DE2335">
        <w:rPr>
          <w:i/>
          <w:lang w:val="en-US"/>
        </w:rPr>
        <w:t>"There is sufficient evidence to conclude that the practices of ‘ethnic cleansing’ were not coincidental, sporadic or carried out by disorganized groups or bands of civilians who could not be controlled by the Bosnian-Serb leadership. Indeed, the patterns of conduct, the manner in which these acts were carried out, the length of time over which they look place and the areas in which they occurred combine to reveal a purpose, systematicity and some planning and coordination from higher authorities.</w:t>
      </w:r>
      <w:r>
        <w:rPr>
          <w:i/>
          <w:lang w:val="en-US"/>
        </w:rPr>
        <w:t>"</w:t>
      </w:r>
      <w:r w:rsidRPr="00AF018B">
        <w:rPr>
          <w:lang w:val="en-US"/>
        </w:rPr>
        <w:t xml:space="preserve"> </w:t>
      </w:r>
    </w:p>
  </w:footnote>
  <w:footnote w:id="7">
    <w:p w:rsidR="00AB41AB" w:rsidRPr="004D58A7" w:rsidRDefault="00AB41AB" w:rsidP="004D58A7">
      <w:pPr>
        <w:pStyle w:val="Textodenotaderodap"/>
        <w:rPr>
          <w:i/>
        </w:rPr>
      </w:pPr>
      <w:r>
        <w:rPr>
          <w:rStyle w:val="Refdenotaderodap"/>
        </w:rPr>
        <w:footnoteRef/>
      </w:r>
      <w:r>
        <w:t xml:space="preserve"> Tradução livre da autora. </w:t>
      </w:r>
      <w:r w:rsidRPr="004D58A7">
        <w:t xml:space="preserve">Do inglês: </w:t>
      </w:r>
      <w:r w:rsidRPr="004D58A7">
        <w:rPr>
          <w:i/>
        </w:rPr>
        <w:t>"good for raising the fighters' morale".</w:t>
      </w:r>
    </w:p>
  </w:footnote>
  <w:footnote w:id="8">
    <w:p w:rsidR="00AB41AB" w:rsidRPr="00DE2335" w:rsidRDefault="00AB41AB" w:rsidP="004D58A7">
      <w:pPr>
        <w:pStyle w:val="Textodenotaderodap"/>
        <w:jc w:val="both"/>
        <w:rPr>
          <w:i/>
          <w:lang w:val="en-US"/>
        </w:rPr>
      </w:pPr>
      <w:r>
        <w:rPr>
          <w:rStyle w:val="Refdenotaderodap"/>
        </w:rPr>
        <w:footnoteRef/>
      </w:r>
      <w:r w:rsidRPr="004D58A7">
        <w:t xml:space="preserve"> Tradução livre da autora. </w:t>
      </w:r>
      <w:r>
        <w:rPr>
          <w:lang w:val="en-US"/>
        </w:rPr>
        <w:t xml:space="preserve">Do original, em </w:t>
      </w:r>
      <w:r w:rsidRPr="00DE2335">
        <w:rPr>
          <w:lang w:val="en-US"/>
        </w:rPr>
        <w:t xml:space="preserve">inglês: </w:t>
      </w:r>
      <w:r w:rsidRPr="00DE2335">
        <w:rPr>
          <w:i/>
          <w:lang w:val="en-US"/>
        </w:rPr>
        <w:t>"Our analysis of the behavior of the Muslim communities demonstrates that the morale, will, and bellicose nature of their groups can be undermined only if we aim our action at the point where the religious and social structure is most fragile. We refer to women, especially adolescents, and to children. Decisive intervention on the social figures would spread confusion among the communities, thus causing first of all fear and then panic, leading to a probable [Muslim] retreat from the territories involved in war activity. In this case, we must add a wide propaganda campaign to our well-organized, incisive actions so that panic will increase. We have determined that the coordination between decisive interventions and well-planned information campaign can provoke the sponthaneous flight of many communities</w:t>
      </w:r>
      <w:r>
        <w:rPr>
          <w:i/>
          <w:lang w:val="en-US"/>
        </w:rPr>
        <w:t>."</w:t>
      </w:r>
    </w:p>
  </w:footnote>
  <w:footnote w:id="9">
    <w:p w:rsidR="00AB41AB" w:rsidRPr="00864D70" w:rsidRDefault="00AB41AB" w:rsidP="004D58A7">
      <w:pPr>
        <w:pStyle w:val="Textodenotaderodap"/>
        <w:jc w:val="both"/>
        <w:rPr>
          <w:lang w:val="en-US"/>
        </w:rPr>
      </w:pPr>
      <w:r>
        <w:rPr>
          <w:rStyle w:val="Refdenotaderodap"/>
        </w:rPr>
        <w:footnoteRef/>
      </w:r>
      <w:r w:rsidRPr="004D58A7">
        <w:rPr>
          <w:lang w:val="en-US"/>
        </w:rPr>
        <w:t xml:space="preserve"> Tradução livre da autora. </w:t>
      </w:r>
      <w:r w:rsidRPr="00864D70">
        <w:rPr>
          <w:lang w:val="en-US"/>
        </w:rPr>
        <w:t xml:space="preserve">Do inglês: </w:t>
      </w:r>
      <w:r w:rsidRPr="00864D70">
        <w:rPr>
          <w:i/>
          <w:lang w:val="en-US"/>
        </w:rPr>
        <w:t>"The victim feels guilt and is ashamed. The myth of the willing rape victim blocks the attempts to verbalize the act".</w:t>
      </w:r>
    </w:p>
  </w:footnote>
  <w:footnote w:id="10">
    <w:p w:rsidR="00AB41AB" w:rsidRPr="007C16EF" w:rsidRDefault="00AB41AB" w:rsidP="00B71842">
      <w:pPr>
        <w:pStyle w:val="Textodenotaderodap"/>
        <w:jc w:val="both"/>
      </w:pPr>
      <w:r>
        <w:rPr>
          <w:rStyle w:val="Refdenotaderodap"/>
        </w:rPr>
        <w:footnoteRef/>
      </w:r>
      <w:r>
        <w:t xml:space="preserve"> </w:t>
      </w:r>
      <w:r>
        <w:rPr>
          <w:i/>
        </w:rPr>
        <w:t xml:space="preserve">Tight-lacing, </w:t>
      </w:r>
      <w:r>
        <w:t>ou aperto de laço, em tradução literal,</w:t>
      </w:r>
      <w:r>
        <w:rPr>
          <w:i/>
        </w:rPr>
        <w:t xml:space="preserve"> </w:t>
      </w:r>
      <w:r>
        <w:t xml:space="preserve">refere-se ao uso durante longos períodos de um corpete, tendo como objetivo a redução das medidas da cintura da mulher. </w:t>
      </w:r>
    </w:p>
  </w:footnote>
  <w:footnote w:id="11">
    <w:p w:rsidR="00AB41AB" w:rsidRPr="007C16EF" w:rsidRDefault="00AB41AB" w:rsidP="00B71842">
      <w:pPr>
        <w:pStyle w:val="Textodenotaderodap"/>
        <w:jc w:val="both"/>
      </w:pPr>
      <w:r>
        <w:rPr>
          <w:rStyle w:val="Refdenotaderodap"/>
        </w:rPr>
        <w:footnoteRef/>
      </w:r>
      <w:r>
        <w:t xml:space="preserve"> O </w:t>
      </w:r>
      <w:r>
        <w:rPr>
          <w:i/>
        </w:rPr>
        <w:t>foot-binding</w:t>
      </w:r>
      <w:r>
        <w:t xml:space="preserve"> consiste em uma antiga tradição chinesa em que, desde crianças, as mulheres usam sapatos apertados com o intuito de interromper o crescimento dos seus pés, para que permaneçam pequenos. </w:t>
      </w:r>
      <w:r>
        <w:rPr>
          <w:rStyle w:val="apple-converted-space"/>
          <w:rFonts w:ascii="Verdana" w:hAnsi="Verdana"/>
          <w:color w:val="000000"/>
          <w:shd w:val="clear" w:color="auto" w:fill="FFFFFF"/>
        </w:rPr>
        <w:t> </w:t>
      </w:r>
    </w:p>
  </w:footnote>
  <w:footnote w:id="12">
    <w:p w:rsidR="00AB41AB" w:rsidRPr="00190EF2" w:rsidRDefault="00AB41AB" w:rsidP="0089623C">
      <w:pPr>
        <w:pStyle w:val="Textodenotaderodap"/>
        <w:jc w:val="both"/>
      </w:pPr>
      <w:r>
        <w:rPr>
          <w:rStyle w:val="Refdenotaderodap"/>
        </w:rPr>
        <w:footnoteRef/>
      </w:r>
      <w:r>
        <w:t xml:space="preserve">Tradução livre da autora. Do espanhol: </w:t>
      </w:r>
      <w:r w:rsidRPr="0089623C">
        <w:rPr>
          <w:i/>
        </w:rPr>
        <w:t>"</w:t>
      </w:r>
      <w:r w:rsidRPr="0089623C">
        <w:rPr>
          <w:i/>
          <w:lang w:val="es-ES"/>
        </w:rPr>
        <w:t>El análisis de la violación de las mujeres musulmanas pone en evidencia un verdadero delirio acerca de la paternidad… Los violadores intentarían proseguir con su cruzada hasta romper el porvenir de la religión del Otro privándolo de sus hijos, como si el ideal religioso pudiera ser transmitido genéticamente… El análisis de lo que podría ser el deseo del violador pone además en evidencia en el odio, la pasión mortífera del narcisismo. Al anexarse a través de la violación de la Madre a los hijos de la Otra religión golpea ciertamente a su enemigo en el punto más íntimo golpeando a su descendencia. Pero acaso no labra con igual certeza la desgracia y el sacrificio del “hijo de la violación”, o sea la de su propio hijo. Mortificación de la carne de su carne."</w:t>
      </w:r>
      <w:r>
        <w:rPr>
          <w:lang w:val="es-E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1AB" w:rsidRDefault="00AB41AB">
    <w:pPr>
      <w:pStyle w:val="Cabealho"/>
      <w:jc w:val="right"/>
    </w:pPr>
  </w:p>
  <w:p w:rsidR="00AB41AB" w:rsidRDefault="00AB41A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39685"/>
      <w:docPartObj>
        <w:docPartGallery w:val="Page Numbers (Top of Page)"/>
        <w:docPartUnique/>
      </w:docPartObj>
    </w:sdtPr>
    <w:sdtContent>
      <w:p w:rsidR="00AB41AB" w:rsidRDefault="00AB41AB">
        <w:pPr>
          <w:pStyle w:val="Cabealho"/>
          <w:jc w:val="right"/>
        </w:pPr>
        <w:r>
          <w:ptab w:relativeTo="margin" w:alignment="center" w:leader="none"/>
        </w:r>
        <w:fldSimple w:instr=" PAGE   \* MERGEFORMAT ">
          <w:r w:rsidR="00223DC6">
            <w:rPr>
              <w:noProof/>
            </w:rPr>
            <w:t>31</w:t>
          </w:r>
        </w:fldSimple>
      </w:p>
    </w:sdtContent>
  </w:sdt>
  <w:p w:rsidR="00AB41AB" w:rsidRDefault="00AB41A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43DA"/>
    <w:multiLevelType w:val="multilevel"/>
    <w:tmpl w:val="A7D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02DB3"/>
    <w:multiLevelType w:val="multilevel"/>
    <w:tmpl w:val="DAB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14752"/>
    <w:multiLevelType w:val="hybridMultilevel"/>
    <w:tmpl w:val="72629326"/>
    <w:lvl w:ilvl="0" w:tplc="ACACEA92">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6DB60EA"/>
    <w:multiLevelType w:val="multilevel"/>
    <w:tmpl w:val="724A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32280"/>
    <w:multiLevelType w:val="hybridMultilevel"/>
    <w:tmpl w:val="A5621C0A"/>
    <w:lvl w:ilvl="0" w:tplc="0416000F">
      <w:start w:val="1"/>
      <w:numFmt w:val="decimal"/>
      <w:lvlText w:val="%1."/>
      <w:lvlJc w:val="left"/>
      <w:pPr>
        <w:ind w:left="1438" w:hanging="360"/>
      </w:pPr>
    </w:lvl>
    <w:lvl w:ilvl="1" w:tplc="04160019" w:tentative="1">
      <w:start w:val="1"/>
      <w:numFmt w:val="lowerLetter"/>
      <w:lvlText w:val="%2."/>
      <w:lvlJc w:val="left"/>
      <w:pPr>
        <w:ind w:left="2158" w:hanging="360"/>
      </w:pPr>
    </w:lvl>
    <w:lvl w:ilvl="2" w:tplc="0416001B" w:tentative="1">
      <w:start w:val="1"/>
      <w:numFmt w:val="lowerRoman"/>
      <w:lvlText w:val="%3."/>
      <w:lvlJc w:val="right"/>
      <w:pPr>
        <w:ind w:left="2878" w:hanging="180"/>
      </w:pPr>
    </w:lvl>
    <w:lvl w:ilvl="3" w:tplc="0416000F" w:tentative="1">
      <w:start w:val="1"/>
      <w:numFmt w:val="decimal"/>
      <w:lvlText w:val="%4."/>
      <w:lvlJc w:val="left"/>
      <w:pPr>
        <w:ind w:left="3598" w:hanging="360"/>
      </w:pPr>
    </w:lvl>
    <w:lvl w:ilvl="4" w:tplc="04160019" w:tentative="1">
      <w:start w:val="1"/>
      <w:numFmt w:val="lowerLetter"/>
      <w:lvlText w:val="%5."/>
      <w:lvlJc w:val="left"/>
      <w:pPr>
        <w:ind w:left="4318" w:hanging="360"/>
      </w:pPr>
    </w:lvl>
    <w:lvl w:ilvl="5" w:tplc="0416001B" w:tentative="1">
      <w:start w:val="1"/>
      <w:numFmt w:val="lowerRoman"/>
      <w:lvlText w:val="%6."/>
      <w:lvlJc w:val="right"/>
      <w:pPr>
        <w:ind w:left="5038" w:hanging="180"/>
      </w:pPr>
    </w:lvl>
    <w:lvl w:ilvl="6" w:tplc="0416000F" w:tentative="1">
      <w:start w:val="1"/>
      <w:numFmt w:val="decimal"/>
      <w:lvlText w:val="%7."/>
      <w:lvlJc w:val="left"/>
      <w:pPr>
        <w:ind w:left="5758" w:hanging="360"/>
      </w:pPr>
    </w:lvl>
    <w:lvl w:ilvl="7" w:tplc="04160019" w:tentative="1">
      <w:start w:val="1"/>
      <w:numFmt w:val="lowerLetter"/>
      <w:lvlText w:val="%8."/>
      <w:lvlJc w:val="left"/>
      <w:pPr>
        <w:ind w:left="6478" w:hanging="360"/>
      </w:pPr>
    </w:lvl>
    <w:lvl w:ilvl="8" w:tplc="0416001B" w:tentative="1">
      <w:start w:val="1"/>
      <w:numFmt w:val="lowerRoman"/>
      <w:lvlText w:val="%9."/>
      <w:lvlJc w:val="right"/>
      <w:pPr>
        <w:ind w:left="7198" w:hanging="180"/>
      </w:pPr>
    </w:lvl>
  </w:abstractNum>
  <w:num w:numId="1">
    <w:abstractNumId w:val="4"/>
  </w:num>
  <w:num w:numId="2">
    <w:abstractNumId w:val="2"/>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D58A7"/>
    <w:rsid w:val="00001AF1"/>
    <w:rsid w:val="000103AC"/>
    <w:rsid w:val="0001207E"/>
    <w:rsid w:val="000267F4"/>
    <w:rsid w:val="00027FCB"/>
    <w:rsid w:val="00035A28"/>
    <w:rsid w:val="00044BB7"/>
    <w:rsid w:val="00053FF6"/>
    <w:rsid w:val="00054831"/>
    <w:rsid w:val="00060E5A"/>
    <w:rsid w:val="00064F14"/>
    <w:rsid w:val="00067000"/>
    <w:rsid w:val="0007321A"/>
    <w:rsid w:val="0007785D"/>
    <w:rsid w:val="00083085"/>
    <w:rsid w:val="00084473"/>
    <w:rsid w:val="00085AF0"/>
    <w:rsid w:val="00086DF0"/>
    <w:rsid w:val="00091A85"/>
    <w:rsid w:val="00095103"/>
    <w:rsid w:val="000C3B0D"/>
    <w:rsid w:val="000C4CB3"/>
    <w:rsid w:val="001078F0"/>
    <w:rsid w:val="00112DF2"/>
    <w:rsid w:val="0011304E"/>
    <w:rsid w:val="00115BDF"/>
    <w:rsid w:val="00117EDB"/>
    <w:rsid w:val="00130100"/>
    <w:rsid w:val="001355B7"/>
    <w:rsid w:val="001400B8"/>
    <w:rsid w:val="00140A15"/>
    <w:rsid w:val="00147C88"/>
    <w:rsid w:val="00160888"/>
    <w:rsid w:val="0016203F"/>
    <w:rsid w:val="00162ABD"/>
    <w:rsid w:val="0016418B"/>
    <w:rsid w:val="0016506B"/>
    <w:rsid w:val="0017137A"/>
    <w:rsid w:val="001876F5"/>
    <w:rsid w:val="00193CC2"/>
    <w:rsid w:val="00193F26"/>
    <w:rsid w:val="0019425B"/>
    <w:rsid w:val="001A0119"/>
    <w:rsid w:val="001A4E83"/>
    <w:rsid w:val="001A693D"/>
    <w:rsid w:val="001B2FEC"/>
    <w:rsid w:val="001B3AFB"/>
    <w:rsid w:val="001C3D69"/>
    <w:rsid w:val="001D46D0"/>
    <w:rsid w:val="001D5807"/>
    <w:rsid w:val="001E1BB1"/>
    <w:rsid w:val="001F3D9D"/>
    <w:rsid w:val="001F7AEB"/>
    <w:rsid w:val="00204A74"/>
    <w:rsid w:val="0021426C"/>
    <w:rsid w:val="00214699"/>
    <w:rsid w:val="0021486F"/>
    <w:rsid w:val="00223DC6"/>
    <w:rsid w:val="00227BFF"/>
    <w:rsid w:val="00231778"/>
    <w:rsid w:val="00232907"/>
    <w:rsid w:val="002329D3"/>
    <w:rsid w:val="00237A90"/>
    <w:rsid w:val="00237C97"/>
    <w:rsid w:val="00244F90"/>
    <w:rsid w:val="00246B5C"/>
    <w:rsid w:val="00250694"/>
    <w:rsid w:val="0025136B"/>
    <w:rsid w:val="00257689"/>
    <w:rsid w:val="00266378"/>
    <w:rsid w:val="00274EFF"/>
    <w:rsid w:val="00275498"/>
    <w:rsid w:val="00281117"/>
    <w:rsid w:val="002A1BBC"/>
    <w:rsid w:val="002A2100"/>
    <w:rsid w:val="002B0343"/>
    <w:rsid w:val="002B38FE"/>
    <w:rsid w:val="002B6AE3"/>
    <w:rsid w:val="002C01F3"/>
    <w:rsid w:val="002C57C0"/>
    <w:rsid w:val="002D0E84"/>
    <w:rsid w:val="002D5B77"/>
    <w:rsid w:val="002E7BEF"/>
    <w:rsid w:val="002F47BC"/>
    <w:rsid w:val="002F64BD"/>
    <w:rsid w:val="0032163E"/>
    <w:rsid w:val="00327265"/>
    <w:rsid w:val="003306B6"/>
    <w:rsid w:val="00332B50"/>
    <w:rsid w:val="003334F0"/>
    <w:rsid w:val="003365AD"/>
    <w:rsid w:val="00337278"/>
    <w:rsid w:val="00337A7E"/>
    <w:rsid w:val="00341E05"/>
    <w:rsid w:val="00350C68"/>
    <w:rsid w:val="003543AC"/>
    <w:rsid w:val="0036118D"/>
    <w:rsid w:val="00370E30"/>
    <w:rsid w:val="00372902"/>
    <w:rsid w:val="0037465C"/>
    <w:rsid w:val="00374AD4"/>
    <w:rsid w:val="00375297"/>
    <w:rsid w:val="0039745B"/>
    <w:rsid w:val="003A2531"/>
    <w:rsid w:val="003A4AEA"/>
    <w:rsid w:val="003A5636"/>
    <w:rsid w:val="003A78CE"/>
    <w:rsid w:val="003B7C28"/>
    <w:rsid w:val="003C6C45"/>
    <w:rsid w:val="003D349F"/>
    <w:rsid w:val="003D3C75"/>
    <w:rsid w:val="003E097E"/>
    <w:rsid w:val="003E0DA2"/>
    <w:rsid w:val="003E4F1B"/>
    <w:rsid w:val="00402BAA"/>
    <w:rsid w:val="004040FF"/>
    <w:rsid w:val="0040622C"/>
    <w:rsid w:val="0040774A"/>
    <w:rsid w:val="004104FC"/>
    <w:rsid w:val="00431599"/>
    <w:rsid w:val="004507D3"/>
    <w:rsid w:val="0045174D"/>
    <w:rsid w:val="00454D5B"/>
    <w:rsid w:val="00464BF6"/>
    <w:rsid w:val="004771D0"/>
    <w:rsid w:val="00480E27"/>
    <w:rsid w:val="0049391A"/>
    <w:rsid w:val="00496937"/>
    <w:rsid w:val="004A409D"/>
    <w:rsid w:val="004A4B27"/>
    <w:rsid w:val="004B057A"/>
    <w:rsid w:val="004B0AF6"/>
    <w:rsid w:val="004B5FB3"/>
    <w:rsid w:val="004C5480"/>
    <w:rsid w:val="004D58A7"/>
    <w:rsid w:val="004D6C41"/>
    <w:rsid w:val="004E295A"/>
    <w:rsid w:val="004E4C09"/>
    <w:rsid w:val="004F2700"/>
    <w:rsid w:val="004F35E8"/>
    <w:rsid w:val="004F53B1"/>
    <w:rsid w:val="004F5D14"/>
    <w:rsid w:val="004F63FA"/>
    <w:rsid w:val="00511402"/>
    <w:rsid w:val="00511970"/>
    <w:rsid w:val="00515C2D"/>
    <w:rsid w:val="00520420"/>
    <w:rsid w:val="005206B9"/>
    <w:rsid w:val="00523969"/>
    <w:rsid w:val="00526195"/>
    <w:rsid w:val="00526C69"/>
    <w:rsid w:val="005279EA"/>
    <w:rsid w:val="00536D56"/>
    <w:rsid w:val="00540461"/>
    <w:rsid w:val="00552F20"/>
    <w:rsid w:val="005619EC"/>
    <w:rsid w:val="00567B94"/>
    <w:rsid w:val="00571075"/>
    <w:rsid w:val="0058113C"/>
    <w:rsid w:val="005817FE"/>
    <w:rsid w:val="005850E2"/>
    <w:rsid w:val="00585399"/>
    <w:rsid w:val="0058650B"/>
    <w:rsid w:val="005A618C"/>
    <w:rsid w:val="005A660F"/>
    <w:rsid w:val="005B4073"/>
    <w:rsid w:val="005C5306"/>
    <w:rsid w:val="005C5DB8"/>
    <w:rsid w:val="005D262F"/>
    <w:rsid w:val="005D50D4"/>
    <w:rsid w:val="005E1FD5"/>
    <w:rsid w:val="00600453"/>
    <w:rsid w:val="006056BC"/>
    <w:rsid w:val="0060654A"/>
    <w:rsid w:val="00606957"/>
    <w:rsid w:val="0060743E"/>
    <w:rsid w:val="0061115B"/>
    <w:rsid w:val="00613B7D"/>
    <w:rsid w:val="00613EC9"/>
    <w:rsid w:val="0064357A"/>
    <w:rsid w:val="0065647F"/>
    <w:rsid w:val="00662B5D"/>
    <w:rsid w:val="00664D9C"/>
    <w:rsid w:val="00664EDC"/>
    <w:rsid w:val="0067261B"/>
    <w:rsid w:val="006779DC"/>
    <w:rsid w:val="0068089A"/>
    <w:rsid w:val="00682AD2"/>
    <w:rsid w:val="00683DBC"/>
    <w:rsid w:val="00684284"/>
    <w:rsid w:val="00685ADC"/>
    <w:rsid w:val="0068692A"/>
    <w:rsid w:val="0069052B"/>
    <w:rsid w:val="00694434"/>
    <w:rsid w:val="006A5021"/>
    <w:rsid w:val="006A555D"/>
    <w:rsid w:val="006C358A"/>
    <w:rsid w:val="006C6BED"/>
    <w:rsid w:val="006D0A7D"/>
    <w:rsid w:val="006D739D"/>
    <w:rsid w:val="006F0459"/>
    <w:rsid w:val="006F1D2B"/>
    <w:rsid w:val="00701E69"/>
    <w:rsid w:val="00706E01"/>
    <w:rsid w:val="00707492"/>
    <w:rsid w:val="00710444"/>
    <w:rsid w:val="00711C3E"/>
    <w:rsid w:val="00711D7F"/>
    <w:rsid w:val="0071250C"/>
    <w:rsid w:val="0071663B"/>
    <w:rsid w:val="00720744"/>
    <w:rsid w:val="00723D65"/>
    <w:rsid w:val="00726CBA"/>
    <w:rsid w:val="00727AD2"/>
    <w:rsid w:val="007340EC"/>
    <w:rsid w:val="00736B4A"/>
    <w:rsid w:val="00740D12"/>
    <w:rsid w:val="00742B52"/>
    <w:rsid w:val="007451BF"/>
    <w:rsid w:val="00755BDB"/>
    <w:rsid w:val="0077022F"/>
    <w:rsid w:val="00770533"/>
    <w:rsid w:val="007710B4"/>
    <w:rsid w:val="007814B5"/>
    <w:rsid w:val="00784E4B"/>
    <w:rsid w:val="007A03D8"/>
    <w:rsid w:val="007A1A0E"/>
    <w:rsid w:val="007E3D89"/>
    <w:rsid w:val="007F28EC"/>
    <w:rsid w:val="007F5A2A"/>
    <w:rsid w:val="008032A2"/>
    <w:rsid w:val="00805A2C"/>
    <w:rsid w:val="008068E1"/>
    <w:rsid w:val="008147F9"/>
    <w:rsid w:val="00816DA0"/>
    <w:rsid w:val="00820736"/>
    <w:rsid w:val="00822558"/>
    <w:rsid w:val="008372DE"/>
    <w:rsid w:val="00842CB1"/>
    <w:rsid w:val="008469B7"/>
    <w:rsid w:val="00860191"/>
    <w:rsid w:val="00860DD2"/>
    <w:rsid w:val="0087356D"/>
    <w:rsid w:val="00881B01"/>
    <w:rsid w:val="00881F07"/>
    <w:rsid w:val="00884309"/>
    <w:rsid w:val="00885E7D"/>
    <w:rsid w:val="00890C0B"/>
    <w:rsid w:val="0089623C"/>
    <w:rsid w:val="008A2182"/>
    <w:rsid w:val="008A6964"/>
    <w:rsid w:val="008B07AA"/>
    <w:rsid w:val="008B431A"/>
    <w:rsid w:val="008C7995"/>
    <w:rsid w:val="008D7E4A"/>
    <w:rsid w:val="008E1352"/>
    <w:rsid w:val="008E1EB7"/>
    <w:rsid w:val="008E49B4"/>
    <w:rsid w:val="008E6905"/>
    <w:rsid w:val="008E7186"/>
    <w:rsid w:val="00900974"/>
    <w:rsid w:val="00907CB4"/>
    <w:rsid w:val="00910336"/>
    <w:rsid w:val="009142AA"/>
    <w:rsid w:val="0091521C"/>
    <w:rsid w:val="009262E6"/>
    <w:rsid w:val="0092715A"/>
    <w:rsid w:val="00935EC4"/>
    <w:rsid w:val="0094005D"/>
    <w:rsid w:val="009403A2"/>
    <w:rsid w:val="0094165A"/>
    <w:rsid w:val="00942DB8"/>
    <w:rsid w:val="00945584"/>
    <w:rsid w:val="009506C7"/>
    <w:rsid w:val="009540DE"/>
    <w:rsid w:val="00954417"/>
    <w:rsid w:val="009678CD"/>
    <w:rsid w:val="00970986"/>
    <w:rsid w:val="00985D83"/>
    <w:rsid w:val="00990D39"/>
    <w:rsid w:val="00994644"/>
    <w:rsid w:val="00997AF3"/>
    <w:rsid w:val="009A600F"/>
    <w:rsid w:val="009A670E"/>
    <w:rsid w:val="009B3891"/>
    <w:rsid w:val="009C1A70"/>
    <w:rsid w:val="009C28D7"/>
    <w:rsid w:val="009D1E30"/>
    <w:rsid w:val="009D615B"/>
    <w:rsid w:val="009D6E36"/>
    <w:rsid w:val="009D6FC0"/>
    <w:rsid w:val="009E475B"/>
    <w:rsid w:val="009F35AD"/>
    <w:rsid w:val="009F78FB"/>
    <w:rsid w:val="00A03586"/>
    <w:rsid w:val="00A05588"/>
    <w:rsid w:val="00A12F45"/>
    <w:rsid w:val="00A200EE"/>
    <w:rsid w:val="00A307AF"/>
    <w:rsid w:val="00A4549B"/>
    <w:rsid w:val="00A477C6"/>
    <w:rsid w:val="00A5242A"/>
    <w:rsid w:val="00A5745F"/>
    <w:rsid w:val="00A655C4"/>
    <w:rsid w:val="00A711A6"/>
    <w:rsid w:val="00A72EEE"/>
    <w:rsid w:val="00A739E7"/>
    <w:rsid w:val="00A75FE3"/>
    <w:rsid w:val="00A816A9"/>
    <w:rsid w:val="00A91E71"/>
    <w:rsid w:val="00A92AD7"/>
    <w:rsid w:val="00AA21A4"/>
    <w:rsid w:val="00AA3E46"/>
    <w:rsid w:val="00AB41AB"/>
    <w:rsid w:val="00AC03F9"/>
    <w:rsid w:val="00AC1697"/>
    <w:rsid w:val="00AC59C6"/>
    <w:rsid w:val="00AD4840"/>
    <w:rsid w:val="00AD4BAE"/>
    <w:rsid w:val="00AE3A65"/>
    <w:rsid w:val="00AE4BC8"/>
    <w:rsid w:val="00B00290"/>
    <w:rsid w:val="00B00D64"/>
    <w:rsid w:val="00B239EE"/>
    <w:rsid w:val="00B279E5"/>
    <w:rsid w:val="00B33713"/>
    <w:rsid w:val="00B35B31"/>
    <w:rsid w:val="00B364E5"/>
    <w:rsid w:val="00B36A87"/>
    <w:rsid w:val="00B44875"/>
    <w:rsid w:val="00B635D4"/>
    <w:rsid w:val="00B65ED2"/>
    <w:rsid w:val="00B71842"/>
    <w:rsid w:val="00B771CC"/>
    <w:rsid w:val="00B8052E"/>
    <w:rsid w:val="00B821A7"/>
    <w:rsid w:val="00B92D18"/>
    <w:rsid w:val="00B9336D"/>
    <w:rsid w:val="00BA0E7A"/>
    <w:rsid w:val="00BA37AD"/>
    <w:rsid w:val="00BD2C7C"/>
    <w:rsid w:val="00BD3D1E"/>
    <w:rsid w:val="00BD55A4"/>
    <w:rsid w:val="00BE2405"/>
    <w:rsid w:val="00BE4219"/>
    <w:rsid w:val="00BE5FC3"/>
    <w:rsid w:val="00BE7FD1"/>
    <w:rsid w:val="00BF2DC2"/>
    <w:rsid w:val="00BF30F8"/>
    <w:rsid w:val="00BF5943"/>
    <w:rsid w:val="00BF5D1E"/>
    <w:rsid w:val="00BF683E"/>
    <w:rsid w:val="00C05320"/>
    <w:rsid w:val="00C07760"/>
    <w:rsid w:val="00C20A96"/>
    <w:rsid w:val="00C30CD3"/>
    <w:rsid w:val="00C428B6"/>
    <w:rsid w:val="00C45AB8"/>
    <w:rsid w:val="00C51D61"/>
    <w:rsid w:val="00C55875"/>
    <w:rsid w:val="00C60380"/>
    <w:rsid w:val="00C66923"/>
    <w:rsid w:val="00C7091E"/>
    <w:rsid w:val="00C72A2C"/>
    <w:rsid w:val="00C763F8"/>
    <w:rsid w:val="00C77366"/>
    <w:rsid w:val="00C85AA9"/>
    <w:rsid w:val="00C90777"/>
    <w:rsid w:val="00C961AE"/>
    <w:rsid w:val="00CA0545"/>
    <w:rsid w:val="00CA2B38"/>
    <w:rsid w:val="00CA4BBC"/>
    <w:rsid w:val="00CA5F53"/>
    <w:rsid w:val="00CB4D43"/>
    <w:rsid w:val="00CB63D5"/>
    <w:rsid w:val="00CB7E5C"/>
    <w:rsid w:val="00CC755F"/>
    <w:rsid w:val="00CD449F"/>
    <w:rsid w:val="00CD6817"/>
    <w:rsid w:val="00CE62C7"/>
    <w:rsid w:val="00D01525"/>
    <w:rsid w:val="00D11492"/>
    <w:rsid w:val="00D13579"/>
    <w:rsid w:val="00D30FC5"/>
    <w:rsid w:val="00D37429"/>
    <w:rsid w:val="00D37A23"/>
    <w:rsid w:val="00D44928"/>
    <w:rsid w:val="00D474E8"/>
    <w:rsid w:val="00D662C2"/>
    <w:rsid w:val="00D72FC6"/>
    <w:rsid w:val="00D74603"/>
    <w:rsid w:val="00D85DC4"/>
    <w:rsid w:val="00D869E9"/>
    <w:rsid w:val="00D87D3C"/>
    <w:rsid w:val="00D90887"/>
    <w:rsid w:val="00D94721"/>
    <w:rsid w:val="00D979BC"/>
    <w:rsid w:val="00DA0CB3"/>
    <w:rsid w:val="00DA46BF"/>
    <w:rsid w:val="00DA5269"/>
    <w:rsid w:val="00DA6D4A"/>
    <w:rsid w:val="00DB13BD"/>
    <w:rsid w:val="00DB486E"/>
    <w:rsid w:val="00DB6BC2"/>
    <w:rsid w:val="00DB6F5C"/>
    <w:rsid w:val="00DC7A29"/>
    <w:rsid w:val="00DD1ADE"/>
    <w:rsid w:val="00DD4163"/>
    <w:rsid w:val="00DE576F"/>
    <w:rsid w:val="00DE5C19"/>
    <w:rsid w:val="00DF631C"/>
    <w:rsid w:val="00E10E5C"/>
    <w:rsid w:val="00E138CC"/>
    <w:rsid w:val="00E13F91"/>
    <w:rsid w:val="00E158B8"/>
    <w:rsid w:val="00E17051"/>
    <w:rsid w:val="00E2702C"/>
    <w:rsid w:val="00E27854"/>
    <w:rsid w:val="00E27A9D"/>
    <w:rsid w:val="00E40BAE"/>
    <w:rsid w:val="00E50940"/>
    <w:rsid w:val="00E50AA4"/>
    <w:rsid w:val="00E50C45"/>
    <w:rsid w:val="00E53778"/>
    <w:rsid w:val="00E66F29"/>
    <w:rsid w:val="00E700F8"/>
    <w:rsid w:val="00E701EC"/>
    <w:rsid w:val="00E72E59"/>
    <w:rsid w:val="00E81BDB"/>
    <w:rsid w:val="00E86E2E"/>
    <w:rsid w:val="00E942E7"/>
    <w:rsid w:val="00E969EB"/>
    <w:rsid w:val="00EA6D39"/>
    <w:rsid w:val="00EA6D8E"/>
    <w:rsid w:val="00EB2540"/>
    <w:rsid w:val="00EB363C"/>
    <w:rsid w:val="00EB5467"/>
    <w:rsid w:val="00EC069F"/>
    <w:rsid w:val="00EC1E96"/>
    <w:rsid w:val="00EC2647"/>
    <w:rsid w:val="00EC52F6"/>
    <w:rsid w:val="00EC53E2"/>
    <w:rsid w:val="00ED2138"/>
    <w:rsid w:val="00ED5225"/>
    <w:rsid w:val="00ED7D8E"/>
    <w:rsid w:val="00EE5471"/>
    <w:rsid w:val="00F0170D"/>
    <w:rsid w:val="00F07C4D"/>
    <w:rsid w:val="00F113BD"/>
    <w:rsid w:val="00F224E5"/>
    <w:rsid w:val="00F30E9E"/>
    <w:rsid w:val="00F33C1A"/>
    <w:rsid w:val="00F34CDB"/>
    <w:rsid w:val="00F3742F"/>
    <w:rsid w:val="00F42B65"/>
    <w:rsid w:val="00F42C32"/>
    <w:rsid w:val="00F478FC"/>
    <w:rsid w:val="00F514B5"/>
    <w:rsid w:val="00F60694"/>
    <w:rsid w:val="00F77F7F"/>
    <w:rsid w:val="00F810CD"/>
    <w:rsid w:val="00F83C05"/>
    <w:rsid w:val="00F8489A"/>
    <w:rsid w:val="00F861DB"/>
    <w:rsid w:val="00F87AE3"/>
    <w:rsid w:val="00F94359"/>
    <w:rsid w:val="00F95316"/>
    <w:rsid w:val="00F9715C"/>
    <w:rsid w:val="00FA6ABD"/>
    <w:rsid w:val="00FB0F95"/>
    <w:rsid w:val="00FB32A0"/>
    <w:rsid w:val="00FB438C"/>
    <w:rsid w:val="00FC3ECB"/>
    <w:rsid w:val="00FC51BB"/>
    <w:rsid w:val="00FD230F"/>
    <w:rsid w:val="00FE1DD8"/>
    <w:rsid w:val="00FE6896"/>
    <w:rsid w:val="00FF227E"/>
    <w:rsid w:val="00FF3499"/>
    <w:rsid w:val="00FF4C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8A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4D58A7"/>
    <w:pPr>
      <w:spacing w:before="100" w:beforeAutospacing="1" w:after="100" w:afterAutospacing="1"/>
      <w:outlineLvl w:val="1"/>
    </w:pPr>
    <w:rPr>
      <w:b/>
      <w:bCs/>
      <w:sz w:val="36"/>
      <w:szCs w:val="36"/>
    </w:rPr>
  </w:style>
  <w:style w:type="paragraph" w:styleId="Ttulo3">
    <w:name w:val="heading 3"/>
    <w:basedOn w:val="Normal"/>
    <w:next w:val="Normal"/>
    <w:link w:val="Ttulo3Char"/>
    <w:semiHidden/>
    <w:unhideWhenUsed/>
    <w:qFormat/>
    <w:rsid w:val="004D58A7"/>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4D58A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semiHidden/>
    <w:rsid w:val="004D58A7"/>
    <w:rPr>
      <w:rFonts w:ascii="Cambria" w:eastAsia="Times New Roman" w:hAnsi="Cambria" w:cs="Times New Roman"/>
      <w:b/>
      <w:bCs/>
      <w:sz w:val="26"/>
      <w:szCs w:val="26"/>
      <w:lang w:eastAsia="pt-BR"/>
    </w:rPr>
  </w:style>
  <w:style w:type="paragraph" w:styleId="Textodebalo">
    <w:name w:val="Balloon Text"/>
    <w:basedOn w:val="Normal"/>
    <w:link w:val="TextodebaloChar"/>
    <w:uiPriority w:val="99"/>
    <w:semiHidden/>
    <w:unhideWhenUsed/>
    <w:rsid w:val="004D58A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D58A7"/>
    <w:rPr>
      <w:rFonts w:ascii="Tahoma" w:hAnsi="Tahoma" w:cs="Tahoma"/>
      <w:sz w:val="16"/>
      <w:szCs w:val="16"/>
    </w:rPr>
  </w:style>
  <w:style w:type="paragraph" w:styleId="Corpodetexto2">
    <w:name w:val="Body Text 2"/>
    <w:basedOn w:val="Normal"/>
    <w:link w:val="Corpodetexto2Char"/>
    <w:rsid w:val="004D58A7"/>
    <w:rPr>
      <w:sz w:val="16"/>
      <w:szCs w:val="16"/>
    </w:rPr>
  </w:style>
  <w:style w:type="character" w:customStyle="1" w:styleId="Corpodetexto2Char">
    <w:name w:val="Corpo de texto 2 Char"/>
    <w:basedOn w:val="Fontepargpadro"/>
    <w:link w:val="Corpodetexto2"/>
    <w:rsid w:val="004D58A7"/>
    <w:rPr>
      <w:rFonts w:ascii="Times New Roman" w:eastAsia="Times New Roman" w:hAnsi="Times New Roman" w:cs="Times New Roman"/>
      <w:sz w:val="16"/>
      <w:szCs w:val="16"/>
      <w:lang w:eastAsia="pt-BR"/>
    </w:rPr>
  </w:style>
  <w:style w:type="character" w:styleId="Refdecomentrio">
    <w:name w:val="annotation reference"/>
    <w:basedOn w:val="Fontepargpadro"/>
    <w:uiPriority w:val="99"/>
    <w:semiHidden/>
    <w:rsid w:val="004D58A7"/>
    <w:rPr>
      <w:sz w:val="16"/>
      <w:szCs w:val="16"/>
    </w:rPr>
  </w:style>
  <w:style w:type="paragraph" w:styleId="Textodecomentrio">
    <w:name w:val="annotation text"/>
    <w:basedOn w:val="Normal"/>
    <w:link w:val="TextodecomentrioChar"/>
    <w:uiPriority w:val="99"/>
    <w:semiHidden/>
    <w:rsid w:val="004D58A7"/>
    <w:rPr>
      <w:sz w:val="20"/>
      <w:szCs w:val="20"/>
    </w:rPr>
  </w:style>
  <w:style w:type="character" w:customStyle="1" w:styleId="TextodecomentrioChar">
    <w:name w:val="Texto de comentário Char"/>
    <w:basedOn w:val="Fontepargpadro"/>
    <w:link w:val="Textodecomentrio"/>
    <w:uiPriority w:val="99"/>
    <w:semiHidden/>
    <w:rsid w:val="004D58A7"/>
    <w:rPr>
      <w:rFonts w:ascii="Times New Roman" w:eastAsia="Times New Roman" w:hAnsi="Times New Roman" w:cs="Times New Roman"/>
      <w:sz w:val="20"/>
      <w:szCs w:val="20"/>
      <w:lang w:eastAsia="pt-BR"/>
    </w:rPr>
  </w:style>
  <w:style w:type="character" w:styleId="Hyperlink">
    <w:name w:val="Hyperlink"/>
    <w:basedOn w:val="Fontepargpadro"/>
    <w:uiPriority w:val="99"/>
    <w:rsid w:val="004D58A7"/>
    <w:rPr>
      <w:color w:val="0000FF"/>
      <w:u w:val="single"/>
    </w:rPr>
  </w:style>
  <w:style w:type="paragraph" w:styleId="Textodenotaderodap">
    <w:name w:val="footnote text"/>
    <w:basedOn w:val="Normal"/>
    <w:link w:val="TextodenotaderodapChar"/>
    <w:uiPriority w:val="99"/>
    <w:rsid w:val="004D58A7"/>
    <w:rPr>
      <w:sz w:val="20"/>
      <w:szCs w:val="20"/>
    </w:rPr>
  </w:style>
  <w:style w:type="character" w:customStyle="1" w:styleId="TextodenotaderodapChar">
    <w:name w:val="Texto de nota de rodapé Char"/>
    <w:basedOn w:val="Fontepargpadro"/>
    <w:link w:val="Textodenotaderodap"/>
    <w:uiPriority w:val="99"/>
    <w:rsid w:val="004D58A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4D58A7"/>
    <w:rPr>
      <w:vertAlign w:val="superscript"/>
    </w:rPr>
  </w:style>
  <w:style w:type="paragraph" w:styleId="Cabealho">
    <w:name w:val="header"/>
    <w:basedOn w:val="Normal"/>
    <w:link w:val="CabealhoChar"/>
    <w:uiPriority w:val="99"/>
    <w:rsid w:val="004D58A7"/>
    <w:pPr>
      <w:tabs>
        <w:tab w:val="center" w:pos="4252"/>
        <w:tab w:val="right" w:pos="8504"/>
      </w:tabs>
    </w:pPr>
  </w:style>
  <w:style w:type="character" w:customStyle="1" w:styleId="CabealhoChar">
    <w:name w:val="Cabeçalho Char"/>
    <w:basedOn w:val="Fontepargpadro"/>
    <w:link w:val="Cabealho"/>
    <w:uiPriority w:val="99"/>
    <w:rsid w:val="004D58A7"/>
    <w:rPr>
      <w:rFonts w:ascii="Times New Roman" w:eastAsia="Times New Roman" w:hAnsi="Times New Roman" w:cs="Times New Roman"/>
      <w:sz w:val="24"/>
      <w:szCs w:val="24"/>
      <w:lang w:eastAsia="pt-BR"/>
    </w:rPr>
  </w:style>
  <w:style w:type="paragraph" w:customStyle="1" w:styleId="Default">
    <w:name w:val="Default"/>
    <w:rsid w:val="004D58A7"/>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4D58A7"/>
    <w:pPr>
      <w:ind w:left="720"/>
      <w:contextualSpacing/>
    </w:pPr>
  </w:style>
  <w:style w:type="character" w:customStyle="1" w:styleId="apple-converted-space">
    <w:name w:val="apple-converted-space"/>
    <w:basedOn w:val="Fontepargpadro"/>
    <w:rsid w:val="004D58A7"/>
  </w:style>
  <w:style w:type="character" w:styleId="Forte">
    <w:name w:val="Strong"/>
    <w:basedOn w:val="Fontepargpadro"/>
    <w:uiPriority w:val="22"/>
    <w:qFormat/>
    <w:rsid w:val="004D58A7"/>
    <w:rPr>
      <w:b/>
      <w:bCs/>
    </w:rPr>
  </w:style>
  <w:style w:type="paragraph" w:styleId="NormalWeb">
    <w:name w:val="Normal (Web)"/>
    <w:basedOn w:val="Normal"/>
    <w:uiPriority w:val="99"/>
    <w:unhideWhenUsed/>
    <w:rsid w:val="004D58A7"/>
    <w:pPr>
      <w:spacing w:before="100" w:beforeAutospacing="1" w:after="100" w:afterAutospacing="1"/>
    </w:pPr>
  </w:style>
  <w:style w:type="character" w:styleId="nfase">
    <w:name w:val="Emphasis"/>
    <w:basedOn w:val="Fontepargpadro"/>
    <w:uiPriority w:val="20"/>
    <w:qFormat/>
    <w:rsid w:val="004D58A7"/>
    <w:rPr>
      <w:i/>
      <w:iCs/>
    </w:rPr>
  </w:style>
  <w:style w:type="character" w:styleId="AcrnimoHTML">
    <w:name w:val="HTML Acronym"/>
    <w:basedOn w:val="Fontepargpadro"/>
    <w:uiPriority w:val="99"/>
    <w:unhideWhenUsed/>
    <w:rsid w:val="004D58A7"/>
  </w:style>
  <w:style w:type="character" w:customStyle="1" w:styleId="article-title">
    <w:name w:val="article-title"/>
    <w:basedOn w:val="Fontepargpadro"/>
    <w:rsid w:val="004D58A7"/>
  </w:style>
  <w:style w:type="character" w:styleId="HiperlinkVisitado">
    <w:name w:val="FollowedHyperlink"/>
    <w:basedOn w:val="Fontepargpadro"/>
    <w:uiPriority w:val="99"/>
    <w:semiHidden/>
    <w:unhideWhenUsed/>
    <w:rsid w:val="004D58A7"/>
    <w:rPr>
      <w:color w:val="800080" w:themeColor="followedHyperlink"/>
      <w:u w:val="single"/>
    </w:rPr>
  </w:style>
  <w:style w:type="paragraph" w:styleId="Rodap">
    <w:name w:val="footer"/>
    <w:basedOn w:val="Normal"/>
    <w:link w:val="RodapChar"/>
    <w:uiPriority w:val="99"/>
    <w:semiHidden/>
    <w:unhideWhenUsed/>
    <w:rsid w:val="004D58A7"/>
    <w:pPr>
      <w:tabs>
        <w:tab w:val="center" w:pos="4252"/>
        <w:tab w:val="right" w:pos="8504"/>
      </w:tabs>
    </w:pPr>
  </w:style>
  <w:style w:type="character" w:customStyle="1" w:styleId="RodapChar">
    <w:name w:val="Rodapé Char"/>
    <w:basedOn w:val="Fontepargpadro"/>
    <w:link w:val="Rodap"/>
    <w:uiPriority w:val="99"/>
    <w:semiHidden/>
    <w:rsid w:val="004D58A7"/>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din.com.br/wp-content/uploads/2014/05/A-Viol%C3%AAncia-Sexual-Contra-a-Mulher-e-o-Direito-Internacional.pdf" TargetMode="External"/><Relationship Id="rId18" Type="http://schemas.openxmlformats.org/officeDocument/2006/relationships/hyperlink" Target="http://www.revistaethica.com.br/V17N2art4.pdf" TargetMode="External"/><Relationship Id="rId26" Type="http://schemas.openxmlformats.org/officeDocument/2006/relationships/hyperlink" Target="http://cges.umn.edu/docs/Koo.Confronting_a_Disciplinary_Blindness.pdf" TargetMode="External"/><Relationship Id="rId39" Type="http://schemas.openxmlformats.org/officeDocument/2006/relationships/hyperlink" Target="http://books.google.com.br/books?id=lCKe-RcqUuEC&amp;printsec=frontcover&amp;hl=pt-BR" TargetMode="External"/><Relationship Id="rId3" Type="http://schemas.openxmlformats.org/officeDocument/2006/relationships/styles" Target="styles.xml"/><Relationship Id="rId21" Type="http://schemas.openxmlformats.org/officeDocument/2006/relationships/hyperlink" Target="http://www.staff.amu.edu.pl/~ewa/Diken%20and%20Lausten,%20Becoming%20Abject.pdf" TargetMode="External"/><Relationship Id="rId34" Type="http://schemas.openxmlformats.org/officeDocument/2006/relationships/hyperlink" Target="http://www.letras.ufmg.br/poslit/16_producao_pgs/OLIVEIRA,%20Solange.Contemporaneidade.2008.pdf" TargetMode="External"/><Relationship Id="rId42" Type="http://schemas.openxmlformats.org/officeDocument/2006/relationships/hyperlink" Target="http://es.scribd.com/doc/32440195/The-Un-speakability-of-Rape-Shakespeare-s-Lucrece-and-Lavini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w-lib.utoronto.ca/Diana/whrr/cfsearch_advanced.cfm?sister=utl&amp;page=0" TargetMode="External"/><Relationship Id="rId17" Type="http://schemas.openxmlformats.org/officeDocument/2006/relationships/hyperlink" Target="http://www.jstor.org/stable/3693510" TargetMode="External"/><Relationship Id="rId25" Type="http://schemas.openxmlformats.org/officeDocument/2006/relationships/hyperlink" Target="http://busca.unisul.br/pdf/89371_Antonio.pdf" TargetMode="External"/><Relationship Id="rId33" Type="http://schemas.openxmlformats.org/officeDocument/2006/relationships/hyperlink" Target="http://www.lume.ufrgs.br/bitstream/handle/10183/12515/000627203.pdf?sequence=1" TargetMode="External"/><Relationship Id="rId38" Type="http://schemas.openxmlformats.org/officeDocument/2006/relationships/hyperlink" Target="https://www.repository.utl.pt/bitstream/10400.5/1271/1/TESE%20DCI%202004(Ricardo%20Rodrigues).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xwell.lambda.ele.puc-rio.br/Busca_etds.php?strSecao=resultado&amp;nrSeq=16716@1%20" TargetMode="External"/><Relationship Id="rId20" Type="http://schemas.openxmlformats.org/officeDocument/2006/relationships/hyperlink" Target="http://www.didinho.org/SColombo56.pdf" TargetMode="External"/><Relationship Id="rId29" Type="http://schemas.openxmlformats.org/officeDocument/2006/relationships/hyperlink" Target="http://periodicos.ufpb.br/ojs/index.php/vj/article/download/14888/8447" TargetMode="External"/><Relationship Id="rId41" Type="http://schemas.openxmlformats.org/officeDocument/2006/relationships/hyperlink" Target="http://www.scielo.br/pdf/his/v24n1/a02v24n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ship.law.berkeley.edu/cgi/viewcontent.cgi?article=1240&amp;context=bjil" TargetMode="External"/><Relationship Id="rId24" Type="http://schemas.openxmlformats.org/officeDocument/2006/relationships/hyperlink" Target="http://www.cedep.ifch.ufrgs.br/Textos_Elet/pdf/WilliamsRR.II.pdf" TargetMode="External"/><Relationship Id="rId32" Type="http://schemas.openxmlformats.org/officeDocument/2006/relationships/hyperlink" Target="http://repositorio.bce.unb.br/bitstream/10482/7726/1/2010_IzadoraXavierMonte.pdf" TargetMode="External"/><Relationship Id="rId37" Type="http://schemas.openxmlformats.org/officeDocument/2006/relationships/hyperlink" Target="http://www.jfce.jus.br/internet/esmafe/materialDidatico/documentos/judiciarioDireitosHumanos/revistaDoNEPGED.pdf" TargetMode="External"/><Relationship Id="rId40" Type="http://schemas.openxmlformats.org/officeDocument/2006/relationships/hyperlink" Target="http://docs.rwu.edu/rwu_LR/vol12/iss1/4"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jstor.org/stable/3810511" TargetMode="External"/><Relationship Id="rId23" Type="http://schemas.openxmlformats.org/officeDocument/2006/relationships/hyperlink" Target="https://www.lume.ufrgs.br/bitstream/handle/10183/96710/000917410.pdf?sequence=1" TargetMode="External"/><Relationship Id="rId28" Type="http://schemas.openxmlformats.org/officeDocument/2006/relationships/hyperlink" Target="http://www.jstor.org/stable/2783037" TargetMode="External"/><Relationship Id="rId36" Type="http://schemas.openxmlformats.org/officeDocument/2006/relationships/hyperlink" Target="http://www.scielo.br/scielo.php?pid=S0104-83332011000200005&amp;script=sci_arttext" TargetMode="External"/><Relationship Id="rId10" Type="http://schemas.openxmlformats.org/officeDocument/2006/relationships/hyperlink" Target="http://colombiainternacional.uniandes.edu.co/indexar.php?c=Revista+No+54" TargetMode="External"/><Relationship Id="rId19" Type="http://schemas.openxmlformats.org/officeDocument/2006/relationships/hyperlink" Target="http://funag.gov.br/loja/download/931-Teoria_das_Relacoes_Internacionais.pdf" TargetMode="External"/><Relationship Id="rId31" Type="http://schemas.openxmlformats.org/officeDocument/2006/relationships/hyperlink" Target="http://www.nobelwomensinitiative.org/wp-content/archive/stories/women_new_security/CQ_Press_women_in_war.pdf" TargetMode="External"/><Relationship Id="rId44" Type="http://schemas.openxmlformats.org/officeDocument/2006/relationships/hyperlink" Target="http://www.scielo.br/scielo.php?pid=S1806-64452009000100003&amp;script=sci_arttex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holarship.law.georgetown.edu/facpub/1132" TargetMode="External"/><Relationship Id="rId22" Type="http://schemas.openxmlformats.org/officeDocument/2006/relationships/hyperlink" Target="http://www.dominiopublico.gov.br/pesquisa/DetalheObraForm.do?select_action=&amp;co_obra=6664" TargetMode="External"/><Relationship Id="rId27" Type="http://schemas.openxmlformats.org/officeDocument/2006/relationships/hyperlink" Target="http://praxis.univalle.edu.co/numeros/n16/vilma_penagos.pdf" TargetMode="External"/><Relationship Id="rId30" Type="http://schemas.openxmlformats.org/officeDocument/2006/relationships/hyperlink" Target="http://scholarship.law.duke.edu/djcil/vol15/iss2/2/%3e.%20" TargetMode="External"/><Relationship Id="rId35" Type="http://schemas.openxmlformats.org/officeDocument/2006/relationships/hyperlink" Target="http://www.jstor.org/stable/649476" TargetMode="External"/><Relationship Id="rId43" Type="http://schemas.openxmlformats.org/officeDocument/2006/relationships/hyperlink" Target="http://www.forumrio.uerj.br/documentos/revista_12/12_dossie_JuniaVilhen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aulahamad@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2A78-BA1F-4ABF-BF7A-B90EE88C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12300</Words>
  <Characters>66424</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dc:creator>
  <cp:lastModifiedBy>Caio</cp:lastModifiedBy>
  <cp:revision>2</cp:revision>
  <dcterms:created xsi:type="dcterms:W3CDTF">2015-05-26T16:23:00Z</dcterms:created>
  <dcterms:modified xsi:type="dcterms:W3CDTF">2015-05-26T16:23:00Z</dcterms:modified>
</cp:coreProperties>
</file>