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08"/>
        </w:tabs>
        <w:spacing w:after="0" w:line="360" w:lineRule="auto"/>
        <w:ind w:right="-56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 </w:t>
      </w:r>
    </w:p>
    <w:p w:rsidR="00000000" w:rsidDel="00000000" w:rsidP="00000000" w:rsidRDefault="00000000" w:rsidRPr="00000000" w14:paraId="00000002">
      <w:pPr>
        <w:tabs>
          <w:tab w:val="left" w:pos="708"/>
        </w:tabs>
        <w:spacing w:after="0" w:line="360" w:lineRule="auto"/>
        <w:ind w:right="-56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CURSO DE BACHARELADO EM DIREITO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LETÍCIA AMORIM DE LACERDA</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INSERÇÃO DO ANIMAL NÃO HUMANO NO NÚCLEO FAMILIAR DIANTE DOS PRINCÍPIOS DA SENCIÊNCIA E DA AFETIVIDADE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GRANDE-PB</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w:t>
      </w:r>
      <w:r w:rsidDel="00000000" w:rsidR="00000000" w:rsidRPr="00000000">
        <w:br w:type="page"/>
      </w:r>
      <w:r w:rsidDel="00000000" w:rsidR="00000000" w:rsidRPr="00000000">
        <w:rPr>
          <w:rtl w:val="0"/>
        </w:rPr>
      </w:r>
    </w:p>
    <w:p w:rsidR="00000000" w:rsidDel="00000000" w:rsidP="00000000" w:rsidRDefault="00000000" w:rsidRPr="00000000" w14:paraId="00000021">
      <w:pP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LETÍCIA AMORIM DE LACERDA</w:t>
      </w:r>
    </w:p>
    <w:p w:rsidR="00000000" w:rsidDel="00000000" w:rsidP="00000000" w:rsidRDefault="00000000" w:rsidRPr="00000000" w14:paraId="00000022">
      <w:pP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tabs>
          <w:tab w:val="left" w:pos="708"/>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tabs>
          <w:tab w:val="left" w:pos="708"/>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INSERÇÃO DO ANIMAL NÃO HUMANO NO NÚCLEO FAMILIAR DIANTE DOS PRINCÍPIOS DA SENCIÊNCIA E DA AFETIVIDADE</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pos="708"/>
        </w:tabs>
        <w:spacing w:after="0"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pos="708"/>
        </w:tabs>
        <w:spacing w:after="0" w:line="360" w:lineRule="auto"/>
        <w:ind w:left="453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pos="708"/>
        </w:tabs>
        <w:spacing w:after="0" w:line="360" w:lineRule="auto"/>
        <w:ind w:left="453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pos="708"/>
        </w:tabs>
        <w:spacing w:after="0" w:line="360" w:lineRule="auto"/>
        <w:ind w:left="453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708"/>
        </w:tabs>
        <w:spacing w:after="0" w:line="360" w:lineRule="auto"/>
        <w:ind w:left="4536"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708"/>
        </w:tabs>
        <w:spacing w:after="0" w:line="360" w:lineRule="auto"/>
        <w:ind w:left="453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Trabalho de Conclusão de Curso - apresentado como pré-requisito para a obtenção do título de Bacharel em Direito pela UniFacisa – Centro Universitário.</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708"/>
        </w:tabs>
        <w:spacing w:after="0" w:line="360" w:lineRule="auto"/>
        <w:ind w:left="453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Área de Concentração e Linha de Pesquisa: Direito Constitucional.</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708"/>
        </w:tabs>
        <w:spacing w:after="0" w:line="360" w:lineRule="auto"/>
        <w:ind w:left="4536"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Orientador: Prof. Antônio Pedro de Melo Netto, Ms.</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CAMPINA GRANDE</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pos="70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pos="708"/>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pos="708"/>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 inserção do animal não humano no núcleo familiar diante dos princípios da senciência e da afetividade, apresentado por Letícia Amorim de Lacerda como parte dos requisitos para obtenção do título de Bacharel em Direito, outorgado pela UniFacisa – Centro Universitário.</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EM_______/______/______</w: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Antônio Pedro de Melo Netto, Ms.</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pos="708"/>
        </w:tabs>
        <w:spacing w:after="0" w:line="240" w:lineRule="auto"/>
        <w:ind w:left="453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Membro, Titulação.</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708"/>
        </w:tabs>
        <w:spacing w:after="0" w:line="240" w:lineRule="auto"/>
        <w:ind w:left="4535" w:firstLine="0"/>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Terceiro Membro, Titulação.</w:t>
      </w:r>
      <w:r w:rsidDel="00000000" w:rsidR="00000000" w:rsidRPr="00000000">
        <w:br w:type="page"/>
      </w:r>
      <w:r w:rsidDel="00000000" w:rsidR="00000000" w:rsidRPr="00000000">
        <w:rPr>
          <w:rtl w:val="0"/>
        </w:rPr>
      </w:r>
    </w:p>
    <w:p w:rsidR="00000000" w:rsidDel="00000000" w:rsidP="00000000" w:rsidRDefault="00000000" w:rsidRPr="00000000" w14:paraId="00000082">
      <w:pPr>
        <w:tabs>
          <w:tab w:val="left" w:pos="708"/>
        </w:tabs>
        <w:spacing w:after="0" w:line="360" w:lineRule="auto"/>
        <w:jc w:val="center"/>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A INSERÇÃO DO ANIMAL NÃO HUMANO NO NÚCLEO FAMILIAR DIANTE DOS PRINCÍPIOS DA SENCIÊNCIA E DA AFETIVIDADE</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708"/>
        </w:tabs>
        <w:spacing w:before="200" w:line="360" w:lineRule="auto"/>
        <w:jc w:val="cente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pos="708"/>
        </w:tabs>
        <w:spacing w:before="200" w:line="360" w:lineRule="auto"/>
        <w:jc w:val="right"/>
        <w:rPr>
          <w:rFonts w:ascii="Times New Roman" w:cs="Times New Roman" w:eastAsia="Times New Roman" w:hAnsi="Times New Roman"/>
          <w:sz w:val="24"/>
          <w:szCs w:val="24"/>
          <w:highlight w:val="green"/>
          <w:vertAlign w:val="superscript"/>
        </w:rPr>
      </w:pPr>
      <w:r w:rsidDel="00000000" w:rsidR="00000000" w:rsidRPr="00000000">
        <w:rPr>
          <w:rFonts w:ascii="Times New Roman" w:cs="Times New Roman" w:eastAsia="Times New Roman" w:hAnsi="Times New Roman"/>
          <w:sz w:val="24"/>
          <w:szCs w:val="24"/>
          <w:rtl w:val="0"/>
        </w:rPr>
        <w:t xml:space="preserve">Letícia Amorim de </w:t>
      </w:r>
      <w:r w:rsidDel="00000000" w:rsidR="00000000" w:rsidRPr="00000000">
        <w:rPr>
          <w:rFonts w:ascii="Times New Roman" w:cs="Times New Roman" w:eastAsia="Times New Roman" w:hAnsi="Times New Roman"/>
          <w:sz w:val="24"/>
          <w:szCs w:val="24"/>
          <w:rtl w:val="0"/>
        </w:rPr>
        <w:t xml:space="preserve">Lacerda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pos="708"/>
        </w:tabs>
        <w:spacing w:before="200" w:line="360" w:lineRule="auto"/>
        <w:jc w:val="right"/>
        <w:rPr>
          <w:rFonts w:ascii="Times New Roman" w:cs="Times New Roman" w:eastAsia="Times New Roman" w:hAnsi="Times New Roman"/>
          <w:sz w:val="24"/>
          <w:szCs w:val="24"/>
          <w:highlight w:val="green"/>
          <w:vertAlign w:val="superscript"/>
        </w:rPr>
      </w:pPr>
      <w:r w:rsidDel="00000000" w:rsidR="00000000" w:rsidRPr="00000000">
        <w:rPr>
          <w:rFonts w:ascii="Times New Roman" w:cs="Times New Roman" w:eastAsia="Times New Roman" w:hAnsi="Times New Roman"/>
          <w:sz w:val="24"/>
          <w:szCs w:val="24"/>
          <w:rtl w:val="0"/>
        </w:rPr>
        <w:t xml:space="preserve">Antônio Pedro de Melo Netto</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pos="708"/>
        </w:tabs>
        <w:spacing w:before="200"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pos="708"/>
        </w:tabs>
        <w:spacing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pos="708"/>
        </w:tabs>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tratamento dos animais no ocidente consistiu historicamente na submissão destes aos interesses humanos. O antropocentrismo e o especismo marcaram as relações do homem com a natureza, sempre separando o ser humano das demais espécies, numa hierarquia que se reflete nas ciências jurídicas com a dicotomia pessoa/coisa, especialmente no Direito Civil. Entretanto, com a Constituição Federal de 1988, com o princípio da vedação à crueldade, dá-se início ao estudo do Direito Animal diante do reconhecimento da senciência de tais seres.</w:t>
      </w:r>
      <w:r w:rsidDel="00000000" w:rsidR="00000000" w:rsidRPr="00000000">
        <w:rPr>
          <w:rFonts w:ascii="Times New Roman" w:cs="Times New Roman" w:eastAsia="Times New Roman" w:hAnsi="Times New Roman"/>
          <w:sz w:val="24"/>
          <w:szCs w:val="24"/>
          <w:rtl w:val="0"/>
        </w:rPr>
        <w:t xml:space="preserve"> Outra alteração oriunda da Lei Maior foi a introdução do princípio da afetividade no Direito de Família, ao reconhecer </w:t>
      </w:r>
      <w:r w:rsidDel="00000000" w:rsidR="00000000" w:rsidRPr="00000000">
        <w:rPr>
          <w:rFonts w:ascii="Times New Roman" w:cs="Times New Roman" w:eastAsia="Times New Roman" w:hAnsi="Times New Roman"/>
          <w:sz w:val="24"/>
          <w:szCs w:val="24"/>
          <w:rtl w:val="0"/>
        </w:rPr>
        <w:t xml:space="preserve">e proteger novas modalidades de arranjos familiares sem o rigor exigido pelo Código Civil de 1916.</w:t>
      </w:r>
      <w:r w:rsidDel="00000000" w:rsidR="00000000" w:rsidRPr="00000000">
        <w:rPr>
          <w:rFonts w:ascii="Times New Roman" w:cs="Times New Roman" w:eastAsia="Times New Roman" w:hAnsi="Times New Roman"/>
          <w:sz w:val="24"/>
          <w:szCs w:val="24"/>
          <w:rtl w:val="0"/>
        </w:rPr>
        <w:t xml:space="preserve"> Assim, o presente trabalho tem por objetivo estudar a inserção do animal não humano no núcleo familiar, compondo as chamadas famílias multiespécies. Ainda, o trabalho possui como justificativa a crescente tendência de apresentação de demandas envolvendo animais no contexto do Direito de Família ao Poder Judiciário. Por meio do método exploratório, trata-se de artigo com revisão bibliográfica, que busca analisar o histórico do especismo como a base para a atribuição da natureza jurídica de coisas aos animais não humanos, além de pesquisa documental, através do estudo de propostas legislativas e decisões judiciais recentes sobre o tema. Conforme exposto no trabalho, os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são seres sencientes e possuem valor afetivo para os membros das famílias que estes integram.</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pos="708"/>
        </w:tabs>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 Animais; Direito Animal; senciência; família multiespécie; afetividade.</w:t>
      </w:r>
    </w:p>
    <w:p w:rsidR="00000000" w:rsidDel="00000000" w:rsidP="00000000" w:rsidRDefault="00000000" w:rsidRPr="00000000" w14:paraId="0000008A">
      <w:pPr>
        <w:tabs>
          <w:tab w:val="left" w:pos="708"/>
        </w:tabs>
        <w:spacing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8B">
      <w:pPr>
        <w:tabs>
          <w:tab w:val="left" w:pos="708"/>
        </w:tabs>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treatment of animals in the West has historically consisted in their submission to human interests. Anthropocentrism and speciesism marked the relationship between man and nature, always separating human beings from other species, in a hierarchy that is reflected in the legal sciences with the person/thing dichotomy, especially in Civil Law. However, with the Federal Constitution of 1988, through the principle of prohibition of cruelty, the study of Animal Law begins due to the recognition of animal sentience. Another change arising from the Constitution was the introduction of the principle of affectivity in Family Law, by recognizing and protecting new modalities of family arrangements without the rigor required by the Civil Code of 1916. Thus, the present work aims to study the insertion of the non-human animal in the family nucleus, composing the so-called multispecies families. Also, the work is justified as there is a growing tendency to present demands involving animals in the context of Family Law into Court. Through the exploratory method, it is an article with a bibliographic review, which seeks to analyze the history of speciesism as the basis for attributing the legal nature of things to non-human animals, in addition to documentary research, through the study of legislative proposals and recent court decisions on the subject. As exposed in the work, pets are sentient beings and have affective value for the members of their families.</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708"/>
        </w:tabs>
        <w:spacing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Animals; Animal Law; sentience; multispecies family; affection.</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708"/>
        </w:tabs>
        <w:spacing w:before="200" w:line="360" w:lineRule="auto"/>
        <w:jc w:val="both"/>
        <w:rPr>
          <w:rFonts w:ascii="Times New Roman" w:cs="Times New Roman" w:eastAsia="Times New Roman" w:hAnsi="Times New Roman"/>
          <w:highlight w:val="green"/>
        </w:rPr>
      </w:pPr>
      <w:r w:rsidDel="00000000" w:rsidR="00000000" w:rsidRPr="00000000">
        <w:rPr>
          <w:rFonts w:ascii="Times New Roman" w:cs="Times New Roman" w:eastAsia="Times New Roman" w:hAnsi="Times New Roman"/>
          <w:b w:val="1"/>
          <w:sz w:val="24"/>
          <w:szCs w:val="24"/>
          <w:rtl w:val="0"/>
        </w:rPr>
        <w:t xml:space="preserve">1 INTRODUÇÃO</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O Direito é, intrinsecamente, uma ciência antropocêntrica. Durante o decorrer da história, a evolução das disciplinas jurídicas teve como objetivo a tutela dos interesses do homem. Os bens dignos de serem protegidos foram delimitados para mais bem concretizar a defesa das pessoas humanas, e, nesse ínterim, não foram contempladas as necessidades das outras espécies.</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Tal histórico se reflete nas peculiaridades do hodierno direito brasileiro. Enquanto estabelecida a dignidade da pessoa humana como pilar indispensável ao ordenamento jurídico, os animais de espécies distintas não foram contemplados como sujeitos de direitos. A tutela destes, por muito tempo, permaneceu estagnada, mantidos sob a natureza jurídica de “coisa”, com pouca ou nenhuma proteção legislativa, apesar de estes seres terem, por milênios, acompanhado o desenvolvimento da humanidade.</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No entanto, cada vez mais, o homem reconhece o valor inerente da vida e dignidade dos animais, de forma que estes integram inúmeros lares brasileiros como extensão das próprias entidades familiares, levando à discussão sobre as chamadas “famílias multiespécie”.</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Tradicionalmente, o Direito de Família tinha como fundamentos preceitos como a instituição indissolúvel do casamento e o </w:t>
      </w:r>
      <w:r w:rsidDel="00000000" w:rsidR="00000000" w:rsidRPr="00000000">
        <w:rPr>
          <w:rFonts w:ascii="Times New Roman" w:cs="Times New Roman" w:eastAsia="Times New Roman" w:hAnsi="Times New Roman"/>
          <w:i w:val="1"/>
          <w:sz w:val="24"/>
          <w:szCs w:val="24"/>
          <w:rtl w:val="0"/>
        </w:rPr>
        <w:t xml:space="preserve">Pater Familias</w:t>
      </w:r>
      <w:r w:rsidDel="00000000" w:rsidR="00000000" w:rsidRPr="00000000">
        <w:rPr>
          <w:rFonts w:ascii="Times New Roman" w:cs="Times New Roman" w:eastAsia="Times New Roman" w:hAnsi="Times New Roman"/>
          <w:sz w:val="24"/>
          <w:szCs w:val="24"/>
          <w:rtl w:val="0"/>
        </w:rPr>
        <w:t xml:space="preserve">, atribuindo uma ótica patrimonializada e hierarquizada às relações familiares. O texto do Código Civil de 1916 continha diversos mecanismos que fortaleciam essa perspectiva; classificando filhos como legítimos ou ilegítimos, estabelecendo direitos e deveres distintos para homens e mulheres, além de não reconhecer como família qualquer arranjo distinto daquele formado pelo casamento heterossexual.</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outro lado, a partir da Constituição Federal de 1988, observa-se uma série de mudanças na hermenêutica do Direito de Família, com o acréscimo de novos princípios a serem seguidos na aplicação das leis. Assim, são acolhidas novas modalidades de família, tendo como principal fundamento a afetividade de seus membros. Laços de parentalidade denominados socioafetivos passaram a ser admitidos, sem a necessidade de consanguinidade para caracterizar a filiação no Direito.</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Carta Magna foi um marco, ainda, nos direitos dos animais, ao atribuir a estes a condição de seres sencientes, ou seja, capazes de sentir e processar desconfortos físicos e psíquicos, em acordo com a vedação das práticas cruéis conforme o artigo 225, inciso VII.</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animal não humano não mais é tido como um mero autômato, como na visão de Descartes, ou como apenas um instrumento para concretização de objetivos econômicos. A crueldade contra eles é uma conduta reprovada socialmente, que tem gerado, paulatinamente, mudanças nos campos do legislativo e judiciário.</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Com isso, surge o Direito Animal como novo ramo jurídico, trazendo consigo a perspectiva de proteção aos animais como criaturas sencientes. Tal disciplina tem como foco a defesa dos seres não humanos não por sua importância ecológica, mas sim garantindo tutela ao ser como indivíduo, com base na vedação à crueldade.</w:t>
      </w:r>
    </w:p>
    <w:p w:rsidR="00000000" w:rsidDel="00000000" w:rsidP="00000000" w:rsidRDefault="00000000" w:rsidRPr="00000000" w14:paraId="00000096">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a senciência animal faz com que estes sejam capazes de desenvolver laços afetivos com as pessoas, coabitando com elas como integrantes dos núcleos familiares, sendo este objeto de demandas típicas do Direito de Família, como ações de guarda e de alimentos. Apesar de notório que o dinamismo da sociedade obsta a atuação do direito na efetiva tutela dos litígios exemplificados, não se escusa a inércia diante das transformações sociais e considerações éticas contemporâneas quanto à questão animal.</w:t>
      </w:r>
    </w:p>
    <w:p w:rsidR="00000000" w:rsidDel="00000000" w:rsidP="00000000" w:rsidRDefault="00000000" w:rsidRPr="00000000" w14:paraId="00000097">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Notadamente, a gradual evolução social levou o animal não humano a assumir uma posição para além da </w:t>
      </w:r>
      <w:r w:rsidDel="00000000" w:rsidR="00000000" w:rsidRPr="00000000">
        <w:rPr>
          <w:rFonts w:ascii="Times New Roman" w:cs="Times New Roman" w:eastAsia="Times New Roman" w:hAnsi="Times New Roman"/>
          <w:i w:val="1"/>
          <w:sz w:val="24"/>
          <w:szCs w:val="24"/>
          <w:rtl w:val="0"/>
        </w:rPr>
        <w:t xml:space="preserve">res</w:t>
      </w:r>
      <w:r w:rsidDel="00000000" w:rsidR="00000000" w:rsidRPr="00000000">
        <w:rPr>
          <w:rFonts w:ascii="Times New Roman" w:cs="Times New Roman" w:eastAsia="Times New Roman" w:hAnsi="Times New Roman"/>
          <w:sz w:val="24"/>
          <w:szCs w:val="24"/>
          <w:rtl w:val="0"/>
        </w:rPr>
        <w:t xml:space="preserve">, e tal fato exige, portanto, uma resposta do direito. Assim como a família não pode ser limitada com base nas definições do Código Civil de 1916, a dicotomia pessoa/coisa que classifica os animais como bens semoventes não possui espaço no ordenamento jurídico brasileiro. </w:t>
      </w:r>
    </w:p>
    <w:p w:rsidR="00000000" w:rsidDel="00000000" w:rsidP="00000000" w:rsidRDefault="00000000" w:rsidRPr="00000000" w14:paraId="00000098">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Gradativamente, a atuação legislativa vem abordando esse novo ramo jurídico. Há uma tendência recente e progressiva no sentido da atualização da natureza jurídica dos animais não humanos, bem como de trazer mais garantias e direitos a estes, destacando como exemplo o PL nº 6.054/2019, em trâmite no Congresso Nacional, que designa aos animais natureza jurídica </w:t>
      </w:r>
      <w:r w:rsidDel="00000000" w:rsidR="00000000" w:rsidRPr="00000000">
        <w:rPr>
          <w:rFonts w:ascii="Times New Roman" w:cs="Times New Roman" w:eastAsia="Times New Roman" w:hAnsi="Times New Roman"/>
          <w:i w:val="1"/>
          <w:sz w:val="24"/>
          <w:szCs w:val="24"/>
          <w:rtl w:val="0"/>
        </w:rPr>
        <w:t xml:space="preserve">sui generis</w:t>
      </w:r>
      <w:r w:rsidDel="00000000" w:rsidR="00000000" w:rsidRPr="00000000">
        <w:rPr>
          <w:rFonts w:ascii="Times New Roman" w:cs="Times New Roman" w:eastAsia="Times New Roman" w:hAnsi="Times New Roman"/>
          <w:sz w:val="24"/>
          <w:szCs w:val="24"/>
          <w:rtl w:val="0"/>
        </w:rPr>
        <w:t xml:space="preserve">, efetivamente “descoisificando-os”, assim como lhes prevê tutela jurisdicional em caso de violação de seus direitos despersonificados.</w:t>
      </w:r>
    </w:p>
    <w:p w:rsidR="00000000" w:rsidDel="00000000" w:rsidP="00000000" w:rsidRDefault="00000000" w:rsidRPr="00000000" w14:paraId="00000099">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 xml:space="preserve">Dessa forma, a presente pesquisa contemplará a referida proposta legislativa, bem como o seguinte questionamento: diante do reconhecimento da senciência e do princípio da afetividade, há diferença na natureza jurídica atribuída aos animais não humanos, atualmente inseridos nos núcleos familiares?</w:t>
      </w:r>
    </w:p>
    <w:p w:rsidR="00000000" w:rsidDel="00000000" w:rsidP="00000000" w:rsidRDefault="00000000" w:rsidRPr="00000000" w14:paraId="0000009A">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discussão sobre os animais como sujeitos de direitos integrantes das famílias é de extrema relevância para a ciência do direito, havendo, além de projetos de lei sobre o tema, debate doutrinário e jurisprudencial.</w:t>
      </w:r>
    </w:p>
    <w:p w:rsidR="00000000" w:rsidDel="00000000" w:rsidP="00000000" w:rsidRDefault="00000000" w:rsidRPr="00000000" w14:paraId="0000009B">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Sendo assim, diante da série de problemáticas envolvendo o campo do Direito Animal e a contemporaneidade de seu surgimento, bem como as mudanças no Direito de Família sob a óptica constitucionalista e do princípio da afetividade, é importante aprofundar o conhecimento acerca da tutela jurídica dos animais não humanos, haja vista as alterações sociais que ensejam a proteção destes como seres sencientes e a tendência legislativa e jurisprudencial pela garantia de seus direitos.</w:t>
      </w:r>
    </w:p>
    <w:p w:rsidR="00000000" w:rsidDel="00000000" w:rsidP="00000000" w:rsidRDefault="00000000" w:rsidRPr="00000000" w14:paraId="0000009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CONSTRUÇÃO HISTÓRICA DO ESPECISMO NO OCIDENTE</w:t>
      </w:r>
    </w:p>
    <w:p w:rsidR="00000000" w:rsidDel="00000000" w:rsidP="00000000" w:rsidRDefault="00000000" w:rsidRPr="00000000" w14:paraId="0000009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para estudar o panorama atual da natureza jurídica dos animais no Brasil, é necessário analisar o contexto histórico do desenvolvimento da civilização, o papel que o ser humano atribuiu às demais espécies e como a humanidade buscou justificar o próprio domínio sobre elas.</w:t>
      </w:r>
    </w:p>
    <w:p w:rsidR="00000000" w:rsidDel="00000000" w:rsidP="00000000" w:rsidRDefault="00000000" w:rsidRPr="00000000" w14:paraId="0000009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definição de Peter Singer (2010, p. 11), o especismo é “o preconceito ou a atitude tendenciosa de alguém a favor dos interesses de membros da própria espécie, contra os de outras”. De acordo com o autor, a posição de subjugação do animal não humano foi estabelecida após séculos de filosofia antropocêntrica.</w:t>
      </w:r>
    </w:p>
    <w:p w:rsidR="00000000" w:rsidDel="00000000" w:rsidP="00000000" w:rsidRDefault="00000000" w:rsidRPr="00000000" w14:paraId="0000009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mesmo sentido, no emblemático julgamento da Ação Direta de Inconstitucionalidade nº 4.983, o Ministro Luís Roberto Barroso expôs em seu voto: “A história da relação entre homens e animais no ocidente é inegavelmente marcada pela dominação, controle e exploração” (BRASIL, 2016).</w:t>
      </w:r>
    </w:p>
    <w:p w:rsidR="00000000" w:rsidDel="00000000" w:rsidP="00000000" w:rsidRDefault="00000000" w:rsidRPr="00000000" w14:paraId="000000A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fundamentação do Ministro é precisa ao especificar a sociedade ocidental, uma vez que é nela onde o especismo pode ser identificado com clareza, tendo como principais fatores o humanismo da Grécia Antiga e as religiões abraâmicas. Nessa esteira:</w:t>
      </w:r>
    </w:p>
    <w:p w:rsidR="00000000" w:rsidDel="00000000" w:rsidP="00000000" w:rsidRDefault="00000000" w:rsidRPr="00000000" w14:paraId="000000A1">
      <w:pPr>
        <w:spacing w:line="240" w:lineRule="auto"/>
        <w:ind w:left="22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O homem é fruto do comportamento do meio e das ideias em que vive, e sua representação linguística não o retira de um conjunto de realidades relativas, eis que a própria noção de direito e de dignidade não possui correspondência precisa em todas as culturas humanísticas. O Contrato Social ocidental usado de modelo para questionar os paradoxos da humanização do mundo, fixado no antropocentrismo eurocêntrico, desconsidera todos os interesses dos povos tradicionais, dos não humanos, e das populações orientais (WOLF, 2019, p. 30).</w:t>
      </w:r>
      <w:r w:rsidDel="00000000" w:rsidR="00000000" w:rsidRPr="00000000">
        <w:rPr>
          <w:rtl w:val="0"/>
        </w:rPr>
      </w:r>
    </w:p>
    <w:p w:rsidR="00000000" w:rsidDel="00000000" w:rsidP="00000000" w:rsidRDefault="00000000" w:rsidRPr="00000000" w14:paraId="000000A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necessário, então, traçar o histórico do especismo, desde suas raízes na Antiguidade.</w:t>
      </w:r>
    </w:p>
    <w:p w:rsidR="00000000" w:rsidDel="00000000" w:rsidP="00000000" w:rsidRDefault="00000000" w:rsidRPr="00000000" w14:paraId="000000A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Houve uma multiplicidade de filósofos que expressaram claros ideais de soberania humana em relação aos demais animais. O humanismo socrático, segundo Silva (2021, p. 53), estabeleceu a ideia de que o homem seria não apenas o ponto de partida, como também de chegada para todas as coisas, diante da possibilidade de raciocínio complexo, conforme expõe:</w:t>
      </w:r>
    </w:p>
    <w:p w:rsidR="00000000" w:rsidDel="00000000" w:rsidP="00000000" w:rsidRDefault="00000000" w:rsidRPr="00000000" w14:paraId="000000A4">
      <w:pPr>
        <w:spacing w:line="24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Para os gregos, o aspecto diferenciador entre homens e animais era a possibilidade de o homem desenvolver pensamento lógico, valendo-se de linguagem própria, bem como a capacidade de raciocinar, sendo, segundo eles, essa razão da posição de superioridade que deveriam ocupar em relação aos animais (SILVA, 2021, p. 51).</w:t>
      </w:r>
      <w:r w:rsidDel="00000000" w:rsidR="00000000" w:rsidRPr="00000000">
        <w:rPr>
          <w:rtl w:val="0"/>
        </w:rPr>
      </w:r>
    </w:p>
    <w:p w:rsidR="00000000" w:rsidDel="00000000" w:rsidP="00000000" w:rsidRDefault="00000000" w:rsidRPr="00000000" w14:paraId="000000A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além disso, cabe citar a visão de Aristóteles. Este pensador, apesar de não estabelecer amplas distinções entre os seres vivos, enxergava como natural o domínio do homem (DIAS, 2020, p. 32). O filósofo não negava a sensibilidade destes, excluindo apenas a capacidade de raciocinar e discursar, elemento que justificaria a soberania humana. Assim, todas as formas de vida que não integrassem a espécie humana existiam em função desta, diante do grau de racionalidade como critério de distinção.</w:t>
      </w:r>
    </w:p>
    <w:p w:rsidR="00000000" w:rsidDel="00000000" w:rsidP="00000000" w:rsidRDefault="00000000" w:rsidRPr="00000000" w14:paraId="000000A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esse entendimento, a razão e o raciocínio humanos dão origem simultaneamente ao especismo e ao antropocentrismo. Segundo Titan (2021, p. 26), o segundo conceito estabelece o ser humano como foco, como o centro do universo, “pois todo e qualquer propósito que não seja do ser humano fica em posição de inferioridade”.</w:t>
      </w:r>
    </w:p>
    <w:p w:rsidR="00000000" w:rsidDel="00000000" w:rsidP="00000000" w:rsidRDefault="00000000" w:rsidRPr="00000000" w14:paraId="000000A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pensamento antropocêntrico perdura para além da filosofia na Antiguidade. No Império Romano foi estabelecida a dicotomia entre pessoa e coisa, de forma que:</w:t>
      </w:r>
    </w:p>
    <w:p w:rsidR="00000000" w:rsidDel="00000000" w:rsidP="00000000" w:rsidRDefault="00000000" w:rsidRPr="00000000" w14:paraId="000000A8">
      <w:pPr>
        <w:spacing w:line="24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 origem da dicotomia entre pessoa e coisa é atribuída a Gaio, jurisconsulto romano do século II. De acordo com o seu pensamento, a pessoa era um ente capaz de portar direitos subjetivos e coisa (res) era tão somente um ente subordinado aos direitos subjetivos das pessoas (objeto de um direito/integrante do patrimônio). Nesta catalogação, mulheres, escravos e deficientes mentais já foram em certa época considerados coisas, mas os animais sempre se encaixaram como coisas, objetos de direitos subjetivos patrimoniais e suscetíveis de apropriação pelo homem/pessoa, constituindo, por consequência, uma realidade econômica autônoma, situada no âmbito do direito de propriedade (GONÇALVES, 2020, p. 10).</w:t>
      </w:r>
      <w:r w:rsidDel="00000000" w:rsidR="00000000" w:rsidRPr="00000000">
        <w:rPr>
          <w:rtl w:val="0"/>
        </w:rPr>
      </w:r>
    </w:p>
    <w:p w:rsidR="00000000" w:rsidDel="00000000" w:rsidP="00000000" w:rsidRDefault="00000000" w:rsidRPr="00000000" w14:paraId="000000A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Gonçalves (2020, p. 11) pontua, ainda, que o animal como coisa possuía proteção apenas quanto às garantias de seu dono. Na posição de bens, ainda que semoventes, eles eram objeto do Direito unicamente sob a condição de propriedade, jamais sujeitos titulares de direito próprio.</w:t>
      </w:r>
    </w:p>
    <w:p w:rsidR="00000000" w:rsidDel="00000000" w:rsidP="00000000" w:rsidRDefault="00000000" w:rsidRPr="00000000" w14:paraId="000000A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posição de dominação dos animais no Império Romano é evidenciada também quando da análise dos espetáculos públicos realizados no Coliseu, conforme aponta:</w:t>
      </w:r>
    </w:p>
    <w:p w:rsidR="00000000" w:rsidDel="00000000" w:rsidP="00000000" w:rsidRDefault="00000000" w:rsidRPr="00000000" w14:paraId="000000AB">
      <w:pPr>
        <w:spacing w:line="24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Recorde-se que, nesta época, desenvolveu-se mais fortemente o uso de animais e escravos para o entretenimento, através dos jogos que eram realizados no Coliseu, com a imposição de intenso sofrimento como forma de demonstração de força e subjugação. Nessas antigas práticas encontra-se a origem dos circos, zoológicos, rodeios e outras atividades que ainda remanescem na sociedade atual e que representam formas de opressão contra os mais fracos (GONÇALVES, 2020, p. 12).</w:t>
      </w:r>
      <w:r w:rsidDel="00000000" w:rsidR="00000000" w:rsidRPr="00000000">
        <w:rPr>
          <w:rtl w:val="0"/>
        </w:rPr>
      </w:r>
    </w:p>
    <w:p w:rsidR="00000000" w:rsidDel="00000000" w:rsidP="00000000" w:rsidRDefault="00000000" w:rsidRPr="00000000" w14:paraId="000000A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Singer (2010, p. 279), com a expansão do cristianismo no Império Romano, os combates entre gladiadores foram extintos por volta do final do século IV. No entanto, a exploração dos animais selvagens perdurou, uma vez que apenas a vida humana era valorada nesse contexto.</w:t>
      </w:r>
    </w:p>
    <w:p w:rsidR="00000000" w:rsidDel="00000000" w:rsidP="00000000" w:rsidRDefault="00000000" w:rsidRPr="00000000" w14:paraId="000000A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mencionado, deve ser destacado o papel da religião na solidificação da soberania humana em detrimento dos demais seres vivos. Nesse sentido:</w:t>
      </w:r>
    </w:p>
    <w:p w:rsidR="00000000" w:rsidDel="00000000" w:rsidP="00000000" w:rsidRDefault="00000000" w:rsidRPr="00000000" w14:paraId="000000AE">
      <w:pPr>
        <w:spacing w:line="24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Outras religiões, sobretudo as do Oriente, ensinam que toda a vida é sagrada; e muitas consideram errado matar membros do próprio grupo social, religioso ou étnico. Mas o cristianismo propagou a ideia de que a vida humana - e tão somente a vida humana - é sagrada (SINGER, 2010, p. 278).</w:t>
      </w:r>
      <w:r w:rsidDel="00000000" w:rsidR="00000000" w:rsidRPr="00000000">
        <w:rPr>
          <w:rtl w:val="0"/>
        </w:rPr>
      </w:r>
    </w:p>
    <w:p w:rsidR="00000000" w:rsidDel="00000000" w:rsidP="00000000" w:rsidRDefault="00000000" w:rsidRPr="00000000" w14:paraId="000000A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ao estabelecer o ser humano como a própria imagem e semelhança de Deus, e afirmar que todas as plantas e todos os animais estão sob o domínio deste, as religiões abraâmicas solidificaram a supremacia da espécie humana no ocidente pelos séculos consecutivos.</w:t>
      </w:r>
    </w:p>
    <w:p w:rsidR="00000000" w:rsidDel="00000000" w:rsidP="00000000" w:rsidRDefault="00000000" w:rsidRPr="00000000" w14:paraId="000000B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entendimento é, notadamente, reforçado nos textos de Santo Agostinho, que não contemplava a ação de matar um animal como pecado diante do desígnio divino do homem como guardião e dominador de todas as espécies. No mesmo sentido, São Tomás de Aquino concordava com a respectiva hierarquia, combatendo a crueldade contra animais apenas porque esta poderia levar à crueldade contra os humanos (SILVA, 2021, p. 59).</w:t>
      </w:r>
    </w:p>
    <w:p w:rsidR="00000000" w:rsidDel="00000000" w:rsidP="00000000" w:rsidRDefault="00000000" w:rsidRPr="00000000" w14:paraId="000000B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é possível compreender a construção do especismo no ocidente diante do papel atribuído aos humanos e não humanos através da filosofia grega e da predominância das religiões abraâmicas ao longo dos séculos.</w:t>
      </w:r>
    </w:p>
    <w:p w:rsidR="00000000" w:rsidDel="00000000" w:rsidP="00000000" w:rsidRDefault="00000000" w:rsidRPr="00000000" w14:paraId="000000B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na modernidade, a hierarquia anteriormente estabelecida passou a ser justificada não por um direito atribuído ao homem por uma divindade semelhante a ele, mas, como na Grécia Antiga, pela capacidade de raciocínio.</w:t>
      </w:r>
    </w:p>
    <w:p w:rsidR="00000000" w:rsidDel="00000000" w:rsidP="00000000" w:rsidRDefault="00000000" w:rsidRPr="00000000" w14:paraId="000000B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pensamento de René Descartes, ainda um fruto das doutrinas cristãs, defendia uma teoria mecanicista do universo “onde a mente era algo separado do universo físico que ligava os seres humanos à consciência de Deus” (SILVA, 2021, p. 58). A posição dos demais animais, no entanto, era muito distinta, de forma que o filósofo francês negou até mesmo a possibilidade que estes sentissem prazer ou sofrimento.</w:t>
      </w:r>
    </w:p>
    <w:p w:rsidR="00000000" w:rsidDel="00000000" w:rsidP="00000000" w:rsidRDefault="00000000" w:rsidRPr="00000000" w14:paraId="000000B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aduzem Diotto e Disconzi (2021, p. 227), as semelhanças fisiológicas entre humanos e animais não bastavam para aproximá-los, em termos de capacidade de sentimento. Apenas o homem teria consciência de seus comportamentos e ações, sendo os animais meros autômatos, mais próximos das máquinas do que das pessoas propriamente ditas.</w:t>
      </w:r>
    </w:p>
    <w:p w:rsidR="00000000" w:rsidDel="00000000" w:rsidP="00000000" w:rsidRDefault="00000000" w:rsidRPr="00000000" w14:paraId="000000B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a condição cartesiana de racionalidade do ser humano serviu como fundamento para distingui-lo dos animais, de forma que seria justificado colocar os interesses do homem sobrepostos aos dos demais. Com essa distinção, “Descartes abriu caminho para a separação entre ser humano e Natureza que até hoje marca a abordagem científica em quase todas as áreas do conhecimento” (SARLET; FENSTERSEIFER, 2017, p. 27).</w:t>
      </w:r>
    </w:p>
    <w:p w:rsidR="00000000" w:rsidDel="00000000" w:rsidP="00000000" w:rsidRDefault="00000000" w:rsidRPr="00000000" w14:paraId="000000B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superioridade humana persiste com o Imperativo Categórico kantiano, não por este filósofo discordar da capacidade sensitiva deles, mas por associar a moralidade como algo inerente apenas aos seres racionais, de forma que a felicidade “constitui por si só o bem supremo de um mundo para o interior do qual temos de nos transferir inteiramente conforme as prescrições da razão pura” (KANT, 2020, p. 579). Segundo este entendimento, o ser pensante é merecedor da felicidade em virtude da própria condição racional.</w:t>
      </w:r>
    </w:p>
    <w:p w:rsidR="00000000" w:rsidDel="00000000" w:rsidP="00000000" w:rsidRDefault="00000000" w:rsidRPr="00000000" w14:paraId="000000B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o processo de construção do especismo desde a Antiguidade influencia no modo como o homem se relaciona com os demais seres vivos, contribuindo para as ciências de forma antropocêntrica, como segue:</w:t>
      </w:r>
    </w:p>
    <w:p w:rsidR="00000000" w:rsidDel="00000000" w:rsidP="00000000" w:rsidRDefault="00000000" w:rsidRPr="00000000" w14:paraId="000000B8">
      <w:pPr>
        <w:spacing w:line="24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Ocorre que foi o foco na figura do homem, pelo viés da racionalidade da modernidade, que o separou da natureza, guiando a categoria cultural humana à um padrão imperativo de conhecimento sistematizado pelo pensamento lógico, racional e de superioridade às demais espécies existentes no mundo. Do liberalismo colonial à emancipação das culturas subjugadas, o eixo central dos ordenamentos sociais, políticos e jurídicos sempre foi a pessoa humana (WOLF, 2019, p. 14).</w:t>
      </w:r>
      <w:r w:rsidDel="00000000" w:rsidR="00000000" w:rsidRPr="00000000">
        <w:rPr>
          <w:rtl w:val="0"/>
        </w:rPr>
      </w:r>
    </w:p>
    <w:p w:rsidR="00000000" w:rsidDel="00000000" w:rsidP="00000000" w:rsidRDefault="00000000" w:rsidRPr="00000000" w14:paraId="000000B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em virtude dos fatores expostos, os animais no ocidente mantiveram por séculos a natureza jurídica de coisa, fato que se reflete ainda na realidade do direito brasileiro hodierno.</w:t>
      </w:r>
    </w:p>
    <w:p w:rsidR="00000000" w:rsidDel="00000000" w:rsidP="00000000" w:rsidRDefault="00000000" w:rsidRPr="00000000" w14:paraId="000000B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Apenas com a ascensão do utilitarismo, a sensibilidade como critério de consideração passa a ser reconhecida com maior visibilidade. Em </w:t>
      </w:r>
      <w:r w:rsidDel="00000000" w:rsidR="00000000" w:rsidRPr="00000000">
        <w:rPr>
          <w:rFonts w:ascii="Times New Roman" w:cs="Times New Roman" w:eastAsia="Times New Roman" w:hAnsi="Times New Roman"/>
          <w:i w:val="1"/>
          <w:sz w:val="24"/>
          <w:szCs w:val="24"/>
          <w:rtl w:val="0"/>
        </w:rPr>
        <w:t xml:space="preserve">An Introduction to the Principles of Morals and Legislation</w:t>
      </w:r>
      <w:r w:rsidDel="00000000" w:rsidR="00000000" w:rsidRPr="00000000">
        <w:rPr>
          <w:rFonts w:ascii="Times New Roman" w:cs="Times New Roman" w:eastAsia="Times New Roman" w:hAnsi="Times New Roman"/>
          <w:sz w:val="24"/>
          <w:szCs w:val="24"/>
          <w:rtl w:val="0"/>
        </w:rPr>
        <w:t xml:space="preserve">, publicada pela primeira vez em 1798, o jurista Jeremy Bentham (2010) disserta sobre a necessidade de serem protegidos os interesses de todos aqueles que podem sentir prazer ou sofrimento, e isso inclui espécies para além da humana.</w:t>
      </w:r>
    </w:p>
    <w:p w:rsidR="00000000" w:rsidDel="00000000" w:rsidP="00000000" w:rsidRDefault="00000000" w:rsidRPr="00000000" w14:paraId="000000B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Bentham (2010) não se opor por completo à instrumentalização animal defendida pelos autores supracitados, a sensibilidade destes é posta em evidência como fundamento para evitar a crueldade desnecessária praticada pelo homem.</w:t>
      </w:r>
    </w:p>
    <w:p w:rsidR="00000000" w:rsidDel="00000000" w:rsidP="00000000" w:rsidRDefault="00000000" w:rsidRPr="00000000" w14:paraId="000000B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Até a modernidade, restou pouco, se algum, espaço para tratar da proteção aos animais. No campo da filosofia ou no direito, restou reforçada sobre estes a posição de objeto sobre o qual recai o direito, em vez de sujeito titular de direitos restou sedimentada. Com poucos pensadores anteriores ao século XIX que ousaram considerar o bem-estar dos seres não humanos como algo digno de ser defendido, os não humanos foram objeto de consideração das ciências jurídicas apenas como propriedade de seus donos, consoante a dicotomia pessoa/coisa originada no Direito Romano.</w:t>
      </w:r>
    </w:p>
    <w:p w:rsidR="00000000" w:rsidDel="00000000" w:rsidP="00000000" w:rsidRDefault="00000000" w:rsidRPr="00000000" w14:paraId="000000B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o Brasil um país de colonização portuguesa, herdou o sistema jurídico de </w:t>
      </w:r>
      <w:r w:rsidDel="00000000" w:rsidR="00000000" w:rsidRPr="00000000">
        <w:rPr>
          <w:rFonts w:ascii="Times New Roman" w:cs="Times New Roman" w:eastAsia="Times New Roman" w:hAnsi="Times New Roman"/>
          <w:i w:val="1"/>
          <w:sz w:val="24"/>
          <w:szCs w:val="24"/>
          <w:rtl w:val="0"/>
        </w:rPr>
        <w:t xml:space="preserve">civil law</w:t>
      </w:r>
      <w:r w:rsidDel="00000000" w:rsidR="00000000" w:rsidRPr="00000000">
        <w:rPr>
          <w:rFonts w:ascii="Times New Roman" w:cs="Times New Roman" w:eastAsia="Times New Roman" w:hAnsi="Times New Roman"/>
          <w:sz w:val="24"/>
          <w:szCs w:val="24"/>
          <w:rtl w:val="0"/>
        </w:rPr>
        <w:t xml:space="preserve">, bem como o tratamento e tutela para com os animais não humanos que este trouxe consigo.</w:t>
      </w:r>
    </w:p>
    <w:p w:rsidR="00000000" w:rsidDel="00000000" w:rsidP="00000000" w:rsidRDefault="00000000" w:rsidRPr="00000000" w14:paraId="000000B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A PROTEÇÃO AOS ANIMAIS NO ORDENAMENTO JURÍDICO BRASILEIRO CONTEMPORÂNEO</w:t>
      </w:r>
    </w:p>
    <w:p w:rsidR="00000000" w:rsidDel="00000000" w:rsidP="00000000" w:rsidRDefault="00000000" w:rsidRPr="00000000" w14:paraId="000000B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presente subtópico, será analisada a base principiológica trazida pela Constituição Federal para o estabelecimento de uma disciplina autônoma para a expansão do conhecimento acerca dos direitos dos não humanos, denominada pela doutrina especializada como Direito Animal. Além disso, será estudado como a Lei Maior solidificou a proteção aos animais no ordenamento jurídico do Brasil após 1988.</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 AUTONOMIA DO DIREITO ANIMAL EM FACE DO DIREITO AMBIENTAL</w:t>
      </w:r>
    </w:p>
    <w:p w:rsidR="00000000" w:rsidDel="00000000" w:rsidP="00000000" w:rsidRDefault="00000000" w:rsidRPr="00000000" w14:paraId="000000C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existir legislação anterior que trouxesse a tutela jurídica dos animais, o marco inicial para o Direito Animal no Brasil foi o art. 225, §1º, VII da Constituição Federal. A redação do dispositivo traz, como atribuição do poder público, “proteger a fauna e a flora, vedadas, na forma da lei, as práticas que coloquem em risco sua função ecológica, provoquem a extinção de espécies ou submetam os animais a crueldade" (BRASIL, 1988).</w:t>
      </w:r>
    </w:p>
    <w:p w:rsidR="00000000" w:rsidDel="00000000" w:rsidP="00000000" w:rsidRDefault="00000000" w:rsidRPr="00000000" w14:paraId="000000C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fauna representa todo o conjunto de animais que existe em determinada extensão territorial, podendo ser classificada como silvestre ou doméstica, sendo a primeira constituída por quaisquer espécies que vivem naturalmente fora do cativeiro, nos termos da Lei nº 5.197/67 (BRASIL, 1967). A segunda classe é composta por aquelas que, “através dos tempos, por força do manejo ou da convivência tornaram-se próximas do homem, possuindo características comportamentais de estrita dependência do mesmo”, nas palavras de Curt Trennepohl (</w:t>
      </w:r>
      <w:r w:rsidDel="00000000" w:rsidR="00000000" w:rsidRPr="00000000">
        <w:rPr>
          <w:rFonts w:ascii="Times New Roman" w:cs="Times New Roman" w:eastAsia="Times New Roman" w:hAnsi="Times New Roman"/>
          <w:i w:val="1"/>
          <w:sz w:val="24"/>
          <w:szCs w:val="24"/>
          <w:rtl w:val="0"/>
        </w:rPr>
        <w:t xml:space="preserve">apud </w:t>
      </w:r>
      <w:r w:rsidDel="00000000" w:rsidR="00000000" w:rsidRPr="00000000">
        <w:rPr>
          <w:rFonts w:ascii="Times New Roman" w:cs="Times New Roman" w:eastAsia="Times New Roman" w:hAnsi="Times New Roman"/>
          <w:sz w:val="24"/>
          <w:szCs w:val="24"/>
          <w:rtl w:val="0"/>
        </w:rPr>
        <w:t xml:space="preserve">GRANZIERA, 2014).</w:t>
      </w:r>
    </w:p>
    <w:p w:rsidR="00000000" w:rsidDel="00000000" w:rsidP="00000000" w:rsidRDefault="00000000" w:rsidRPr="00000000" w14:paraId="000000C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Destaca-se, então, que toda a fauna, independentemente de sua relação para com o homem, está sob tutela constitucional. No entanto, o sentido que se atribui ao animal é o fator determinante no campo jurídico a ser aplicado. Isso se identifica da seguinte forma:</w:t>
      </w:r>
    </w:p>
    <w:p w:rsidR="00000000" w:rsidDel="00000000" w:rsidP="00000000" w:rsidRDefault="00000000" w:rsidRPr="00000000" w14:paraId="000000C4">
      <w:pPr>
        <w:spacing w:line="240" w:lineRule="auto"/>
        <w:ind w:left="22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Assim, conforme a explícita dicotomia constitucional, quando o animal não-humano é considerado fauna, relevante pela sua função ecológica, como espécie, é objeto das considerações do Direito Ambiental. Por outro lado, quando o animal não-humano é relevante enquanto indivíduo senciente, portador de valor intrínseco e dignidade própria, é objeto das considerações do Direito Animal (ATAIDE JUNIOR, 2018).</w:t>
      </w:r>
      <w:r w:rsidDel="00000000" w:rsidR="00000000" w:rsidRPr="00000000">
        <w:rPr>
          <w:rtl w:val="0"/>
        </w:rPr>
      </w:r>
    </w:p>
    <w:p w:rsidR="00000000" w:rsidDel="00000000" w:rsidP="00000000" w:rsidRDefault="00000000" w:rsidRPr="00000000" w14:paraId="000000C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essa perspectiva, tem-se que o Direito Animal foca na individualidade do ser não humano, visando protegê-lo de práticas cruéis, sem que haja necessariamente ameaça ao ecossistema ou à coletividade da espécie. O cerne animalista, portanto, é a senciência, definida por Pires e Silva (2021) como a “capacidade de sentir e estar consciente de si próprio, que os animais, de forma biológica, possuem”.</w:t>
      </w:r>
    </w:p>
    <w:p w:rsidR="00000000" w:rsidDel="00000000" w:rsidP="00000000" w:rsidRDefault="00000000" w:rsidRPr="00000000" w14:paraId="000000C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senciência foi tema da Declaração de Cambridge de 2012, proclamada por neurocientistas e outros profissionais após séries de estudos acerca do sistema nervoso de humanos e de animais não humanos, nos quais se constatou que os substratos neurológicos associados à consciência não estão presentes apenas nos seres humanos (LOW, 2012).</w:t>
      </w:r>
    </w:p>
    <w:p w:rsidR="00000000" w:rsidDel="00000000" w:rsidP="00000000" w:rsidRDefault="00000000" w:rsidRPr="00000000" w14:paraId="000000C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proibição das práticas que submetem os animais à crueldade é interligada diretamente com o conceito de senciência. Se um ser é capaz de sentir dores, desconfortos, e outros sofrimentos assim como o homem, então é necessário que o direito tome medidas para preservar a integridade, dignidade e interesses deste. Sendo indiferente a função ecológica do animal não humano ao Direito Animal, o sujeito é protegido em sua condição como indivíduo.</w:t>
      </w:r>
    </w:p>
    <w:p w:rsidR="00000000" w:rsidDel="00000000" w:rsidP="00000000" w:rsidRDefault="00000000" w:rsidRPr="00000000" w14:paraId="000000C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 visão utilitarista de Bentham (2010) é perceptivelmente refletida no estudo da proteção animal conferida pela legislação brasileira hodierna. Parafraseando o autor, o importante não é compreender se eles podem pensar ou falar, mas sim se eles podem sofrer. No sentido contrário ao pensamento cartesiano, a conclusão científica é que a sensibilidade ou a senciência não é exclusiva à espécie humana.</w:t>
      </w:r>
    </w:p>
    <w:p w:rsidR="00000000" w:rsidDel="00000000" w:rsidP="00000000" w:rsidRDefault="00000000" w:rsidRPr="00000000" w14:paraId="000000C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acrescentar que a doutrina especializada, pelo menos até o momento, não estabeleceu um consenso quanto à denominação mais apropriada para o estudo acadêmico da matéria que regula os direitos dos animais. Ataide Junior (2018) expressa preferência ao termo Direito Animal, em detrimento de “Direito dos Animais” e “Direito Animalista”, em virtude da expressão se adaptar ao padrão das demais disciplinas jurídicas, usando como exemplo o Direito Ambiental e o Direito Penal.</w:t>
      </w:r>
    </w:p>
    <w:p w:rsidR="00000000" w:rsidDel="00000000" w:rsidP="00000000" w:rsidRDefault="00000000" w:rsidRPr="00000000" w14:paraId="000000C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observa-se que a autonomia do campo jurídico não impede que este beba das mesmas fontes que outros, ou mesmo que compartilhe de princípios comuns. Os artigos que fundamentam a tutela jurídica dos animais fazem parte, muitas vezes, de leis ambientalistas, como no caso do art. 32 da Lei nº 9.605/98, denominada “Lei de Crimes Ambientais”, que traz o crime de maus-tratos contra animais, quer silvestres ou domesticados (BRASIL, 1998).</w:t>
      </w:r>
    </w:p>
    <w:p w:rsidR="00000000" w:rsidDel="00000000" w:rsidP="00000000" w:rsidRDefault="00000000" w:rsidRPr="00000000" w14:paraId="000000C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fato, apesar de constituírem duas disciplinas separadas, ambas visam a tutela jurídica dos animais não humanos, devendo atentar para as circunstâncias do caso em concreto. Os maus-tratos contra, por exemplo, um gato doméstico, não possuem a mesma relevância ao ecossistema que a caça de uma onça-pintada. No entanto, por ambos serem criaturas sencientes, dotadas de afetividades e capacidade de sofrimento, merecem tutela. No mesmo sentido:</w:t>
      </w:r>
    </w:p>
    <w:p w:rsidR="00000000" w:rsidDel="00000000" w:rsidP="00000000" w:rsidRDefault="00000000" w:rsidRPr="00000000" w14:paraId="000000CC">
      <w:pPr>
        <w:spacing w:line="240" w:lineRule="auto"/>
        <w:ind w:left="22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Note-se que no caso dos animais, a vedação de tratamento cruel implica, ao fim e ao cabo, o reconhecimento de sua condição (pelo menos em determinado sentido) não meramente instrumental, ou seja, não meramente funcionalizada, já que práticas cruéis por si sós nem sempre levam (se não levarem à extinção de espécies ou ao desequilíbrio quanto ao número de animais) a um impacto ambiental (SARLET; MARINONI; MITIDIERO, 2022).</w:t>
      </w:r>
      <w:r w:rsidDel="00000000" w:rsidR="00000000" w:rsidRPr="00000000">
        <w:rPr>
          <w:rtl w:val="0"/>
        </w:rPr>
      </w:r>
    </w:p>
    <w:p w:rsidR="00000000" w:rsidDel="00000000" w:rsidP="00000000" w:rsidRDefault="00000000" w:rsidRPr="00000000" w14:paraId="000000C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ordenamento jurídico brasileiro reconhece que a proteção à fauna não se dá exclusivamente pelo direito antropocêntrico de um meio ambiente ecologicamente equilibrado, mas também pela dignidade inerente aos indivíduos que compõem as espécies animais.</w:t>
      </w:r>
    </w:p>
    <w:p w:rsidR="00000000" w:rsidDel="00000000" w:rsidP="00000000" w:rsidRDefault="00000000" w:rsidRPr="00000000" w14:paraId="000000C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Tem-se, então, na Constituição, a designação da tutela de um novo bem jurídico, qual seja, o bem-estar dos animais diante do reconhecimento da senciência.</w:t>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O PRINCÍPIO DA VEDAÇÃO À CRUELDADE E A NATUREZA JURÍDICA DO ANIMAL NÃO HUMANO</w:t>
      </w:r>
    </w:p>
    <w:p w:rsidR="00000000" w:rsidDel="00000000" w:rsidP="00000000" w:rsidRDefault="00000000" w:rsidRPr="00000000" w14:paraId="000000D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tratado anteriormente, a verdadeira solidificação dos direitos dos animais se dá a partir da inclusão do princípio da vedação da crueldade à Constituição Federal. O inciso VII do artigo 225, §1º, ao proteger os animais de práticas cruéis, reconhece não apenas a capacidade que estes têm de sofrer, mas também o direito deles de não serem submetidos a tal sofrimento (BRASIL, 1988).</w:t>
      </w:r>
    </w:p>
    <w:p w:rsidR="00000000" w:rsidDel="00000000" w:rsidP="00000000" w:rsidRDefault="00000000" w:rsidRPr="00000000" w14:paraId="000000D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o tema, há múltiplas correntes relativas aos direitos dos animais no campo da filosofia, com duas destas possuindo maior destaque na doutrina. Uma delas é o bem-estarismo, segundo Peter Singer (2010), que versa sobre o especismo e a capacidade de sofrer dos animais, defendendo que não deve ser causado a estes sofrimento desnecessário. Outra vertente notória é o abolicionismo, de Tom Regan (1983), averso a toda e qualquer forma de instrumentalização animal.</w:t>
      </w:r>
    </w:p>
    <w:p w:rsidR="00000000" w:rsidDel="00000000" w:rsidP="00000000" w:rsidRDefault="00000000" w:rsidRPr="00000000" w14:paraId="000000D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que, apesar de promover o princípio da vedação à crueldade, a Constituição Federal de 1988 não apresentou qualquer óbice à utilização de animais para fins econômicos, não é razoável afirmar que há viés abolicionista na norma.</w:t>
      </w:r>
    </w:p>
    <w:p w:rsidR="00000000" w:rsidDel="00000000" w:rsidP="00000000" w:rsidRDefault="00000000" w:rsidRPr="00000000" w14:paraId="000000D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cultura estabelecida ao longo da história ocidental, o ser humano utiliza os animais como instrumentos em diversas instâncias. Estes são integrais na alimentação da maior parte dos brasileiros, além do uso corriqueiro de animais de tração, ou de peles para a confecção de vestimentas.</w:t>
      </w:r>
    </w:p>
    <w:p w:rsidR="00000000" w:rsidDel="00000000" w:rsidP="00000000" w:rsidRDefault="00000000" w:rsidRPr="00000000" w14:paraId="000000D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nada mais natural do que regulamentar as facetas da vida humana e as atividades econômicas que movimentam a receita, de forma que a Constituição estabelece, nos artigos 23, VIII, e 24,VI, a competência para fomentar a produção agropecuária e legislar sobre a caça e a pesca (BRASIL, 1988).</w:t>
      </w:r>
    </w:p>
    <w:p w:rsidR="00000000" w:rsidDel="00000000" w:rsidP="00000000" w:rsidRDefault="00000000" w:rsidRPr="00000000" w14:paraId="000000D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ao determinar uma proibição de tratamento cruel aos animais, o que se visa não é abolir a instrumentalização destes, mas sim garantir que todas as formas de vida sencientes tenham uma existência digna e livre de sofrimento enquanto esta durar. Tal entendimento é nitidamente mais compatível com a corrente bem-estarista apresentada e com o </w:t>
      </w:r>
      <w:r w:rsidDel="00000000" w:rsidR="00000000" w:rsidRPr="00000000">
        <w:rPr>
          <w:rFonts w:ascii="Times New Roman" w:cs="Times New Roman" w:eastAsia="Times New Roman" w:hAnsi="Times New Roman"/>
          <w:sz w:val="24"/>
          <w:szCs w:val="24"/>
          <w:rtl w:val="0"/>
        </w:rPr>
        <w:t xml:space="preserve">utilitarismo.</w:t>
      </w:r>
      <w:r w:rsidDel="00000000" w:rsidR="00000000" w:rsidRPr="00000000">
        <w:rPr>
          <w:rtl w:val="0"/>
        </w:rPr>
      </w:r>
    </w:p>
    <w:p w:rsidR="00000000" w:rsidDel="00000000" w:rsidP="00000000" w:rsidRDefault="00000000" w:rsidRPr="00000000" w14:paraId="000000D6">
      <w:pPr>
        <w:spacing w:line="240" w:lineRule="auto"/>
        <w:ind w:left="22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Reconhecida uma (particular) dignidade dos animais e mesmo que se encontrem outros fundamentos na literatura especializada, o fato é que com base nisso também para nós não resulta difícil (muito antes pelo contrário) reconhecer que na perspectiva do direito (e aqui com foco no direito constitucional) os animais sejam titulares de direitos fundamentais e não apenas (como seguem sendo) destinatários de deveres de proteção estatais, tal como expressamente estabelecidos pela CF (SARLET; MARINONI; MITIDIERO, 2022).</w:t>
      </w:r>
      <w:r w:rsidDel="00000000" w:rsidR="00000000" w:rsidRPr="00000000">
        <w:rPr>
          <w:rtl w:val="0"/>
        </w:rPr>
      </w:r>
    </w:p>
    <w:p w:rsidR="00000000" w:rsidDel="00000000" w:rsidP="00000000" w:rsidRDefault="00000000" w:rsidRPr="00000000" w14:paraId="000000D7">
      <w:pPr>
        <w:spacing w:line="360" w:lineRule="auto"/>
        <w:ind w:firstLine="708"/>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Sendo a dignidade da pessoa humana o princípio norteador de todo o ordenamento jurídico brasileiro, a não extensão de tal direito aos animais “simboliza uma atrocidade merecedora de reprimenda” (WOLF, 2019). Isto porque a dignidade de um ser não é atrelada à racionalidade, como teriam afirmado teóricos da modernidade, mas sim à capacidade de sofrer.</w:t>
      </w:r>
    </w:p>
    <w:p w:rsidR="00000000" w:rsidDel="00000000" w:rsidP="00000000" w:rsidRDefault="00000000" w:rsidRPr="00000000" w14:paraId="000000D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Evidentemente, apesar de serem possuidores de direitos fundamentais, o princípio da dignidade animal por muito se distingue daquela destinada às pessoas. Em virtude das diferenças biológicas naturais de cada espécie, as necessidades dos animais não constituem um mesmo meio, mas sim um conjunto, com interesses em comum ou não.</w:t>
      </w:r>
    </w:p>
    <w:p w:rsidR="00000000" w:rsidDel="00000000" w:rsidP="00000000" w:rsidRDefault="00000000" w:rsidRPr="00000000" w14:paraId="000000D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interessa a qualquer um além do ser humano o acesso à educação ou à previdência social. Da mesma forma, animais de espécies distintas possuem interesses que nada se assemelham aos dos demais. Todavia, é comum aos seres dotados de senciência o interesse em não sofrer. Para que haja concretização do princípio da dignidade do animal não humano, deve-se atentar às características e peculiaridades específicas à espécie, sendo respeitadas as condições e necessidades físicas e psicológicas em cada caso concreto.</w:t>
      </w:r>
    </w:p>
    <w:p w:rsidR="00000000" w:rsidDel="00000000" w:rsidP="00000000" w:rsidRDefault="00000000" w:rsidRPr="00000000" w14:paraId="000000DA">
      <w:pPr>
        <w:spacing w:line="360" w:lineRule="auto"/>
        <w:ind w:firstLine="708"/>
        <w:jc w:val="both"/>
        <w:rPr>
          <w:rFonts w:ascii="Times New Roman" w:cs="Times New Roman" w:eastAsia="Times New Roman" w:hAnsi="Times New Roman"/>
          <w:sz w:val="24"/>
          <w:szCs w:val="24"/>
        </w:rPr>
      </w:pPr>
      <w:bookmarkStart w:colFirst="0" w:colLast="0" w:name="_heading=h.64fgf8m7w1b8" w:id="1"/>
      <w:bookmarkEnd w:id="1"/>
      <w:r w:rsidDel="00000000" w:rsidR="00000000" w:rsidRPr="00000000">
        <w:rPr>
          <w:rFonts w:ascii="Times New Roman" w:cs="Times New Roman" w:eastAsia="Times New Roman" w:hAnsi="Times New Roman"/>
          <w:sz w:val="24"/>
          <w:szCs w:val="24"/>
          <w:rtl w:val="0"/>
        </w:rPr>
        <w:t xml:space="preserve">Em que pese a inovação principiológica da Constituição para o Direito Animal, o reconhecimento da dignidade animal permanece protraído nos demais campos jurídicos, notadamente, a título de exemplo, no Direito Civil.</w:t>
      </w:r>
    </w:p>
    <w:p w:rsidR="00000000" w:rsidDel="00000000" w:rsidP="00000000" w:rsidRDefault="00000000" w:rsidRPr="00000000" w14:paraId="000000DB">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Diante do histórico do especismo ocidental, o Código Civil de 1916 expressamente estabelecia aos animais a natureza jurídica de coisa, conforme expresso no art. 593 (BRASIL, 1916). Mesmo após o reconhecimento da senciência em plano constitucional, a revogação do antigo diploma civilista pela lei de 2002 não alterou a posição do não humano para o direito.</w:t>
      </w:r>
    </w:p>
    <w:p w:rsidR="00000000" w:rsidDel="00000000" w:rsidP="00000000" w:rsidRDefault="00000000" w:rsidRPr="00000000" w14:paraId="000000DC">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Aduz o art. 82 do atual Código Civil “são móveis os bens suscetíveis de movimento próprio, ou de remoção por força alheia, sem alteração da substância ou da destinação econômico-social” (BRASIL, 2002). Dessa forma, os seres não humanos permanecem na categoria de bens semoventes, como propriedade das pessoas que os têm sob cuidados.</w:t>
      </w:r>
    </w:p>
    <w:p w:rsidR="00000000" w:rsidDel="00000000" w:rsidP="00000000" w:rsidRDefault="00000000" w:rsidRPr="00000000" w14:paraId="000000DD">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Este entendimento é reforçado por parte significativa da doutrina de direito civil, conforme traz o professor Rolf Madaleno (2022), tratando especificamente dos animais de estimação:</w:t>
      </w:r>
    </w:p>
    <w:p w:rsidR="00000000" w:rsidDel="00000000" w:rsidP="00000000" w:rsidRDefault="00000000" w:rsidRPr="00000000" w14:paraId="000000DE">
      <w:pPr>
        <w:tabs>
          <w:tab w:val="left" w:pos="708"/>
        </w:tabs>
        <w:spacing w:line="24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Não existe consenso quanto à pretensa humanização dos animais de estimação, aduzindo Adisson Leal e Victor Macedo dos Santos que eles se enquadram na noção jurídica de coisa, não havendo como pretender lhes conferir natureza jurídica diversa, para aproximá-los de pessoas, porque não são pessoas, mas são justamente o inverso, são animais irracionais (MADALENO, 2022, p. 534).</w:t>
      </w:r>
      <w:r w:rsidDel="00000000" w:rsidR="00000000" w:rsidRPr="00000000">
        <w:rPr>
          <w:rtl w:val="0"/>
        </w:rPr>
      </w:r>
    </w:p>
    <w:p w:rsidR="00000000" w:rsidDel="00000000" w:rsidP="00000000" w:rsidRDefault="00000000" w:rsidRPr="00000000" w14:paraId="000000DF">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entanto, ainda que ausente a racionalidade, é inequívoca a capacidade sensitiva possuída pelos animais, de maneira que a posição de coisa conflita diretamente com os princípios constitucionais de Direito Animal.</w:t>
      </w:r>
    </w:p>
    <w:p w:rsidR="00000000" w:rsidDel="00000000" w:rsidP="00000000" w:rsidRDefault="00000000" w:rsidRPr="00000000" w14:paraId="000000E0">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 há o reconhecimento da senciência, sendo vedada a crueldade, então, mesmo que estes não possuam a natureza jurídica de pessoa, a categoria de bens semoventes é incompatível com a dignidade animal.</w:t>
      </w:r>
    </w:p>
    <w:p w:rsidR="00000000" w:rsidDel="00000000" w:rsidP="00000000" w:rsidRDefault="00000000" w:rsidRPr="00000000" w14:paraId="000000E1">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 prática de maus-tratos a animais constitui crime nos termos do art. 32 da Lei nº 9.605, independentemente de estes possuírem dono ou não. Estão protegidos por este dispositivo os “silvestres, domésticos ou domesticados, nativos ou exóticos” (BRASIL, 1998). Assim, o bem jurídico tutelado é a integridade física do animal, por si só, e não o direito à propriedade.</w:t>
      </w:r>
    </w:p>
    <w:p w:rsidR="00000000" w:rsidDel="00000000" w:rsidP="00000000" w:rsidRDefault="00000000" w:rsidRPr="00000000" w14:paraId="000000E2">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Portanto, diante das transformações sociais e jurídicas em que passou-se a reconhecer a dignidade dos seres não humanos, elevando a posição destes para além do mero objeto, não deve ser mantida a natureza jurídica de coisa a eles atribuída historicamente.</w:t>
      </w:r>
    </w:p>
    <w:p w:rsidR="00000000" w:rsidDel="00000000" w:rsidP="00000000" w:rsidRDefault="00000000" w:rsidRPr="00000000" w14:paraId="000000E3">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foi aprovado no Senado Federal o PLC 27/2018, em trâmite no Congresso sob o nº 6.054/2019, antigo Projeto de Lei nº 6.799/2013, tendo como um dos objetivos o “reconhecimento de que os animais não humanos possuem natureza biológica e emocional e são seres sencientes, passíveis de sofrimento” (BRASIL, 2018).</w:t>
      </w:r>
    </w:p>
    <w:p w:rsidR="00000000" w:rsidDel="00000000" w:rsidP="00000000" w:rsidRDefault="00000000" w:rsidRPr="00000000" w14:paraId="000000E4">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proposta legislativa citada visa a alteração da Lei nº 9.605/1998, acrescentando o artigo 79-B, atribuindo-lhe a redação “O disposto no art. 82 da Lei nº 10.406, de 10 de janeiro de 2002 (Código Civil), não se aplica aos animais não humanos, que ficam sujeitos a direitos despersonificados” (BRASIL, 2018).</w:t>
      </w:r>
    </w:p>
    <w:p w:rsidR="00000000" w:rsidDel="00000000" w:rsidP="00000000" w:rsidRDefault="00000000" w:rsidRPr="00000000" w14:paraId="000000E5">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tem-se uma inovação legislativa como maneira de reformar a natureza jurídica dos animais não humanos, retirando a condição de coisa a qual foram estes submetidos historicamente e atribuindo-lhes a titularidade de direitos, sem equipará-los à personalidade dos seres humanos, constituindo um tipo de natureza jurídica </w:t>
      </w:r>
      <w:r w:rsidDel="00000000" w:rsidR="00000000" w:rsidRPr="00000000">
        <w:rPr>
          <w:rFonts w:ascii="Times New Roman" w:cs="Times New Roman" w:eastAsia="Times New Roman" w:hAnsi="Times New Roman"/>
          <w:i w:val="1"/>
          <w:sz w:val="24"/>
          <w:szCs w:val="24"/>
          <w:rtl w:val="0"/>
        </w:rPr>
        <w:t xml:space="preserve">sui generis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6">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Evidentemente, em virtude da limitação quanto à racionalidade, os animais não possuem capacidade para pleitear seus direitos em juízo. Apesar disso, é possível afirmar que “o Poder Público e a coletividade receberam a incumbência constitucional de sua proteção” (TITAN, 2021, p. 59). Da mesma forma, considerando serem eles inaptos a expressar suas vontades da mesma forma que as pessoas, os crimes contra a dignidade animal são de ação pública incondicionada a representação, de titularidade exclusiva do Ministério Público.</w:t>
      </w:r>
    </w:p>
    <w:p w:rsidR="00000000" w:rsidDel="00000000" w:rsidP="00000000" w:rsidRDefault="00000000" w:rsidRPr="00000000" w14:paraId="000000E7">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 efeito, a atividade jurisdicional também possui seu papel na proteção dos interesses animais, haja vista a amplitude de lacunas normativas a respeito de seus direitos, de forma que, nos termos do art. 4º da Lei de Introdução às Normas do Direito Brasileiro, ou LINDB, o magistrado deve decidir com base na analogia, nos costumes e nos princípios gerais de direito (BRASIL, 1942).</w:t>
      </w:r>
    </w:p>
    <w:p w:rsidR="00000000" w:rsidDel="00000000" w:rsidP="00000000" w:rsidRDefault="00000000" w:rsidRPr="00000000" w14:paraId="000000E8">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Portanto, é dever do Estado, bem como da sociedade, a manutenção do bem-estar e da dignidade animal, o reconhecimento de que os animais não pertencem à categoria de “coisa” a eles historicamente imposta. No mesmo sentido:</w:t>
      </w:r>
    </w:p>
    <w:p w:rsidR="00000000" w:rsidDel="00000000" w:rsidP="00000000" w:rsidRDefault="00000000" w:rsidRPr="00000000" w14:paraId="000000E9">
      <w:pPr>
        <w:spacing w:line="240" w:lineRule="auto"/>
        <w:ind w:left="2267" w:firstLine="0"/>
        <w:jc w:val="both"/>
        <w:rPr>
          <w:rFonts w:ascii="Times New Roman" w:cs="Times New Roman" w:eastAsia="Times New Roman" w:hAnsi="Times New Roman"/>
          <w:sz w:val="24"/>
          <w:szCs w:val="24"/>
        </w:rPr>
      </w:pPr>
      <w:bookmarkStart w:colFirst="0" w:colLast="0" w:name="_heading=h.o59ozffk9y2a" w:id="2"/>
      <w:bookmarkEnd w:id="2"/>
      <w:r w:rsidDel="00000000" w:rsidR="00000000" w:rsidRPr="00000000">
        <w:rPr>
          <w:rFonts w:ascii="Times New Roman" w:cs="Times New Roman" w:eastAsia="Times New Roman" w:hAnsi="Times New Roman"/>
          <w:sz w:val="20"/>
          <w:szCs w:val="20"/>
          <w:rtl w:val="0"/>
        </w:rPr>
        <w:t xml:space="preserve">Como todo princípio é teleológico e visa a estabelecer um estado de coisas que deve ser promovido, sem descrever diretamente, qual o comportamento devido, o princípio da dignidade animal tem, como conteúdo, a promoção do redimensionamento do status jurídico dos animais não-humanos, de coisas para sujeitos, impondo ao Poder Público e à coletividade comportamentos que respeitem esse novo status, seja agindo para proteger, seja abstendo-se de maltratar ou praticar, contra eles, atos de crueldade ou que sejam incompatíveis com a sua dignidade peculiar (ATAIDE JUNIOR, 2020, p. 17).</w:t>
      </w:r>
      <w:r w:rsidDel="00000000" w:rsidR="00000000" w:rsidRPr="00000000">
        <w:rPr>
          <w:rtl w:val="0"/>
        </w:rPr>
      </w:r>
    </w:p>
    <w:p w:rsidR="00000000" w:rsidDel="00000000" w:rsidP="00000000" w:rsidRDefault="00000000" w:rsidRPr="00000000" w14:paraId="000000EA">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ora, o tratamento conferido aos seres sencientes não humanos ainda é o de </w:t>
      </w:r>
      <w:r w:rsidDel="00000000" w:rsidR="00000000" w:rsidRPr="00000000">
        <w:rPr>
          <w:rFonts w:ascii="Times New Roman" w:cs="Times New Roman" w:eastAsia="Times New Roman" w:hAnsi="Times New Roman"/>
          <w:i w:val="1"/>
          <w:sz w:val="24"/>
          <w:szCs w:val="24"/>
          <w:rtl w:val="0"/>
        </w:rPr>
        <w:t xml:space="preserve">res</w:t>
      </w:r>
      <w:r w:rsidDel="00000000" w:rsidR="00000000" w:rsidRPr="00000000">
        <w:rPr>
          <w:rFonts w:ascii="Times New Roman" w:cs="Times New Roman" w:eastAsia="Times New Roman" w:hAnsi="Times New Roman"/>
          <w:sz w:val="24"/>
          <w:szCs w:val="24"/>
          <w:rtl w:val="0"/>
        </w:rPr>
        <w:t xml:space="preserve">, mantido pelo Código Civil de 2002 a despeito do acréscimo principiológico da Constituição. A natureza jurídica de coisa possui apenas a perspectiva de mudança legislativa, ao menos enquanto perdurar o trâmite de aprovação do Projeto de Lei nº 6.054/2019.</w:t>
      </w:r>
    </w:p>
    <w:p w:rsidR="00000000" w:rsidDel="00000000" w:rsidP="00000000" w:rsidRDefault="00000000" w:rsidRPr="00000000" w14:paraId="000000EB">
      <w:pPr>
        <w:tabs>
          <w:tab w:val="left" w:pos="708"/>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O DIREITO DE FAMÍLIA E A INSERÇÃO DO ANIMAL NOS NÚCLEOS FAMILIARES</w:t>
      </w:r>
    </w:p>
    <w:p w:rsidR="00000000" w:rsidDel="00000000" w:rsidP="00000000" w:rsidRDefault="00000000" w:rsidRPr="00000000" w14:paraId="000000EC">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mudanças trazidas pela Constituição Federal de 1988 não se limitam à temática dos direitos dos animais. Com a introdução de novos princípios e um rol não taxativo de modalidades familiares incluindo tipos não antes apreciados, o Direito de Família no Brasil sofreu alterações evidentes, sendo necessário que a hermenêutica nesta área se adapte à óptica constitucional.</w:t>
      </w:r>
    </w:p>
    <w:p w:rsidR="00000000" w:rsidDel="00000000" w:rsidP="00000000" w:rsidRDefault="00000000" w:rsidRPr="00000000" w14:paraId="000000ED">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Conforme definição de Gagliano e Pamplona Filho (2021), a família é a </w:t>
      </w:r>
      <w:r w:rsidDel="00000000" w:rsidR="00000000" w:rsidRPr="00000000">
        <w:rPr>
          <w:rFonts w:ascii="Times New Roman" w:cs="Times New Roman" w:eastAsia="Times New Roman" w:hAnsi="Times New Roman"/>
          <w:i w:val="1"/>
          <w:sz w:val="24"/>
          <w:szCs w:val="24"/>
          <w:rtl w:val="0"/>
        </w:rPr>
        <w:t xml:space="preserve">célula máter</w:t>
      </w:r>
      <w:r w:rsidDel="00000000" w:rsidR="00000000" w:rsidRPr="00000000">
        <w:rPr>
          <w:rFonts w:ascii="Times New Roman" w:cs="Times New Roman" w:eastAsia="Times New Roman" w:hAnsi="Times New Roman"/>
          <w:sz w:val="24"/>
          <w:szCs w:val="24"/>
          <w:rtl w:val="0"/>
        </w:rPr>
        <w:t xml:space="preserve"> da sociedade, que ultrapassa fins econômicos e de convivência, sendo revestida de alta significação psicológica, jurídica e social. A perspectiva jurídica do instituto não mais assume uma posição patriarcalista e hierárquica, como o era no Código Civil de 1916, uma vez que princípios como a solidariedade e isonomia ganham força na aplicação do direito, dando ênfase à chamada família eudemonista.</w:t>
      </w:r>
    </w:p>
    <w:p w:rsidR="00000000" w:rsidDel="00000000" w:rsidP="00000000" w:rsidRDefault="00000000" w:rsidRPr="00000000" w14:paraId="000000EE">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 acordo com Maria Berenice Dias (apud TARTUCE, 2022, p.63), a família eudemonista “busca a felicidade individual vivendo um processo de emancipação dos seus membros”, sendo esta unida pelo vínculo afetivo. Assim, é desnecessária a consanguinidade ou a existência de um contrato de casamento, bastando que as pessoas que integram o arranjo familiar possuam afetividade umas com as outras.</w:t>
      </w:r>
    </w:p>
    <w:p w:rsidR="00000000" w:rsidDel="00000000" w:rsidP="00000000" w:rsidRDefault="00000000" w:rsidRPr="00000000" w14:paraId="000000EF">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o rol de modalidades familiares que compõem o art. 226 da Constituição Federal não possui taxatividade, cabendo a interpretação extensiva deste sob a óptica do novo Direito de Família para a inclusão de arranjos familiares distintos.</w:t>
      </w:r>
    </w:p>
    <w:p w:rsidR="00000000" w:rsidDel="00000000" w:rsidP="00000000" w:rsidRDefault="00000000" w:rsidRPr="00000000" w14:paraId="000000F0">
      <w:pPr>
        <w:tabs>
          <w:tab w:val="left" w:pos="708"/>
        </w:tabs>
        <w:spacing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Justamente diante desses novos modelos de família é que se tem entendido que a família não pode se enquadrar numa moldura rígida, em um suposto rol taxativo (numerus clausus), como aquele constante do Texto Maior. Em outras palavras, o rol do art. 226 da CF/1988 é meramente exemplificativo (numerus apertus) (TARTUCE, 2022, p. 63).</w:t>
      </w:r>
    </w:p>
    <w:p w:rsidR="00000000" w:rsidDel="00000000" w:rsidP="00000000" w:rsidRDefault="00000000" w:rsidRPr="00000000" w14:paraId="000000F1">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busca pela felicidade individual foi reconhecida pelo STF, no julgamento do Recurso Extraordinário nº 477.554/MG, como postulado constitucional implícito decorrente da própria dignidade humana, a fim de reconhecer a legitimidade da união estável homoafetiva (BRASIL, 2011). O macroprincípio trazido no art. 1º, III, da Constituição Federal é o mais relevante fundamento para a despatrimonialização e desinstitucionalização do Direito de Família, solidificando a proteção da família eudemonista.</w:t>
      </w:r>
    </w:p>
    <w:p w:rsidR="00000000" w:rsidDel="00000000" w:rsidP="00000000" w:rsidRDefault="00000000" w:rsidRPr="00000000" w14:paraId="000000F2">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 priorização dos direitos existenciais neste campo jurídico indica que a finalidade da família é garantir o bem-estar de cada um dos seus membros, sendo esta adaptável às necessidades das pessoas que a integram. Por exemplo, se a manutenção do casamento não coincide com os interesses dos cônjuges, deve ser priorizado o interesse de tais pessoas sobre a indissolubilidade de um vínculo jurídico que os contraentes não mais desejam manter.</w:t>
      </w:r>
    </w:p>
    <w:p w:rsidR="00000000" w:rsidDel="00000000" w:rsidP="00000000" w:rsidRDefault="00000000" w:rsidRPr="00000000" w14:paraId="000000F3">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Assim, a base das relações familiares é a afetividade, conforme destaca:</w:t>
      </w:r>
    </w:p>
    <w:p w:rsidR="00000000" w:rsidDel="00000000" w:rsidP="00000000" w:rsidRDefault="00000000" w:rsidRPr="00000000" w14:paraId="000000F4">
      <w:pPr>
        <w:tabs>
          <w:tab w:val="left" w:pos="708"/>
        </w:tabs>
        <w:spacing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que se ressalta na análise da família é a percepção de que ela está em movimento constante, amoldando-se de acordo com o contínuo caminhar social. Muito mais do que instituto jurídico, família é realidade em movimento. Exemplo disso se dá com a presença da afetividade nos relacionamentos familiares, que, de anteriormente irrelevante, cada vez mais se evidencia, e com intensidade de tal ordem que não permite mais que seja ignorada pelo Direito (CALDERÓN, 2017, p. 36).</w:t>
      </w:r>
    </w:p>
    <w:p w:rsidR="00000000" w:rsidDel="00000000" w:rsidP="00000000" w:rsidRDefault="00000000" w:rsidRPr="00000000" w14:paraId="000000F5">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É nesse contexto de família eudemonista, unida por laços de afetividade, sem o rigor da taxatividade nas modalidades familiares, que o animal passa a ocupar uma posição como membro do núcleo familiar. Tais arranjos são denominados famílias multiespécie, diante da coabitação entre seres de espécies distintas, como seres humanos e cães ou gatos.</w:t>
      </w:r>
    </w:p>
    <w:p w:rsidR="00000000" w:rsidDel="00000000" w:rsidP="00000000" w:rsidRDefault="00000000" w:rsidRPr="00000000" w14:paraId="000000F6">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a senciência animal não se relaciona apenas à capacidade de sofrência destes, mas também a sensações positivas, haja vista que é em virtude dela que se torna possível a construção de laços afetivos entre humanos e não humanos.</w:t>
      </w:r>
    </w:p>
    <w:p w:rsidR="00000000" w:rsidDel="00000000" w:rsidP="00000000" w:rsidRDefault="00000000" w:rsidRPr="00000000" w14:paraId="000000F7">
      <w:pPr>
        <w:tabs>
          <w:tab w:val="left" w:pos="708"/>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(2020, p. 43) indica que não basta a coabitação para que seja caracterizada uma multiespécie. Além da afetividade, o animal precisa participar diretamente da rotina familiar, não sendo mantido isolado em áreas externas ou possuindo a função específica de manter a segurança do lar. Ainda segundo a autora, outro elemento necessário é a consideração moral que os humanos da família têm pelo não humano, ou seja, a preocupação com seu bem-estar e eventuais problemas sofridos por este.</w:t>
      </w:r>
    </w:p>
    <w:p w:rsidR="00000000" w:rsidDel="00000000" w:rsidP="00000000" w:rsidRDefault="00000000" w:rsidRPr="00000000" w14:paraId="000000F8">
      <w:pPr>
        <w:tabs>
          <w:tab w:val="left" w:pos="708"/>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Presentes tais pressupostos, os animais deixam de ser apenas instrumentos para concretização dos interesses das pessoas, e passam a efetivamente integrar os núcleos familiares com os quais convivem, em virtude de suas capacidades sensitivas e do afeto que as pessoas possuem por eles.</w:t>
      </w:r>
    </w:p>
    <w:p w:rsidR="00000000" w:rsidDel="00000000" w:rsidP="00000000" w:rsidRDefault="00000000" w:rsidRPr="00000000" w14:paraId="000000F9">
      <w:pPr>
        <w:tabs>
          <w:tab w:val="left" w:pos="708"/>
        </w:tabs>
        <w:spacing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 suma, fato é que o afeto transmutou o que outrora era concebido como família. Muito embora os animais não sejam iguais aos seres humanos em sua essência, com o afeto foram elevados ao status de membro da família, bem como possibilitou a mitigação do conceito de propriedade, o que fez gerar verdadeiro direito à composse para satisfação não só do bem-estar do animal, como também no socorro à preservação da dignidade da pessoa humana (LINHARES, 2019, p. 8).</w:t>
      </w:r>
    </w:p>
    <w:p w:rsidR="00000000" w:rsidDel="00000000" w:rsidP="00000000" w:rsidRDefault="00000000" w:rsidRPr="00000000" w14:paraId="000000FA">
      <w:pPr>
        <w:tabs>
          <w:tab w:val="left" w:pos="708"/>
        </w:tabs>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Esta é a realidade de muitos lares brasileiros, nos quais se dá a denominação de “tutor” aos seres humanos que zelam por seus animais de estimação, designados, alternativamente, como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ambos termos utilizados por Silva (2020).</w:t>
      </w:r>
    </w:p>
    <w:p w:rsidR="00000000" w:rsidDel="00000000" w:rsidP="00000000" w:rsidRDefault="00000000" w:rsidRPr="00000000" w14:paraId="000000FB">
      <w:pPr>
        <w:tabs>
          <w:tab w:val="left" w:pos="708"/>
        </w:tabs>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Cumpre ressaltar que, apesar do uso do termo tutor, não se confunde a relação de afeto familiar entre humanos e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com o instituto da tutela de crianças e adolescentes, prevista no art. 28 do Estatuto da Criança e Adolescente (BRASIL, 1990). A doutrina especializada defende o desuso do termo “dono”, diante da oposição do Direito Animal à objetificação do animal como propriedade.</w:t>
      </w:r>
    </w:p>
    <w:p w:rsidR="00000000" w:rsidDel="00000000" w:rsidP="00000000" w:rsidRDefault="00000000" w:rsidRPr="00000000" w14:paraId="000000FC">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 a dignidade da pessoa humana é um fundamento para garantir a concretização de seus interesses, prescindindo-se a preservação de instituições, a dignidade do animal não-humano deve ser o princípio norteador na aplicação do direito nas demandas envolvendo os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no Direito de Família. O bem-estar animal, defendido por Singer (2010) e refletido na Constituição Federal de 1988, também deve ser objeto de consideração no âmbito familiar.</w:t>
      </w:r>
    </w:p>
    <w:p w:rsidR="00000000" w:rsidDel="00000000" w:rsidP="00000000" w:rsidRDefault="00000000" w:rsidRPr="00000000" w14:paraId="000000FD">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âmbito judiciário,</w:t>
        <w:tab/>
        <w:t xml:space="preserve">nos últimos anos, já têm sido apresentadas demandas acerca da guarda de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ou mesmo fixação de pensão alimentícia para estes, após o fim de uma união estável ou casamento.</w:t>
      </w:r>
    </w:p>
    <w:p w:rsidR="00000000" w:rsidDel="00000000" w:rsidP="00000000" w:rsidRDefault="00000000" w:rsidRPr="00000000" w14:paraId="000000FE">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nítida a lacuna normativa quanto à matéria das famílias multiespécie. Por um lado, o animal não deixou de ser conceituado como coisa para o Direito Civil, nem pode ser equiparado a um ser humano em virtude das diferenças biológicas e dos interesses distintos. Por outro, as pessoas possuem apego emocional para com os animais de estimação, que ultrapassa a mera noção de propriedade.</w:t>
      </w:r>
    </w:p>
    <w:p w:rsidR="00000000" w:rsidDel="00000000" w:rsidP="00000000" w:rsidRDefault="00000000" w:rsidRPr="00000000" w14:paraId="000000FF">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Ainda assim, o art. 5º, XXXV, da Constituição Federal determina: "a lei não excluirá da apreciação do Poder Judiciário lesão ou ameaça a direito” (BRASIL, 1988), sedimentando o princípio do acesso à justiça, ou da inafastabilidade da jurisdição.</w:t>
      </w:r>
    </w:p>
    <w:p w:rsidR="00000000" w:rsidDel="00000000" w:rsidP="00000000" w:rsidRDefault="00000000" w:rsidRPr="00000000" w14:paraId="00000100">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Enquanto parte dos magistrados rejeita qualquer ponderação dos interesses animais como seres sencientes, reduzindo a matéria à decisão com base em quem adquiriu o </w:t>
      </w:r>
      <w:r w:rsidDel="00000000" w:rsidR="00000000" w:rsidRPr="00000000">
        <w:rPr>
          <w:rFonts w:ascii="Times New Roman" w:cs="Times New Roman" w:eastAsia="Times New Roman" w:hAnsi="Times New Roman"/>
          <w:i w:val="1"/>
          <w:sz w:val="24"/>
          <w:szCs w:val="24"/>
          <w:rtl w:val="0"/>
        </w:rPr>
        <w:t xml:space="preserve">pet</w:t>
      </w:r>
      <w:r w:rsidDel="00000000" w:rsidR="00000000" w:rsidRPr="00000000">
        <w:rPr>
          <w:rFonts w:ascii="Times New Roman" w:cs="Times New Roman" w:eastAsia="Times New Roman" w:hAnsi="Times New Roman"/>
          <w:sz w:val="24"/>
          <w:szCs w:val="24"/>
          <w:rtl w:val="0"/>
        </w:rPr>
        <w:t xml:space="preserve">, o Superior Tribunal de Justiça decidiu, no julgamento do Recurso Especial nº 1.713.167/SP, da seguinte forma:</w:t>
      </w:r>
    </w:p>
    <w:p w:rsidR="00000000" w:rsidDel="00000000" w:rsidP="00000000" w:rsidRDefault="00000000" w:rsidRPr="00000000" w14:paraId="00000101">
      <w:pPr>
        <w:tabs>
          <w:tab w:val="left" w:pos="708"/>
        </w:tabs>
        <w:spacing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entanto, os animais de companhia possuem valor subjetivo único e peculiar, aflorando sentimentos bastante íntimos em seus donos, totalmente diversos de qualquer outro tipo de propriedade privada. Dessarte, o regramento jurídico dos bens não se vem mostrando suficiente para resolver, de forma satisfatória, a disputa familiar envolvendo os </w:t>
      </w:r>
      <w:r w:rsidDel="00000000" w:rsidR="00000000" w:rsidRPr="00000000">
        <w:rPr>
          <w:rFonts w:ascii="Times New Roman" w:cs="Times New Roman" w:eastAsia="Times New Roman" w:hAnsi="Times New Roman"/>
          <w:i w:val="1"/>
          <w:sz w:val="20"/>
          <w:szCs w:val="20"/>
          <w:rtl w:val="0"/>
        </w:rPr>
        <w:t xml:space="preserve">pets</w:t>
      </w:r>
      <w:r w:rsidDel="00000000" w:rsidR="00000000" w:rsidRPr="00000000">
        <w:rPr>
          <w:rFonts w:ascii="Times New Roman" w:cs="Times New Roman" w:eastAsia="Times New Roman" w:hAnsi="Times New Roman"/>
          <w:sz w:val="20"/>
          <w:szCs w:val="20"/>
          <w:rtl w:val="0"/>
        </w:rPr>
        <w:t xml:space="preserve">, visto que não se trata de simples discussão atinente à posse e à propriedade (BRASIL, 2018).</w:t>
      </w:r>
    </w:p>
    <w:p w:rsidR="00000000" w:rsidDel="00000000" w:rsidP="00000000" w:rsidRDefault="00000000" w:rsidRPr="00000000" w14:paraId="00000102">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Sob a luz do acórdão, que teve como relator o Ministro Luis Felipe Salomão, é nítido que a senciência e a afetividade são fatores a serem ponderados ao estabelecer o cônjuge que deve ficar com a posse do animal. A Corte compreendeu, também, ser recorrente a questão dos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como integrantes na entidade familiar, destacando não ser matéria menor ou fútil (BRASIL, 2018).</w:t>
      </w:r>
    </w:p>
    <w:p w:rsidR="00000000" w:rsidDel="00000000" w:rsidP="00000000" w:rsidRDefault="00000000" w:rsidRPr="00000000" w14:paraId="00000103">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Contudo, o STJ observou que, por mais que os animais não sejam meras coisas, simplesmente propriedade dos tutores, os institutos do Direito de Família, como a guarda e visitação, são inerentes ao poder familiar (BRASIL, 2018). Tal preceito não se confunde com os vínculos de afetividade das pessoas para com os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4">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Apesar da ressalva apresentada na decisão do STJ, ainda há insegurança jurídica decorrente da lacuna legislativa. Conforme suscitado anteriormente, os juízes devem se utilizar dos meios de integração do direito, segundo a LINDB, a fim de resolver as demandas apresentadas. Nas palavras de Linhares (2019, p. 10), “o Judiciário ao ser instado a se manifestar precisa dar uma solução aos casos, e, aparentemente, a mais adequada atualmente, é aplicar por analogia os institutos do direito de família (guarda, visitação, alimentos)”.</w:t>
      </w:r>
    </w:p>
    <w:p w:rsidR="00000000" w:rsidDel="00000000" w:rsidP="00000000" w:rsidRDefault="00000000" w:rsidRPr="00000000" w14:paraId="00000105">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Ministro relator cita, também, o Enunciado 11 do Instituto Brasileiro de Direito de Família, que afirma “na ação destinada a dissolver o casamento ou a união estável, pode o juiz disciplinar a custódia compartilhada do animal de estimação do casal” (BRASIL, 2018).</w:t>
      </w:r>
    </w:p>
    <w:p w:rsidR="00000000" w:rsidDel="00000000" w:rsidP="00000000" w:rsidRDefault="00000000" w:rsidRPr="00000000" w14:paraId="00000106">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Dessa forma, não obstante os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não sejam reconhecidos como pessoas, ou mesmo como sujeitos despersonificados titulares de direitos, de natureza </w:t>
      </w:r>
      <w:r w:rsidDel="00000000" w:rsidR="00000000" w:rsidRPr="00000000">
        <w:rPr>
          <w:rFonts w:ascii="Times New Roman" w:cs="Times New Roman" w:eastAsia="Times New Roman" w:hAnsi="Times New Roman"/>
          <w:i w:val="1"/>
          <w:sz w:val="24"/>
          <w:szCs w:val="24"/>
          <w:rtl w:val="0"/>
        </w:rPr>
        <w:t xml:space="preserve">sui generis</w:t>
      </w:r>
      <w:r w:rsidDel="00000000" w:rsidR="00000000" w:rsidRPr="00000000">
        <w:rPr>
          <w:rFonts w:ascii="Times New Roman" w:cs="Times New Roman" w:eastAsia="Times New Roman" w:hAnsi="Times New Roman"/>
          <w:sz w:val="24"/>
          <w:szCs w:val="24"/>
          <w:rtl w:val="0"/>
        </w:rPr>
        <w:t xml:space="preserve">, conforme o PLC 27/2018 pretende designar, a determinação de custódia do animal de estimação pode ser compartilhada, em analogia à guarda compartilhada prevista no art. 1.583 do Código Civil (BRASIL, 2002). O mesmo pode ser dito quanto ao direito de visitação, de maneira que:</w:t>
      </w:r>
    </w:p>
    <w:p w:rsidR="00000000" w:rsidDel="00000000" w:rsidP="00000000" w:rsidRDefault="00000000" w:rsidRPr="00000000" w14:paraId="00000107">
      <w:pPr>
        <w:tabs>
          <w:tab w:val="left" w:pos="708"/>
        </w:tabs>
        <w:spacing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Interessante questão tem surgido nos tribunais acerca da possibilidade de se determinar, na dissolução da sociedade conjugal, regime de visita a animal de estimação. Não obstante os animais sejam, pelo ordenamento jurídico brasileiro, ainda qualificados como coisas, a Jurisprudência vem reconhecendo a fixação de visitação em tais casos, afastando, por outro lado, qualquer reconhecimento dessa determinação como atribuição de guarda (PEREIRA, 2022, p. 336).</w:t>
      </w:r>
    </w:p>
    <w:p w:rsidR="00000000" w:rsidDel="00000000" w:rsidP="00000000" w:rsidRDefault="00000000" w:rsidRPr="00000000" w14:paraId="00000108">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Por fim, tem-se que, em vez de negar a senciência animal e aplicar as normas relativas ao Direito das Coisas, há uma crescente tendência jurisprudencial em reconhecer a capacidade sensitiva dos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como fator determinante para a aplicação de medidas que se assemelham a institutos de Direito de Família.</w:t>
      </w:r>
    </w:p>
    <w:p w:rsidR="00000000" w:rsidDel="00000000" w:rsidP="00000000" w:rsidRDefault="00000000" w:rsidRPr="00000000" w14:paraId="00000109">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Apesar do atraso legislativo relativo à natureza jurídica dos animais e à matéria da relação homem e animal, o Poder Judiciário começou a reconhecer, nos últimos anos, as mudanças sociais que deram origem às famílias multiespécie, bem como a afetividade que o ser humano possui para com os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A">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Diante disso, o rompimento do vínculo conjugal ou da união estável numa família multiespécie, inexistindo legislação específica sobre o tema, enseja resolução pelos magistrados de forma que sejam observadas as necessidades e interesses dos animais, tanto quanto dos humanos que compõem o lar.</w:t>
      </w:r>
    </w:p>
    <w:p w:rsidR="00000000" w:rsidDel="00000000" w:rsidP="00000000" w:rsidRDefault="00000000" w:rsidRPr="00000000" w14:paraId="0000010B">
      <w:pPr>
        <w:tabs>
          <w:tab w:val="left" w:pos="708"/>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CONSIDERAÇÕES FINAIS</w:t>
      </w:r>
    </w:p>
    <w:p w:rsidR="00000000" w:rsidDel="00000000" w:rsidP="00000000" w:rsidRDefault="00000000" w:rsidRPr="00000000" w14:paraId="0000010C">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 atual natureza jurídica dos seres não humanos reflete o tratamento conferido a estes durante a história do ocidente. O especismo construído e solidificado ao longo dos séculos fez com que a dicotomia pessoa/coisa originada no Direito Romano fosse mantida através do art. 82 do Código Civil de 2002.</w:t>
      </w:r>
    </w:p>
    <w:p w:rsidR="00000000" w:rsidDel="00000000" w:rsidP="00000000" w:rsidRDefault="00000000" w:rsidRPr="00000000" w14:paraId="0000010D">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Mesmo com os princípios constitucionais da vedação à crueldade e da dignidade animal, garantidos com o reconhecimento da senciência animal, os não humanos ainda não são sujeitos titulares de direitos para o Direito Civil brasileiro.</w:t>
      </w:r>
    </w:p>
    <w:p w:rsidR="00000000" w:rsidDel="00000000" w:rsidP="00000000" w:rsidRDefault="00000000" w:rsidRPr="00000000" w14:paraId="0000010E">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entanto, com a mudança da dinâmica das relações familiares, a Constituição Federal assegurou também a legitimidade e a proteção aos novos arranjos familiares, conforme a definição de família eudemonista, que tem por fundamento a busca da felicidade e a dignidade da pessoa humana. Com isso, o rol elencado no art. 226, interpretado de maneira extensiva e com base no princípio da afetividade, não exclui a possibilidade de formação das famílias multiespécie.</w:t>
      </w:r>
    </w:p>
    <w:p w:rsidR="00000000" w:rsidDel="00000000" w:rsidP="00000000" w:rsidRDefault="00000000" w:rsidRPr="00000000" w14:paraId="0000010F">
      <w:pPr>
        <w:tabs>
          <w:tab w:val="left" w:pos="708"/>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atualmente, integram os núcleos familiares como efetivos membros, de forma que, ainda que as propostas legislativas para alterar a natureza jurídica dos não humanos ainda estejam em trâmite, as lides não mais podem ser resolvidas com base apenas no Direito das Coisas, e sim no Direito de Família. As pessoas que coabitam com animais em casa, que nutrem sentimentos de afeto e desenvolvem relações familiares, não têm os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como mera propriedade, sendo ilógica a determinação da posse destes como na divisão de bens.</w:t>
      </w:r>
    </w:p>
    <w:p w:rsidR="00000000" w:rsidDel="00000000" w:rsidP="00000000" w:rsidRDefault="00000000" w:rsidRPr="00000000" w14:paraId="00000110">
      <w:pPr>
        <w:tabs>
          <w:tab w:val="left" w:pos="708"/>
        </w:tabs>
        <w:spacing w:line="360" w:lineRule="auto"/>
        <w:jc w:val="both"/>
        <w:rPr>
          <w:rFonts w:ascii="Times New Roman" w:cs="Times New Roman" w:eastAsia="Times New Roman" w:hAnsi="Times New Roman"/>
          <w:sz w:val="24"/>
          <w:szCs w:val="24"/>
        </w:rPr>
      </w:pPr>
      <w:bookmarkStart w:colFirst="0" w:colLast="0" w:name="_heading=h.30j0zll" w:id="3"/>
      <w:bookmarkEnd w:id="3"/>
      <w:r w:rsidDel="00000000" w:rsidR="00000000" w:rsidRPr="00000000">
        <w:rPr>
          <w:rFonts w:ascii="Times New Roman" w:cs="Times New Roman" w:eastAsia="Times New Roman" w:hAnsi="Times New Roman"/>
          <w:sz w:val="24"/>
          <w:szCs w:val="24"/>
          <w:rtl w:val="0"/>
        </w:rPr>
        <w:tab/>
        <w:t xml:space="preserve">Assim, o estabelecimento da custódia dos animais de estimação em interpretação analógica do instituto familiar da guarda torna-se possível, com embasamento na senciência dos </w:t>
      </w:r>
      <w:r w:rsidDel="00000000" w:rsidR="00000000" w:rsidRPr="00000000">
        <w:rPr>
          <w:rFonts w:ascii="Times New Roman" w:cs="Times New Roman" w:eastAsia="Times New Roman" w:hAnsi="Times New Roman"/>
          <w:i w:val="1"/>
          <w:sz w:val="24"/>
          <w:szCs w:val="24"/>
          <w:rtl w:val="0"/>
        </w:rPr>
        <w:t xml:space="preserve">pets</w:t>
      </w:r>
      <w:r w:rsidDel="00000000" w:rsidR="00000000" w:rsidRPr="00000000">
        <w:rPr>
          <w:rFonts w:ascii="Times New Roman" w:cs="Times New Roman" w:eastAsia="Times New Roman" w:hAnsi="Times New Roman"/>
          <w:sz w:val="24"/>
          <w:szCs w:val="24"/>
          <w:rtl w:val="0"/>
        </w:rPr>
        <w:t xml:space="preserve"> e na afetividade familiar, visando o bem-estar animal e a garantia de satisfação das necessidades emocionais dos humanos que os têm sob cuidados, conforme reconhecido pelos tribunais pátrios e pelo Superior Tribunal de Justiça.</w:t>
      </w:r>
    </w:p>
    <w:p w:rsidR="00000000" w:rsidDel="00000000" w:rsidP="00000000" w:rsidRDefault="00000000" w:rsidRPr="00000000" w14:paraId="00000111">
      <w:pPr>
        <w:tabs>
          <w:tab w:val="left" w:pos="708"/>
        </w:tabs>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112">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ATAIDE JUNIOR, V. P. </w:t>
      </w:r>
      <w:r w:rsidDel="00000000" w:rsidR="00000000" w:rsidRPr="00000000">
        <w:rPr>
          <w:rFonts w:ascii="Times New Roman" w:cs="Times New Roman" w:eastAsia="Times New Roman" w:hAnsi="Times New Roman"/>
          <w:b w:val="1"/>
          <w:sz w:val="24"/>
          <w:szCs w:val="24"/>
          <w:rtl w:val="0"/>
        </w:rPr>
        <w:t xml:space="preserve">Introdução ao direito animal brasileiro.</w:t>
      </w:r>
      <w:r w:rsidDel="00000000" w:rsidR="00000000" w:rsidRPr="00000000">
        <w:rPr>
          <w:rFonts w:ascii="Times New Roman" w:cs="Times New Roman" w:eastAsia="Times New Roman" w:hAnsi="Times New Roman"/>
          <w:sz w:val="24"/>
          <w:szCs w:val="24"/>
          <w:rtl w:val="0"/>
        </w:rPr>
        <w:t xml:space="preserve"> Revista Brasileira de Direito Animal, Salvador, ano 2018, v. 13(03), p. 48-76, 15 out. 2018. DOI e-issn: 2317-4552. Disponível em: </w:t>
      </w:r>
      <w:r w:rsidDel="00000000" w:rsidR="00000000" w:rsidRPr="00000000">
        <w:rPr>
          <w:rFonts w:ascii="Times New Roman" w:cs="Times New Roman" w:eastAsia="Times New Roman" w:hAnsi="Times New Roman"/>
          <w:sz w:val="24"/>
          <w:szCs w:val="24"/>
          <w:rtl w:val="0"/>
        </w:rPr>
        <w:t xml:space="preserve">https://doi.org/10.9771/rbda.v13i3.2876</w:t>
      </w:r>
      <w:r w:rsidDel="00000000" w:rsidR="00000000" w:rsidRPr="00000000">
        <w:rPr>
          <w:rFonts w:ascii="Times New Roman" w:cs="Times New Roman" w:eastAsia="Times New Roman" w:hAnsi="Times New Roman"/>
          <w:sz w:val="24"/>
          <w:szCs w:val="24"/>
          <w:rtl w:val="0"/>
        </w:rPr>
        <w:t xml:space="preserve">8. Acesso em: 05 nov. 2022.</w:t>
      </w:r>
    </w:p>
    <w:p w:rsidR="00000000" w:rsidDel="00000000" w:rsidP="00000000" w:rsidRDefault="00000000" w:rsidRPr="00000000" w14:paraId="00000113">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w:t>
      </w:r>
      <w:r w:rsidDel="00000000" w:rsidR="00000000" w:rsidRPr="00000000">
        <w:rPr>
          <w:rFonts w:ascii="Times New Roman" w:cs="Times New Roman" w:eastAsia="Times New Roman" w:hAnsi="Times New Roman"/>
          <w:b w:val="1"/>
          <w:sz w:val="24"/>
          <w:szCs w:val="24"/>
          <w:rtl w:val="0"/>
        </w:rPr>
        <w:t xml:space="preserve">Princípios do Direito Animal Brasileiro</w:t>
      </w:r>
      <w:r w:rsidDel="00000000" w:rsidR="00000000" w:rsidRPr="00000000">
        <w:rPr>
          <w:rFonts w:ascii="Times New Roman" w:cs="Times New Roman" w:eastAsia="Times New Roman" w:hAnsi="Times New Roman"/>
          <w:sz w:val="24"/>
          <w:szCs w:val="24"/>
          <w:rtl w:val="0"/>
        </w:rPr>
        <w:t xml:space="preserve">. Revista do Programa de Pós-Graduação em Direito da UFBA, Salvador, ano 2020, v. 30, ed. 01, p. 106-136, 25 mar. 2020. DOI E-issn 2358-4777. Disponível em: https://docslib.org/doc/1033475/princ%C3%ADpios-do-direito-animal-brasileiro-vicente-de-paula-ataide-junior. Acesso em: 15 out. 2022.</w:t>
      </w:r>
    </w:p>
    <w:p w:rsidR="00000000" w:rsidDel="00000000" w:rsidP="00000000" w:rsidRDefault="00000000" w:rsidRPr="00000000" w14:paraId="00000114">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BENTHAM, J.</w:t>
      </w:r>
      <w:r w:rsidDel="00000000" w:rsidR="00000000" w:rsidRPr="00000000">
        <w:rPr>
          <w:rFonts w:ascii="Times New Roman" w:cs="Times New Roman" w:eastAsia="Times New Roman" w:hAnsi="Times New Roman"/>
          <w:b w:val="1"/>
          <w:sz w:val="24"/>
          <w:szCs w:val="24"/>
          <w:rtl w:val="0"/>
        </w:rPr>
        <w:t xml:space="preserve"> An Introduction to the Principles of Morals and Legislation</w:t>
      </w:r>
      <w:r w:rsidDel="00000000" w:rsidR="00000000" w:rsidRPr="00000000">
        <w:rPr>
          <w:rFonts w:ascii="Times New Roman" w:cs="Times New Roman" w:eastAsia="Times New Roman" w:hAnsi="Times New Roman"/>
          <w:sz w:val="24"/>
          <w:szCs w:val="24"/>
          <w:rtl w:val="0"/>
        </w:rPr>
        <w:t xml:space="preserve">, 1. ed. [S.l.]: White Dog Publishing, 2010. E-book. ISBN 197810622X. 159 p.</w:t>
      </w:r>
    </w:p>
    <w:p w:rsidR="00000000" w:rsidDel="00000000" w:rsidP="00000000" w:rsidRDefault="00000000" w:rsidRPr="00000000" w14:paraId="00000115">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Constituição Federal de 1988</w:t>
      </w:r>
      <w:r w:rsidDel="00000000" w:rsidR="00000000" w:rsidRPr="00000000">
        <w:rPr>
          <w:rFonts w:ascii="Times New Roman" w:cs="Times New Roman" w:eastAsia="Times New Roman" w:hAnsi="Times New Roman"/>
          <w:sz w:val="24"/>
          <w:szCs w:val="24"/>
          <w:rtl w:val="0"/>
        </w:rPr>
        <w:t xml:space="preserve">. Brasília: Senado Federal, 1988. Disponível em: http://www.planalto.gov.br/ccivil_03/constituicao/constituicao.htm. Acesso em: 30 abr. 2022.</w:t>
      </w:r>
    </w:p>
    <w:p w:rsidR="00000000" w:rsidDel="00000000" w:rsidP="00000000" w:rsidRDefault="00000000" w:rsidRPr="00000000" w14:paraId="00000116">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Decreto-Lei nº 4.657, de 4 de setembro de 1942. Brasília: Senado Federal, 1942. Disponível em: https://www.planalto.gov.br/ccivil_03/Decreto-Lei/Del4657compilado.htm. Acesso em: 15 out. 2022.</w:t>
      </w:r>
    </w:p>
    <w:p w:rsidR="00000000" w:rsidDel="00000000" w:rsidP="00000000" w:rsidRDefault="00000000" w:rsidRPr="00000000" w14:paraId="00000117">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Lei n º 3.071, de 1º de janeiro de 1916. </w:t>
      </w:r>
      <w:r w:rsidDel="00000000" w:rsidR="00000000" w:rsidRPr="00000000">
        <w:rPr>
          <w:rFonts w:ascii="Times New Roman" w:cs="Times New Roman" w:eastAsia="Times New Roman" w:hAnsi="Times New Roman"/>
          <w:b w:val="1"/>
          <w:sz w:val="24"/>
          <w:szCs w:val="24"/>
          <w:rtl w:val="0"/>
        </w:rPr>
        <w:t xml:space="preserve">Código Civil dos Estados Unidos do Brasil</w:t>
      </w:r>
      <w:r w:rsidDel="00000000" w:rsidR="00000000" w:rsidRPr="00000000">
        <w:rPr>
          <w:rFonts w:ascii="Times New Roman" w:cs="Times New Roman" w:eastAsia="Times New Roman" w:hAnsi="Times New Roman"/>
          <w:sz w:val="24"/>
          <w:szCs w:val="24"/>
          <w:rtl w:val="0"/>
        </w:rPr>
        <w:t xml:space="preserve">. Brasília: DF, 1916. Disponível em: https://www.planalto.gov.br/ccivil_03/Leis/L3071.htm. Acesso em: 08 out. 2022.</w:t>
      </w:r>
    </w:p>
    <w:p w:rsidR="00000000" w:rsidDel="00000000" w:rsidP="00000000" w:rsidRDefault="00000000" w:rsidRPr="00000000" w14:paraId="00000118">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Lei nº 5.197, de 3 de janeiro de 1967. </w:t>
      </w:r>
      <w:r w:rsidDel="00000000" w:rsidR="00000000" w:rsidRPr="00000000">
        <w:rPr>
          <w:rFonts w:ascii="Times New Roman" w:cs="Times New Roman" w:eastAsia="Times New Roman" w:hAnsi="Times New Roman"/>
          <w:b w:val="1"/>
          <w:sz w:val="24"/>
          <w:szCs w:val="24"/>
          <w:rtl w:val="0"/>
        </w:rPr>
        <w:t xml:space="preserve">Dispõe sobre a proteção à fauna e dá outras providências.</w:t>
      </w:r>
      <w:r w:rsidDel="00000000" w:rsidR="00000000" w:rsidRPr="00000000">
        <w:rPr>
          <w:rFonts w:ascii="Times New Roman" w:cs="Times New Roman" w:eastAsia="Times New Roman" w:hAnsi="Times New Roman"/>
          <w:sz w:val="24"/>
          <w:szCs w:val="24"/>
          <w:rtl w:val="0"/>
        </w:rPr>
        <w:t xml:space="preserve"> Brasília, DF, 1967. Disponível em: https://www.planalto.gov.br/ccivil_03/leis/l5197.htm. Acesso em: 30 abr. 2022.</w:t>
      </w:r>
    </w:p>
    <w:p w:rsidR="00000000" w:rsidDel="00000000" w:rsidP="00000000" w:rsidRDefault="00000000" w:rsidRPr="00000000" w14:paraId="00000119">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Lei nº 8.069, de 13 de julho de 1990. </w:t>
      </w:r>
      <w:r w:rsidDel="00000000" w:rsidR="00000000" w:rsidRPr="00000000">
        <w:rPr>
          <w:rFonts w:ascii="Times New Roman" w:cs="Times New Roman" w:eastAsia="Times New Roman" w:hAnsi="Times New Roman"/>
          <w:b w:val="1"/>
          <w:sz w:val="24"/>
          <w:szCs w:val="24"/>
          <w:rtl w:val="0"/>
        </w:rPr>
        <w:t xml:space="preserve">Dispõe sobre o Estatuto da Criança e do Adolescente e dá outras providências</w:t>
      </w:r>
      <w:r w:rsidDel="00000000" w:rsidR="00000000" w:rsidRPr="00000000">
        <w:rPr>
          <w:rFonts w:ascii="Times New Roman" w:cs="Times New Roman" w:eastAsia="Times New Roman" w:hAnsi="Times New Roman"/>
          <w:sz w:val="24"/>
          <w:szCs w:val="24"/>
          <w:rtl w:val="0"/>
        </w:rPr>
        <w:t xml:space="preserve">. Brasília, DF, 1990. Disponível em: https://www.planalto.gov.br/ccivil_03/leis/L8069.htm. Acesso em: 15 out. 2022.</w:t>
      </w:r>
    </w:p>
    <w:p w:rsidR="00000000" w:rsidDel="00000000" w:rsidP="00000000" w:rsidRDefault="00000000" w:rsidRPr="00000000" w14:paraId="0000011A">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Lei nº 9.605, de 12 de fevereiro de 1998. </w:t>
      </w:r>
      <w:r w:rsidDel="00000000" w:rsidR="00000000" w:rsidRPr="00000000">
        <w:rPr>
          <w:rFonts w:ascii="Times New Roman" w:cs="Times New Roman" w:eastAsia="Times New Roman" w:hAnsi="Times New Roman"/>
          <w:b w:val="1"/>
          <w:sz w:val="24"/>
          <w:szCs w:val="24"/>
          <w:rtl w:val="0"/>
        </w:rPr>
        <w:t xml:space="preserve">Dispõe sobre as sanções penais e administrativas derivadas de condutas e atividades lesivas ao meio ambiente, e dá outras providências.</w:t>
      </w:r>
      <w:r w:rsidDel="00000000" w:rsidR="00000000" w:rsidRPr="00000000">
        <w:rPr>
          <w:rFonts w:ascii="Times New Roman" w:cs="Times New Roman" w:eastAsia="Times New Roman" w:hAnsi="Times New Roman"/>
          <w:sz w:val="24"/>
          <w:szCs w:val="24"/>
          <w:rtl w:val="0"/>
        </w:rPr>
        <w:t xml:space="preserve"> Brasília, DF, 1967. Disponível em: https://www.planalto.gov.br/ccivil_03/LEIS/L9605.htm. Acesso em: 30 abr. 2022.</w:t>
      </w:r>
    </w:p>
    <w:p w:rsidR="00000000" w:rsidDel="00000000" w:rsidP="00000000" w:rsidRDefault="00000000" w:rsidRPr="00000000" w14:paraId="0000011B">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Lei nº 10.406, de 10 de janeiro de 2002. </w:t>
      </w:r>
      <w:r w:rsidDel="00000000" w:rsidR="00000000" w:rsidRPr="00000000">
        <w:rPr>
          <w:rFonts w:ascii="Times New Roman" w:cs="Times New Roman" w:eastAsia="Times New Roman" w:hAnsi="Times New Roman"/>
          <w:b w:val="1"/>
          <w:sz w:val="24"/>
          <w:szCs w:val="24"/>
          <w:rtl w:val="0"/>
        </w:rPr>
        <w:t xml:space="preserve">Institui o Código Civil</w:t>
      </w:r>
      <w:r w:rsidDel="00000000" w:rsidR="00000000" w:rsidRPr="00000000">
        <w:rPr>
          <w:rFonts w:ascii="Times New Roman" w:cs="Times New Roman" w:eastAsia="Times New Roman" w:hAnsi="Times New Roman"/>
          <w:sz w:val="24"/>
          <w:szCs w:val="24"/>
          <w:rtl w:val="0"/>
        </w:rPr>
        <w:t xml:space="preserve">. Brasília, DF, 2002. Disponível em: http://www.planalto.gov.br/ccivil_03/leis/2002/l10406compilada.htm. Acesso em: 08 out. 2002.</w:t>
      </w:r>
    </w:p>
    <w:p w:rsidR="00000000" w:rsidDel="00000000" w:rsidP="00000000" w:rsidRDefault="00000000" w:rsidRPr="00000000" w14:paraId="0000011C">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Projeto de Lei nº 6.799-C, de 2013. Brasília, DF. </w:t>
      </w:r>
      <w:r w:rsidDel="00000000" w:rsidR="00000000" w:rsidRPr="00000000">
        <w:rPr>
          <w:rFonts w:ascii="Times New Roman" w:cs="Times New Roman" w:eastAsia="Times New Roman" w:hAnsi="Times New Roman"/>
          <w:b w:val="1"/>
          <w:sz w:val="24"/>
          <w:szCs w:val="24"/>
          <w:rtl w:val="0"/>
        </w:rPr>
        <w:t xml:space="preserve">Acrescenta dispositivo à Lei nº 9.605, de 12 de fevereiro de 1998, para dispor sobre a natureza jurídica dos animais não humanos.</w:t>
      </w:r>
      <w:r w:rsidDel="00000000" w:rsidR="00000000" w:rsidRPr="00000000">
        <w:rPr>
          <w:rFonts w:ascii="Times New Roman" w:cs="Times New Roman" w:eastAsia="Times New Roman" w:hAnsi="Times New Roman"/>
          <w:sz w:val="24"/>
          <w:szCs w:val="24"/>
          <w:rtl w:val="0"/>
        </w:rPr>
        <w:t xml:space="preserve"> Brasília, DF, 2018. Disponível em: https://www.camara.leg.br/proposicoesWeb/prop_mostrarintegra?codteor=1648989. Acesso em: 14 out. 2022.</w:t>
      </w:r>
    </w:p>
    <w:p w:rsidR="00000000" w:rsidDel="00000000" w:rsidP="00000000" w:rsidRDefault="00000000" w:rsidRPr="00000000" w14:paraId="0000011D">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Supremo Tribunal Federal. </w:t>
      </w:r>
      <w:r w:rsidDel="00000000" w:rsidR="00000000" w:rsidRPr="00000000">
        <w:rPr>
          <w:rFonts w:ascii="Times New Roman" w:cs="Times New Roman" w:eastAsia="Times New Roman" w:hAnsi="Times New Roman"/>
          <w:b w:val="1"/>
          <w:sz w:val="24"/>
          <w:szCs w:val="24"/>
          <w:rtl w:val="0"/>
        </w:rPr>
        <w:t xml:space="preserve">Acórdão na Ação Declaratória de Inconstitucionalidade nº 4983/CE</w:t>
      </w:r>
      <w:r w:rsidDel="00000000" w:rsidR="00000000" w:rsidRPr="00000000">
        <w:rPr>
          <w:rFonts w:ascii="Times New Roman" w:cs="Times New Roman" w:eastAsia="Times New Roman" w:hAnsi="Times New Roman"/>
          <w:sz w:val="24"/>
          <w:szCs w:val="24"/>
          <w:rtl w:val="0"/>
        </w:rPr>
        <w:t xml:space="preserve">. Relator: MELLO, Marco Aurélio. Publicado no DJE nº 220, divulgado em 14/10/2016. Disponível em: https://portal.stf.jus.br/processos/downloadTexto.asp?id=4164232&amp;ext=RTF. Acesso em: 03 set. 2022.</w:t>
      </w:r>
    </w:p>
    <w:p w:rsidR="00000000" w:rsidDel="00000000" w:rsidP="00000000" w:rsidRDefault="00000000" w:rsidRPr="00000000" w14:paraId="0000011E">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Supremo Tribunal Federal. </w:t>
      </w:r>
      <w:r w:rsidDel="00000000" w:rsidR="00000000" w:rsidRPr="00000000">
        <w:rPr>
          <w:rFonts w:ascii="Times New Roman" w:cs="Times New Roman" w:eastAsia="Times New Roman" w:hAnsi="Times New Roman"/>
          <w:b w:val="1"/>
          <w:sz w:val="24"/>
          <w:szCs w:val="24"/>
          <w:rtl w:val="0"/>
        </w:rPr>
        <w:t xml:space="preserve">Ag. Reg. no Recurso Extraordinário nº 477.554/MG</w:t>
      </w:r>
      <w:r w:rsidDel="00000000" w:rsidR="00000000" w:rsidRPr="00000000">
        <w:rPr>
          <w:rFonts w:ascii="Times New Roman" w:cs="Times New Roman" w:eastAsia="Times New Roman" w:hAnsi="Times New Roman"/>
          <w:sz w:val="24"/>
          <w:szCs w:val="24"/>
          <w:rtl w:val="0"/>
        </w:rPr>
        <w:t xml:space="preserve">. Relator: MELLO, Celso de. Publicado no DJE nº 164, divulgado em 25/08/2011. Disponível em: https://redir.stf.jus.br/paginadorpub/paginador.jsp?docTP=AC&amp;docID=626719. Acesso em: 15 out. 2022.</w:t>
      </w:r>
    </w:p>
    <w:p w:rsidR="00000000" w:rsidDel="00000000" w:rsidP="00000000" w:rsidRDefault="00000000" w:rsidRPr="00000000" w14:paraId="0000011F">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Superior Tribual de Justiça. A</w:t>
      </w:r>
      <w:r w:rsidDel="00000000" w:rsidR="00000000" w:rsidRPr="00000000">
        <w:rPr>
          <w:rFonts w:ascii="Times New Roman" w:cs="Times New Roman" w:eastAsia="Times New Roman" w:hAnsi="Times New Roman"/>
          <w:b w:val="1"/>
          <w:sz w:val="24"/>
          <w:szCs w:val="24"/>
          <w:rtl w:val="0"/>
        </w:rPr>
        <w:t xml:space="preserve">córdão no Recurso Especial nº 1.713.167/SP.</w:t>
      </w:r>
      <w:r w:rsidDel="00000000" w:rsidR="00000000" w:rsidRPr="00000000">
        <w:rPr>
          <w:rFonts w:ascii="Times New Roman" w:cs="Times New Roman" w:eastAsia="Times New Roman" w:hAnsi="Times New Roman"/>
          <w:sz w:val="24"/>
          <w:szCs w:val="24"/>
          <w:rtl w:val="0"/>
        </w:rPr>
        <w:t xml:space="preserve"> Relator: SALOMÃO, Luis Felipe. Publicado no DJE nº 634, divulgado em 09/10/2018. Disponível em: https://scon.stj.jus.br/SCON/GetInteiroTeorDoAcordao?num_registro=201702398049&amp;dt_publicacao=09/10/2018. Acesso em: 15 out. 2022.</w:t>
      </w:r>
    </w:p>
    <w:p w:rsidR="00000000" w:rsidDel="00000000" w:rsidP="00000000" w:rsidRDefault="00000000" w:rsidRPr="00000000" w14:paraId="00000120">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CALDERÓN, R. </w:t>
      </w:r>
      <w:r w:rsidDel="00000000" w:rsidR="00000000" w:rsidRPr="00000000">
        <w:rPr>
          <w:rFonts w:ascii="Times New Roman" w:cs="Times New Roman" w:eastAsia="Times New Roman" w:hAnsi="Times New Roman"/>
          <w:b w:val="1"/>
          <w:sz w:val="24"/>
          <w:szCs w:val="24"/>
          <w:rtl w:val="0"/>
        </w:rPr>
        <w:t xml:space="preserve">Princípio da Afetividade no Direito de Família</w:t>
      </w:r>
      <w:r w:rsidDel="00000000" w:rsidR="00000000" w:rsidRPr="00000000">
        <w:rPr>
          <w:rFonts w:ascii="Times New Roman" w:cs="Times New Roman" w:eastAsia="Times New Roman" w:hAnsi="Times New Roman"/>
          <w:sz w:val="24"/>
          <w:szCs w:val="24"/>
          <w:rtl w:val="0"/>
        </w:rPr>
        <w:t xml:space="preserve">, 2. ed. Rio de Janeiro: Grupo GEN, 2017. E-book. ISBN 978-85-309-7714-6. 432 p. Disponível em: https://integrada.minhabiblioteca.com.br/#/books/9788530977153/. Acesso em: 12 out. 2022.</w:t>
      </w:r>
    </w:p>
    <w:p w:rsidR="00000000" w:rsidDel="00000000" w:rsidP="00000000" w:rsidRDefault="00000000" w:rsidRPr="00000000" w14:paraId="00000121">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DIAS, E. C. </w:t>
      </w:r>
      <w:r w:rsidDel="00000000" w:rsidR="00000000" w:rsidRPr="00000000">
        <w:rPr>
          <w:rFonts w:ascii="Times New Roman" w:cs="Times New Roman" w:eastAsia="Times New Roman" w:hAnsi="Times New Roman"/>
          <w:b w:val="1"/>
          <w:sz w:val="24"/>
          <w:szCs w:val="24"/>
          <w:rtl w:val="0"/>
        </w:rPr>
        <w:t xml:space="preserve">A Tutela Jurídica Dos Animais</w:t>
      </w:r>
      <w:r w:rsidDel="00000000" w:rsidR="00000000" w:rsidRPr="00000000">
        <w:rPr>
          <w:rFonts w:ascii="Times New Roman" w:cs="Times New Roman" w:eastAsia="Times New Roman" w:hAnsi="Times New Roman"/>
          <w:sz w:val="24"/>
          <w:szCs w:val="24"/>
          <w:rtl w:val="0"/>
        </w:rPr>
        <w:t xml:space="preserve">, 3. ed. Belo Horizonte: Clube de Autores, 2020. E-book. 535 p.</w:t>
      </w:r>
    </w:p>
    <w:p w:rsidR="00000000" w:rsidDel="00000000" w:rsidP="00000000" w:rsidRDefault="00000000" w:rsidRPr="00000000" w14:paraId="00000122">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DIOTTO, N.; DISCONZI, N. </w:t>
      </w:r>
      <w:r w:rsidDel="00000000" w:rsidR="00000000" w:rsidRPr="00000000">
        <w:rPr>
          <w:rFonts w:ascii="Times New Roman" w:cs="Times New Roman" w:eastAsia="Times New Roman" w:hAnsi="Times New Roman"/>
          <w:b w:val="1"/>
          <w:sz w:val="24"/>
          <w:szCs w:val="24"/>
          <w:rtl w:val="0"/>
        </w:rPr>
        <w:t xml:space="preserve">O capitalismo e a caça às bruxa</w:t>
      </w:r>
      <w:r w:rsidDel="00000000" w:rsidR="00000000" w:rsidRPr="00000000">
        <w:rPr>
          <w:rFonts w:ascii="Times New Roman" w:cs="Times New Roman" w:eastAsia="Times New Roman" w:hAnsi="Times New Roman"/>
          <w:sz w:val="24"/>
          <w:szCs w:val="24"/>
          <w:rtl w:val="0"/>
        </w:rPr>
        <w:t xml:space="preserve">s: diálogos entre a exploração dos corpos das mulheres e a objetualização dos animais não humanos. </w:t>
      </w:r>
      <w:r w:rsidDel="00000000" w:rsidR="00000000" w:rsidRPr="00000000">
        <w:rPr>
          <w:rFonts w:ascii="Times New Roman" w:cs="Times New Roman" w:eastAsia="Times New Roman" w:hAnsi="Times New Roman"/>
          <w:i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BRAZ, L. C.; </w:t>
      </w:r>
      <w:r w:rsidDel="00000000" w:rsidR="00000000" w:rsidRPr="00000000">
        <w:rPr>
          <w:rFonts w:ascii="Times New Roman" w:cs="Times New Roman" w:eastAsia="Times New Roman" w:hAnsi="Times New Roman"/>
          <w:sz w:val="24"/>
          <w:szCs w:val="24"/>
          <w:rtl w:val="0"/>
        </w:rPr>
        <w:t xml:space="preserve">LIMA, R. L. R. (org.). </w:t>
      </w:r>
      <w:r w:rsidDel="00000000" w:rsidR="00000000" w:rsidRPr="00000000">
        <w:rPr>
          <w:rFonts w:ascii="Times New Roman" w:cs="Times New Roman" w:eastAsia="Times New Roman" w:hAnsi="Times New Roman"/>
          <w:b w:val="1"/>
          <w:sz w:val="24"/>
          <w:szCs w:val="24"/>
          <w:rtl w:val="0"/>
        </w:rPr>
        <w:t xml:space="preserve">Direito Animal</w:t>
      </w:r>
      <w:r w:rsidDel="00000000" w:rsidR="00000000" w:rsidRPr="00000000">
        <w:rPr>
          <w:rFonts w:ascii="Times New Roman" w:cs="Times New Roman" w:eastAsia="Times New Roman" w:hAnsi="Times New Roman"/>
          <w:sz w:val="24"/>
          <w:szCs w:val="24"/>
          <w:rtl w:val="0"/>
        </w:rPr>
        <w:t xml:space="preserve">: Novos rumos para uma nova década. Salvador: Editora Mente Aberta, 2021. cap. 17, p. 221-235. ISBN 978-65-86483-41-3. E-book.</w:t>
      </w:r>
    </w:p>
    <w:p w:rsidR="00000000" w:rsidDel="00000000" w:rsidP="00000000" w:rsidRDefault="00000000" w:rsidRPr="00000000" w14:paraId="00000123">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GAGLIANO, P. S.; PAMPLONA FILHO, R. </w:t>
      </w:r>
      <w:r w:rsidDel="00000000" w:rsidR="00000000" w:rsidRPr="00000000">
        <w:rPr>
          <w:rFonts w:ascii="Times New Roman" w:cs="Times New Roman" w:eastAsia="Times New Roman" w:hAnsi="Times New Roman"/>
          <w:b w:val="1"/>
          <w:sz w:val="24"/>
          <w:szCs w:val="24"/>
          <w:rtl w:val="0"/>
        </w:rPr>
        <w:t xml:space="preserve">Novo curso de direito civil</w:t>
      </w:r>
      <w:r w:rsidDel="00000000" w:rsidR="00000000" w:rsidRPr="00000000">
        <w:rPr>
          <w:rFonts w:ascii="Times New Roman" w:cs="Times New Roman" w:eastAsia="Times New Roman" w:hAnsi="Times New Roman"/>
          <w:sz w:val="24"/>
          <w:szCs w:val="24"/>
          <w:rtl w:val="0"/>
        </w:rPr>
        <w:t xml:space="preserve">: Direito de família. 11. ed. São Paulo: Saraiva Educação, 2021.  v. 6. ISBN 978-65-5559-250-4. 776 p.</w:t>
      </w:r>
    </w:p>
    <w:p w:rsidR="00000000" w:rsidDel="00000000" w:rsidP="00000000" w:rsidRDefault="00000000" w:rsidRPr="00000000" w14:paraId="00000124">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GONÇALVES, M. M. </w:t>
      </w:r>
      <w:r w:rsidDel="00000000" w:rsidR="00000000" w:rsidRPr="00000000">
        <w:rPr>
          <w:rFonts w:ascii="Times New Roman" w:cs="Times New Roman" w:eastAsia="Times New Roman" w:hAnsi="Times New Roman"/>
          <w:b w:val="1"/>
          <w:sz w:val="24"/>
          <w:szCs w:val="24"/>
          <w:rtl w:val="0"/>
        </w:rPr>
        <w:t xml:space="preserve">Dano Animal.</w:t>
      </w:r>
      <w:r w:rsidDel="00000000" w:rsidR="00000000" w:rsidRPr="00000000">
        <w:rPr>
          <w:rFonts w:ascii="Times New Roman" w:cs="Times New Roman" w:eastAsia="Times New Roman" w:hAnsi="Times New Roman"/>
          <w:sz w:val="24"/>
          <w:szCs w:val="24"/>
          <w:rtl w:val="0"/>
        </w:rPr>
        <w:t xml:space="preserve"> Rio de Janeiro: Lumen Juris, 2020. ISBN 978-85-519-1795-4. 280 p.</w:t>
      </w:r>
    </w:p>
    <w:p w:rsidR="00000000" w:rsidDel="00000000" w:rsidP="00000000" w:rsidRDefault="00000000" w:rsidRPr="00000000" w14:paraId="00000125">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GRANZIERA, M. L. M. </w:t>
      </w:r>
      <w:r w:rsidDel="00000000" w:rsidR="00000000" w:rsidRPr="00000000">
        <w:rPr>
          <w:rFonts w:ascii="Times New Roman" w:cs="Times New Roman" w:eastAsia="Times New Roman" w:hAnsi="Times New Roman"/>
          <w:b w:val="1"/>
          <w:sz w:val="24"/>
          <w:szCs w:val="24"/>
          <w:rtl w:val="0"/>
        </w:rPr>
        <w:t xml:space="preserve">Direito Ambiental</w:t>
      </w:r>
      <w:r w:rsidDel="00000000" w:rsidR="00000000" w:rsidRPr="00000000">
        <w:rPr>
          <w:rFonts w:ascii="Times New Roman" w:cs="Times New Roman" w:eastAsia="Times New Roman" w:hAnsi="Times New Roman"/>
          <w:sz w:val="24"/>
          <w:szCs w:val="24"/>
          <w:rtl w:val="0"/>
        </w:rPr>
        <w:t xml:space="preserve">, 3. ed. São Paulo: Atlas, 2014. ISBN 978-85-224-8439-3.</w:t>
      </w:r>
    </w:p>
    <w:p w:rsidR="00000000" w:rsidDel="00000000" w:rsidP="00000000" w:rsidRDefault="00000000" w:rsidRPr="00000000" w14:paraId="00000126">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 I. </w:t>
      </w:r>
      <w:r w:rsidDel="00000000" w:rsidR="00000000" w:rsidRPr="00000000">
        <w:rPr>
          <w:rFonts w:ascii="Times New Roman" w:cs="Times New Roman" w:eastAsia="Times New Roman" w:hAnsi="Times New Roman"/>
          <w:b w:val="1"/>
          <w:sz w:val="24"/>
          <w:szCs w:val="24"/>
          <w:rtl w:val="0"/>
        </w:rPr>
        <w:t xml:space="preserve">Crítica da Razão Pura</w:t>
      </w:r>
      <w:r w:rsidDel="00000000" w:rsidR="00000000" w:rsidRPr="00000000">
        <w:rPr>
          <w:rFonts w:ascii="Times New Roman" w:cs="Times New Roman" w:eastAsia="Times New Roman" w:hAnsi="Times New Roman"/>
          <w:sz w:val="24"/>
          <w:szCs w:val="24"/>
          <w:rtl w:val="0"/>
        </w:rPr>
        <w:t xml:space="preserve">, 1. ed. [S.l.]: Edipro, 2020. E-book. 757 p.</w:t>
      </w:r>
    </w:p>
    <w:p w:rsidR="00000000" w:rsidDel="00000000" w:rsidP="00000000" w:rsidRDefault="00000000" w:rsidRPr="00000000" w14:paraId="00000127">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LINHARES, A. S. </w:t>
      </w:r>
      <w:r w:rsidDel="00000000" w:rsidR="00000000" w:rsidRPr="00000000">
        <w:rPr>
          <w:rFonts w:ascii="Times New Roman" w:cs="Times New Roman" w:eastAsia="Times New Roman" w:hAnsi="Times New Roman"/>
          <w:b w:val="1"/>
          <w:sz w:val="24"/>
          <w:szCs w:val="24"/>
          <w:rtl w:val="0"/>
        </w:rPr>
        <w:t xml:space="preserve">Família multiespécie:</w:t>
      </w:r>
      <w:r w:rsidDel="00000000" w:rsidR="00000000" w:rsidRPr="00000000">
        <w:rPr>
          <w:rFonts w:ascii="Times New Roman" w:cs="Times New Roman" w:eastAsia="Times New Roman" w:hAnsi="Times New Roman"/>
          <w:sz w:val="24"/>
          <w:szCs w:val="24"/>
          <w:rtl w:val="0"/>
        </w:rPr>
        <w:t xml:space="preserve"> uma análise da natureza jurídica do direito à visitação. Artigo científico apresentado no Curso de Pós-Graduação Lato Sensu da Escola da Magistratura do Estado do Rio de Janeiro. 2019. Disponível em: https://www.emerj.tjrj.jus.br/paginas/trabalhos_conclusao/2semestre2019/pdf/AmandaSouzaLinhares.pdf. Acesso em 15 out. 2022.</w:t>
      </w:r>
    </w:p>
    <w:p w:rsidR="00000000" w:rsidDel="00000000" w:rsidP="00000000" w:rsidRDefault="00000000" w:rsidRPr="00000000" w14:paraId="00000128">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P. </w:t>
      </w:r>
      <w:r w:rsidDel="00000000" w:rsidR="00000000" w:rsidRPr="00000000">
        <w:rPr>
          <w:rFonts w:ascii="Times New Roman" w:cs="Times New Roman" w:eastAsia="Times New Roman" w:hAnsi="Times New Roman"/>
          <w:b w:val="1"/>
          <w:sz w:val="24"/>
          <w:szCs w:val="24"/>
          <w:rtl w:val="0"/>
        </w:rPr>
        <w:t xml:space="preserve">The Cambridge Declaration on Consciousness</w:t>
      </w:r>
      <w:r w:rsidDel="00000000" w:rsidR="00000000" w:rsidRPr="00000000">
        <w:rPr>
          <w:rFonts w:ascii="Times New Roman" w:cs="Times New Roman" w:eastAsia="Times New Roman" w:hAnsi="Times New Roman"/>
          <w:sz w:val="24"/>
          <w:szCs w:val="24"/>
          <w:rtl w:val="0"/>
        </w:rPr>
        <w:t xml:space="preserve">. Cambridge, 7 jul. 2012. Disponível em: https://fcmconference.org/img/CambridgeDeclarationOnConsciousness.pdf. Acesso em: 30 abr. 2022.</w:t>
      </w:r>
    </w:p>
    <w:p w:rsidR="00000000" w:rsidDel="00000000" w:rsidP="00000000" w:rsidRDefault="00000000" w:rsidRPr="00000000" w14:paraId="00000129">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MADALENO, R. </w:t>
      </w:r>
      <w:r w:rsidDel="00000000" w:rsidR="00000000" w:rsidRPr="00000000">
        <w:rPr>
          <w:rFonts w:ascii="Times New Roman" w:cs="Times New Roman" w:eastAsia="Times New Roman" w:hAnsi="Times New Roman"/>
          <w:b w:val="1"/>
          <w:sz w:val="24"/>
          <w:szCs w:val="24"/>
          <w:rtl w:val="0"/>
        </w:rPr>
        <w:t xml:space="preserve">Direito de Família</w:t>
      </w:r>
      <w:r w:rsidDel="00000000" w:rsidR="00000000" w:rsidRPr="00000000">
        <w:rPr>
          <w:rFonts w:ascii="Times New Roman" w:cs="Times New Roman" w:eastAsia="Times New Roman" w:hAnsi="Times New Roman"/>
          <w:sz w:val="24"/>
          <w:szCs w:val="24"/>
          <w:rtl w:val="0"/>
        </w:rPr>
        <w:t xml:space="preserve">. Rio de Janeiro: Grupo GEN, 2022. E-book. ISBN 978-65-5964-442-1. Disponível em: https://integrada.minhabiblioteca.com.br/#/books/9786559644872/. Acesso em: 15 out. 2022. 1451 p.</w:t>
      </w:r>
    </w:p>
    <w:p w:rsidR="00000000" w:rsidDel="00000000" w:rsidP="00000000" w:rsidRDefault="00000000" w:rsidRPr="00000000" w14:paraId="0000012A">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PEREIRA, C. M. da S. </w:t>
      </w:r>
      <w:r w:rsidDel="00000000" w:rsidR="00000000" w:rsidRPr="00000000">
        <w:rPr>
          <w:rFonts w:ascii="Times New Roman" w:cs="Times New Roman" w:eastAsia="Times New Roman" w:hAnsi="Times New Roman"/>
          <w:b w:val="1"/>
          <w:sz w:val="24"/>
          <w:szCs w:val="24"/>
          <w:rtl w:val="0"/>
        </w:rPr>
        <w:t xml:space="preserve">Instituições de Direito Civil</w:t>
      </w:r>
      <w:r w:rsidDel="00000000" w:rsidR="00000000" w:rsidRPr="00000000">
        <w:rPr>
          <w:rFonts w:ascii="Times New Roman" w:cs="Times New Roman" w:eastAsia="Times New Roman" w:hAnsi="Times New Roman"/>
          <w:sz w:val="24"/>
          <w:szCs w:val="24"/>
          <w:rtl w:val="0"/>
        </w:rPr>
        <w:t xml:space="preserve">: Direito de Família. v.V. Rio de Janeiro: Grupo GEN, 2022. E-book. ISBN 978-65-5964-339-4. Disponível em: https://integrada.minhabiblioteca.com.br/#/books/9786559643417/. Acesso em: 14 out. 2022. 817 p.</w:t>
      </w:r>
    </w:p>
    <w:p w:rsidR="00000000" w:rsidDel="00000000" w:rsidP="00000000" w:rsidRDefault="00000000" w:rsidRPr="00000000" w14:paraId="000001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SARLET, I. W.; FENSTERSEIFER, T. </w:t>
      </w:r>
      <w:r w:rsidDel="00000000" w:rsidR="00000000" w:rsidRPr="00000000">
        <w:rPr>
          <w:rFonts w:ascii="Times New Roman" w:cs="Times New Roman" w:eastAsia="Times New Roman" w:hAnsi="Times New Roman"/>
          <w:b w:val="1"/>
          <w:sz w:val="24"/>
          <w:szCs w:val="24"/>
          <w:rtl w:val="0"/>
        </w:rPr>
        <w:t xml:space="preserve">Princípios do direito ambiental</w:t>
      </w:r>
      <w:r w:rsidDel="00000000" w:rsidR="00000000" w:rsidRPr="00000000">
        <w:rPr>
          <w:rFonts w:ascii="Times New Roman" w:cs="Times New Roman" w:eastAsia="Times New Roman" w:hAnsi="Times New Roman"/>
          <w:sz w:val="24"/>
          <w:szCs w:val="24"/>
          <w:rtl w:val="0"/>
        </w:rPr>
        <w:t xml:space="preserve">. São Paulo: Editora Saraiva, 2017. E-book. ISBN 9788547218607. Disponível em: https://integrada.minhabiblioteca.com.br/#/books/9788547218607/. Acesso em: 30 ago. 2022. 137 p.</w:t>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MARINONI, L. G.; MITIDIERO, D. </w:t>
      </w:r>
      <w:r w:rsidDel="00000000" w:rsidR="00000000" w:rsidRPr="00000000">
        <w:rPr>
          <w:rFonts w:ascii="Times New Roman" w:cs="Times New Roman" w:eastAsia="Times New Roman" w:hAnsi="Times New Roman"/>
          <w:b w:val="1"/>
          <w:sz w:val="24"/>
          <w:szCs w:val="24"/>
          <w:rtl w:val="0"/>
        </w:rPr>
        <w:t xml:space="preserve">Curso de direito constitucional.</w:t>
      </w:r>
      <w:r w:rsidDel="00000000" w:rsidR="00000000" w:rsidRPr="00000000">
        <w:rPr>
          <w:rFonts w:ascii="Times New Roman" w:cs="Times New Roman" w:eastAsia="Times New Roman" w:hAnsi="Times New Roman"/>
          <w:sz w:val="24"/>
          <w:szCs w:val="24"/>
          <w:rtl w:val="0"/>
        </w:rPr>
        <w:t xml:space="preserve"> São Paulo: Editora Saraiva, 2022. E-book. ISBN 978-65-5362-182-4. Disponível em: https://integrada.minhabiblioteca.com.br/#/books/9786553620490/. Acesso em: 30 ago. 2022. 934 p.</w:t>
      </w:r>
    </w:p>
    <w:p w:rsidR="00000000" w:rsidDel="00000000" w:rsidP="00000000" w:rsidRDefault="00000000" w:rsidRPr="00000000" w14:paraId="0000012E">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J. M. R. P. B. </w:t>
      </w:r>
      <w:r w:rsidDel="00000000" w:rsidR="00000000" w:rsidRPr="00000000">
        <w:rPr>
          <w:rFonts w:ascii="Times New Roman" w:cs="Times New Roman" w:eastAsia="Times New Roman" w:hAnsi="Times New Roman"/>
          <w:b w:val="1"/>
          <w:sz w:val="24"/>
          <w:szCs w:val="24"/>
          <w:rtl w:val="0"/>
        </w:rPr>
        <w:t xml:space="preserve">Curso de Direito Animal</w:t>
      </w:r>
      <w:r w:rsidDel="00000000" w:rsidR="00000000" w:rsidRPr="00000000">
        <w:rPr>
          <w:rFonts w:ascii="Times New Roman" w:cs="Times New Roman" w:eastAsia="Times New Roman" w:hAnsi="Times New Roman"/>
          <w:sz w:val="24"/>
          <w:szCs w:val="24"/>
          <w:rtl w:val="0"/>
        </w:rPr>
        <w:t xml:space="preserve">. Natal: ‎ Clube de Autores, 2021. ISBN 978-65-5041-069-8. 595 p.</w:t>
      </w:r>
    </w:p>
    <w:p w:rsidR="00000000" w:rsidDel="00000000" w:rsidP="00000000" w:rsidRDefault="00000000" w:rsidRPr="00000000" w14:paraId="0000012F">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w:t>
      </w:r>
      <w:r w:rsidDel="00000000" w:rsidR="00000000" w:rsidRPr="00000000">
        <w:rPr>
          <w:rFonts w:ascii="Times New Roman" w:cs="Times New Roman" w:eastAsia="Times New Roman" w:hAnsi="Times New Roman"/>
          <w:b w:val="1"/>
          <w:sz w:val="24"/>
          <w:szCs w:val="24"/>
          <w:rtl w:val="0"/>
        </w:rPr>
        <w:t xml:space="preserve">Família Multiespécie</w:t>
      </w:r>
      <w:r w:rsidDel="00000000" w:rsidR="00000000" w:rsidRPr="00000000">
        <w:rPr>
          <w:rFonts w:ascii="Times New Roman" w:cs="Times New Roman" w:eastAsia="Times New Roman" w:hAnsi="Times New Roman"/>
          <w:sz w:val="24"/>
          <w:szCs w:val="24"/>
          <w:rtl w:val="0"/>
        </w:rPr>
        <w:t xml:space="preserve">: reflexos do direito animal no direito de família e sucessões. Natal: Clube de Autores, 2020. ISBN 978-6500070842. 108 p.</w:t>
      </w:r>
    </w:p>
    <w:p w:rsidR="00000000" w:rsidDel="00000000" w:rsidP="00000000" w:rsidRDefault="00000000" w:rsidRPr="00000000" w14:paraId="00000130">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TARTUCE, F. </w:t>
      </w:r>
      <w:r w:rsidDel="00000000" w:rsidR="00000000" w:rsidRPr="00000000">
        <w:rPr>
          <w:rFonts w:ascii="Times New Roman" w:cs="Times New Roman" w:eastAsia="Times New Roman" w:hAnsi="Times New Roman"/>
          <w:b w:val="1"/>
          <w:sz w:val="24"/>
          <w:szCs w:val="24"/>
          <w:rtl w:val="0"/>
        </w:rPr>
        <w:t xml:space="preserve">Direito Civil:</w:t>
      </w:r>
      <w:r w:rsidDel="00000000" w:rsidR="00000000" w:rsidRPr="00000000">
        <w:rPr>
          <w:rFonts w:ascii="Times New Roman" w:cs="Times New Roman" w:eastAsia="Times New Roman" w:hAnsi="Times New Roman"/>
          <w:sz w:val="24"/>
          <w:szCs w:val="24"/>
          <w:rtl w:val="0"/>
        </w:rPr>
        <w:t xml:space="preserve"> Direito de Família - Vol. 5. Rio de Janeiro: Grupo GEN, 2022. E-book. ISBN 978-65-596-4356-1. Disponível em: https://integrada.minhabiblioteca.com.br/#/books/9786559643578/. Acesso em: 15 out. 2022. 881 p.</w:t>
      </w:r>
    </w:p>
    <w:p w:rsidR="00000000" w:rsidDel="00000000" w:rsidP="00000000" w:rsidRDefault="00000000" w:rsidRPr="00000000" w14:paraId="00000131">
      <w:pPr>
        <w:tabs>
          <w:tab w:val="left" w:pos="70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TITAN, R. F. </w:t>
      </w:r>
      <w:r w:rsidDel="00000000" w:rsidR="00000000" w:rsidRPr="00000000">
        <w:rPr>
          <w:rFonts w:ascii="Times New Roman" w:cs="Times New Roman" w:eastAsia="Times New Roman" w:hAnsi="Times New Roman"/>
          <w:b w:val="1"/>
          <w:sz w:val="24"/>
          <w:szCs w:val="24"/>
          <w:rtl w:val="0"/>
        </w:rPr>
        <w:t xml:space="preserve">Direito Animal:</w:t>
      </w:r>
      <w:r w:rsidDel="00000000" w:rsidR="00000000" w:rsidRPr="00000000">
        <w:rPr>
          <w:rFonts w:ascii="Times New Roman" w:cs="Times New Roman" w:eastAsia="Times New Roman" w:hAnsi="Times New Roman"/>
          <w:sz w:val="24"/>
          <w:szCs w:val="24"/>
          <w:rtl w:val="0"/>
        </w:rPr>
        <w:t xml:space="preserve"> O Direito do Animal Não Humano no Cenário Processual Penal e Ambiental. Rio de Janeiro: Lumen Juris, 2021. ISBN 978-65-5510-265-9. 156 p.</w:t>
      </w:r>
    </w:p>
    <w:p w:rsidR="00000000" w:rsidDel="00000000" w:rsidP="00000000" w:rsidRDefault="00000000" w:rsidRPr="00000000" w14:paraId="00000132">
      <w:pPr>
        <w:tabs>
          <w:tab w:val="left" w:pos="708"/>
        </w:tabs>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WOLF, K. E. A. </w:t>
      </w:r>
      <w:r w:rsidDel="00000000" w:rsidR="00000000" w:rsidRPr="00000000">
        <w:rPr>
          <w:rFonts w:ascii="Times New Roman" w:cs="Times New Roman" w:eastAsia="Times New Roman" w:hAnsi="Times New Roman"/>
          <w:b w:val="1"/>
          <w:sz w:val="24"/>
          <w:szCs w:val="24"/>
          <w:rtl w:val="0"/>
        </w:rPr>
        <w:t xml:space="preserve">Proteção jurídica do animal não humano:</w:t>
      </w:r>
      <w:r w:rsidDel="00000000" w:rsidR="00000000" w:rsidRPr="00000000">
        <w:rPr>
          <w:rFonts w:ascii="Times New Roman" w:cs="Times New Roman" w:eastAsia="Times New Roman" w:hAnsi="Times New Roman"/>
          <w:sz w:val="24"/>
          <w:szCs w:val="24"/>
          <w:rtl w:val="0"/>
        </w:rPr>
        <w:t xml:space="preserve"> Entre Cosmopolitismo e Cosmopolíticas. Rio de Janeiro: Lumen Juris, 2019. ISBN 978-85-519-1387-1. 212 p.</w:t>
      </w:r>
      <w:r w:rsidDel="00000000" w:rsidR="00000000" w:rsidRPr="00000000">
        <w:rPr>
          <w:rtl w:val="0"/>
        </w:rPr>
      </w:r>
    </w:p>
    <w:sectPr>
      <w:footerReference r:id="rId7" w:type="default"/>
      <w:pgSz w:h="16838" w:w="11906" w:orient="portrait"/>
      <w:pgMar w:bottom="1134"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708"/>
      </w:tabs>
      <w:spacing w:after="60" w:before="240" w:line="276" w:lineRule="auto"/>
      <w:ind w:left="720" w:right="0" w:hanging="72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8"/>
      </w:tabs>
      <w:spacing w:after="60" w:before="240" w:line="276" w:lineRule="auto"/>
      <w:ind w:left="1008" w:right="0" w:hanging="1008"/>
      <w:jc w:val="left"/>
    </w:pPr>
    <w:rPr>
      <w:rFonts w:ascii="Times New Roman" w:cs="Times New Roman" w:eastAsia="Times New Roman" w:hAnsi="Times New Roman"/>
      <w:b w:val="1"/>
      <w:i w:val="1"/>
      <w:smallCaps w:val="0"/>
      <w:strike w:val="0"/>
      <w:color w:val="000000"/>
      <w:sz w:val="26"/>
      <w:szCs w:val="26"/>
      <w:u w:val="none"/>
      <w:shd w:fill="auto" w:val="clear"/>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708"/>
      </w:tabs>
      <w:spacing w:after="120" w:before="240" w:line="276" w:lineRule="auto"/>
      <w:ind w:left="0" w:right="0" w:firstLine="0"/>
      <w:jc w:val="left"/>
    </w:pPr>
    <w:rPr>
      <w:rFonts w:ascii="Arial" w:cs="Arial" w:eastAsia="Arial" w:hAnsi="Arial"/>
      <w:b w:val="0"/>
      <w:i w:val="0"/>
      <w:smallCaps w:val="0"/>
      <w:strike w:val="0"/>
      <w:color w:val="000000"/>
      <w:sz w:val="28"/>
      <w:szCs w:val="28"/>
      <w:u w:val="none"/>
      <w:shd w:fill="auto" w:val="clear"/>
      <w:vertAlign w:val="baseline"/>
    </w:rPr>
  </w:style>
  <w:style w:type="paragraph" w:styleId="Normal" w:default="1">
    <w:name w:val="Normal"/>
    <w:qFormat w:val="1"/>
    <w:rsid w:val="005851FD"/>
  </w:style>
  <w:style w:type="paragraph" w:styleId="Ttulo1">
    <w:name w:val="heading 1"/>
    <w:basedOn w:val="Padro"/>
    <w:next w:val="Corpodetexto"/>
    <w:uiPriority w:val="9"/>
    <w:qFormat w:val="1"/>
    <w:rsid w:val="00C338F5"/>
    <w:pPr>
      <w:keepNext w:val="1"/>
      <w:spacing w:after="0" w:line="360" w:lineRule="auto"/>
      <w:jc w:val="both"/>
      <w:outlineLvl w:val="0"/>
    </w:pPr>
    <w:rPr>
      <w:rFonts w:ascii="Times New Roman" w:eastAsia="Times New Roman" w:hAnsi="Times New Roman"/>
      <w:b w:val="1"/>
      <w:sz w:val="24"/>
      <w:szCs w:val="20"/>
      <w:lang w:eastAsia="pt-BR"/>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Padro"/>
    <w:next w:val="Corpodetexto"/>
    <w:uiPriority w:val="9"/>
    <w:semiHidden w:val="1"/>
    <w:unhideWhenUsed w:val="1"/>
    <w:qFormat w:val="1"/>
    <w:rsid w:val="00C338F5"/>
    <w:pPr>
      <w:keepNext w:val="1"/>
      <w:tabs>
        <w:tab w:val="clear" w:pos="708"/>
        <w:tab w:val="num" w:pos="720"/>
      </w:tabs>
      <w:spacing w:after="60" w:before="240" w:line="100" w:lineRule="atLeast"/>
      <w:ind w:left="720" w:hanging="720"/>
      <w:outlineLvl w:val="2"/>
    </w:pPr>
    <w:rPr>
      <w:rFonts w:ascii="Arial" w:cs="Arial" w:eastAsia="Times New Roman" w:hAnsi="Arial"/>
      <w:b w:val="1"/>
      <w:bCs w:val="1"/>
      <w:sz w:val="26"/>
      <w:szCs w:val="26"/>
      <w:lang w:eastAsia="pt-BR"/>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Padro"/>
    <w:next w:val="Corpodetexto"/>
    <w:uiPriority w:val="9"/>
    <w:semiHidden w:val="1"/>
    <w:unhideWhenUsed w:val="1"/>
    <w:qFormat w:val="1"/>
    <w:rsid w:val="00C338F5"/>
    <w:pPr>
      <w:tabs>
        <w:tab w:val="num" w:pos="1008"/>
      </w:tabs>
      <w:spacing w:after="60" w:before="240" w:line="100" w:lineRule="atLeast"/>
      <w:ind w:left="1008" w:hanging="1008"/>
      <w:outlineLvl w:val="4"/>
    </w:pPr>
    <w:rPr>
      <w:rFonts w:ascii="Times New Roman" w:eastAsia="Times New Roman" w:hAnsi="Times New Roman"/>
      <w:b w:val="1"/>
      <w:bCs w:val="1"/>
      <w:i w:val="1"/>
      <w:iCs w:val="1"/>
      <w:sz w:val="26"/>
      <w:szCs w:val="26"/>
      <w:lang w:eastAsia="pt-BR"/>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Padro"/>
    <w:next w:val="Corpodetexto"/>
    <w:uiPriority w:val="10"/>
    <w:qFormat w:val="1"/>
    <w:rsid w:val="00C338F5"/>
    <w:pPr>
      <w:keepNext w:val="1"/>
      <w:spacing w:after="120" w:before="240"/>
    </w:pPr>
    <w:rPr>
      <w:rFonts w:ascii="Arial" w:cs="Mangal" w:eastAsia="Microsoft YaHei" w:hAnsi="Arial"/>
      <w:sz w:val="28"/>
      <w:szCs w:val="2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adro" w:customStyle="1">
    <w:name w:val="Padrão"/>
    <w:rsid w:val="00C338F5"/>
    <w:pPr>
      <w:tabs>
        <w:tab w:val="left" w:pos="708"/>
      </w:tabs>
      <w:suppressAutoHyphens w:val="1"/>
    </w:pPr>
    <w:rPr>
      <w:rFonts w:cs="Times New Roman"/>
      <w:lang w:eastAsia="en-US"/>
    </w:rPr>
  </w:style>
  <w:style w:type="character" w:styleId="LinkdaInternet" w:customStyle="1">
    <w:name w:val="Link da Internet"/>
    <w:rsid w:val="00C338F5"/>
    <w:rPr>
      <w:color w:val="0000ff"/>
      <w:u w:val="single"/>
      <w:lang w:bidi="pt-BR" w:eastAsia="pt-BR" w:val="pt-BR"/>
    </w:rPr>
  </w:style>
  <w:style w:type="character" w:styleId="Ttulo1Char" w:customStyle="1">
    <w:name w:val="Título 1 Char"/>
    <w:basedOn w:val="Fontepargpadro"/>
    <w:rsid w:val="00C338F5"/>
    <w:rPr>
      <w:rFonts w:ascii="Times New Roman" w:cs="Times New Roman" w:eastAsia="Times New Roman" w:hAnsi="Times New Roman"/>
      <w:b w:val="1"/>
      <w:sz w:val="24"/>
      <w:szCs w:val="20"/>
      <w:lang w:eastAsia="pt-BR"/>
    </w:rPr>
  </w:style>
  <w:style w:type="character" w:styleId="Ttulo3Char" w:customStyle="1">
    <w:name w:val="Título 3 Char"/>
    <w:basedOn w:val="Fontepargpadro"/>
    <w:rsid w:val="00C338F5"/>
    <w:rPr>
      <w:rFonts w:ascii="Arial" w:cs="Arial" w:eastAsia="Times New Roman" w:hAnsi="Arial"/>
      <w:b w:val="1"/>
      <w:bCs w:val="1"/>
      <w:sz w:val="26"/>
      <w:szCs w:val="26"/>
      <w:lang w:eastAsia="pt-BR"/>
    </w:rPr>
  </w:style>
  <w:style w:type="character" w:styleId="Ttulo5Char" w:customStyle="1">
    <w:name w:val="Título 5 Char"/>
    <w:basedOn w:val="Fontepargpadro"/>
    <w:rsid w:val="00C338F5"/>
    <w:rPr>
      <w:rFonts w:ascii="Times New Roman" w:cs="Times New Roman" w:eastAsia="Times New Roman" w:hAnsi="Times New Roman"/>
      <w:b w:val="1"/>
      <w:bCs w:val="1"/>
      <w:i w:val="1"/>
      <w:iCs w:val="1"/>
      <w:sz w:val="26"/>
      <w:szCs w:val="26"/>
      <w:lang w:eastAsia="pt-BR"/>
    </w:rPr>
  </w:style>
  <w:style w:type="character" w:styleId="Recuodecorpodetexto2Char" w:customStyle="1">
    <w:name w:val="Recuo de corpo de texto 2 Char"/>
    <w:basedOn w:val="Fontepargpadro"/>
    <w:rsid w:val="00C338F5"/>
    <w:rPr>
      <w:rFonts w:ascii="Times New Roman" w:cs="Times New Roman" w:eastAsia="Times New Roman" w:hAnsi="Times New Roman"/>
      <w:sz w:val="28"/>
      <w:szCs w:val="24"/>
      <w:lang w:eastAsia="pt-BR"/>
    </w:rPr>
  </w:style>
  <w:style w:type="character" w:styleId="Refdenotaderodap">
    <w:name w:val="footnote reference"/>
    <w:basedOn w:val="Fontepargpadro"/>
    <w:rsid w:val="00C338F5"/>
    <w:rPr>
      <w:vertAlign w:val="superscript"/>
    </w:rPr>
  </w:style>
  <w:style w:type="character" w:styleId="TextodenotaderodapChar" w:customStyle="1">
    <w:name w:val="Texto de nota de rodapé Char"/>
    <w:basedOn w:val="Fontepargpadro"/>
    <w:rsid w:val="00C338F5"/>
    <w:rPr>
      <w:rFonts w:ascii="Times New Roman" w:cs="Times New Roman" w:eastAsia="Times New Roman" w:hAnsi="Times New Roman"/>
      <w:sz w:val="20"/>
      <w:szCs w:val="20"/>
      <w:lang w:eastAsia="pt-BR"/>
    </w:rPr>
  </w:style>
  <w:style w:type="character" w:styleId="ListLabel1" w:customStyle="1">
    <w:name w:val="ListLabel 1"/>
    <w:rsid w:val="00C338F5"/>
    <w:rPr>
      <w:rFonts w:cs="Courier New"/>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val="1"/>
      <w:spacing w:after="120" w:before="120"/>
    </w:pPr>
    <w:rPr>
      <w:rFonts w:cs="Mangal"/>
      <w:i w:val="1"/>
      <w:iCs w:val="1"/>
      <w:sz w:val="24"/>
      <w:szCs w:val="24"/>
    </w:rPr>
  </w:style>
  <w:style w:type="paragraph" w:styleId="ndice" w:customStyle="1">
    <w:name w:val="Índice"/>
    <w:basedOn w:val="Padro"/>
    <w:rsid w:val="00C338F5"/>
    <w:pPr>
      <w:suppressLineNumbers w:val="1"/>
    </w:pPr>
    <w:rPr>
      <w:rFonts w:cs="Mangal"/>
    </w:rPr>
  </w:style>
  <w:style w:type="paragraph" w:styleId="PargrafodaLista">
    <w:name w:val="List Paragraph"/>
    <w:basedOn w:val="Padro"/>
    <w:rsid w:val="00C338F5"/>
    <w:pPr>
      <w:ind w:left="720"/>
    </w:pPr>
  </w:style>
  <w:style w:type="paragraph" w:styleId="tj" w:customStyle="1">
    <w:name w:val="tj"/>
    <w:basedOn w:val="Padro"/>
    <w:rsid w:val="00C338F5"/>
    <w:pPr>
      <w:spacing w:after="28" w:before="28" w:line="100" w:lineRule="atLeast"/>
    </w:pPr>
    <w:rPr>
      <w:rFonts w:ascii="Times New Roman" w:eastAsia="Times New Roman" w:hAnsi="Times New Roman"/>
      <w:sz w:val="24"/>
      <w:szCs w:val="24"/>
      <w:lang w:eastAsia="pt-BR"/>
    </w:rPr>
  </w:style>
  <w:style w:type="paragraph" w:styleId="text1" w:customStyle="1">
    <w:name w:val="text1"/>
    <w:basedOn w:val="Padro"/>
    <w:rsid w:val="00C338F5"/>
    <w:pPr>
      <w:spacing w:after="300" w:before="300" w:line="100" w:lineRule="atLeast"/>
      <w:ind w:left="100" w:right="100"/>
    </w:pPr>
    <w:rPr>
      <w:rFonts w:ascii="Times New Roman" w:eastAsia="Times New Roman" w:hAnsi="Times New Roman"/>
      <w:sz w:val="26"/>
      <w:szCs w:val="26"/>
      <w:lang w:eastAsia="pt-BR"/>
    </w:rPr>
  </w:style>
  <w:style w:type="paragraph" w:styleId="NormalWeb">
    <w:name w:val="Normal (Web)"/>
    <w:basedOn w:val="Padro"/>
    <w:rsid w:val="00C338F5"/>
    <w:pPr>
      <w:spacing w:after="28" w:before="28" w:line="100" w:lineRule="atLeast"/>
    </w:pPr>
    <w:rPr>
      <w:rFonts w:ascii="Times New Roman" w:eastAsia="Times New Roman" w:hAnsi="Times New Roman"/>
      <w:sz w:val="24"/>
      <w:szCs w:val="24"/>
      <w:lang w:eastAsia="pt-BR"/>
    </w:rPr>
  </w:style>
  <w:style w:type="paragraph" w:styleId="ecxmsonormal" w:customStyle="1">
    <w:name w:val="ecxmsonormal"/>
    <w:basedOn w:val="Padro"/>
    <w:rsid w:val="00C338F5"/>
    <w:pPr>
      <w:spacing w:after="28" w:before="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val="1"/>
      <w:sz w:val="28"/>
      <w:szCs w:val="24"/>
      <w:lang w:eastAsia="pt-BR"/>
    </w:rPr>
  </w:style>
  <w:style w:type="paragraph" w:styleId="Textodebalo">
    <w:name w:val="Balloon Text"/>
    <w:basedOn w:val="Normal"/>
    <w:link w:val="TextodebaloChar"/>
    <w:uiPriority w:val="99"/>
    <w:semiHidden w:val="1"/>
    <w:unhideWhenUsed w:val="1"/>
    <w:rsid w:val="00C93E09"/>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C93E09"/>
    <w:rPr>
      <w:rFonts w:ascii="Tahoma" w:cs="Tahoma" w:hAnsi="Tahoma"/>
      <w:sz w:val="16"/>
      <w:szCs w:val="16"/>
    </w:rPr>
  </w:style>
  <w:style w:type="table" w:styleId="TableGrid" w:customStyle="1">
    <w:name w:val="TableGrid"/>
    <w:rsid w:val="007952CE"/>
    <w:pPr>
      <w:spacing w:after="0" w:line="240" w:lineRule="auto"/>
    </w:pPr>
    <w:tblPr>
      <w:tblCellMar>
        <w:top w:w="0.0" w:type="dxa"/>
        <w:left w:w="0.0" w:type="dxa"/>
        <w:bottom w:w="0.0" w:type="dxa"/>
        <w:right w:w="0.0" w:type="dxa"/>
      </w:tblCellMar>
    </w:tblPr>
  </w:style>
  <w:style w:type="character" w:styleId="Forte">
    <w:name w:val="Strong"/>
    <w:basedOn w:val="Fontepargpadro"/>
    <w:uiPriority w:val="22"/>
    <w:qFormat w:val="1"/>
    <w:rsid w:val="00877A89"/>
    <w:rPr>
      <w:b w:val="1"/>
      <w:bCs w:val="1"/>
    </w:rPr>
  </w:style>
  <w:style w:type="character" w:styleId="Hyperlink">
    <w:name w:val="Hyperlink"/>
    <w:basedOn w:val="Fontepargpadro"/>
    <w:uiPriority w:val="99"/>
    <w:unhideWhenUsed w:val="1"/>
    <w:rsid w:val="007831B5"/>
    <w:rPr>
      <w:color w:val="0000ff"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YcH0HMlhL73suzfgF4kloJQKw==">AMUW2mV5ejXIa5Novh8R7VCRXPEHnRB8w9gBpjYutQkrNTMaw7htg/4oT4zSobovDDJiBXUrzuQ13nvHek0uu/sCjOBzLOgVq/a9ZaEru0bsXzZofmmuSqFJcgCS8eLeqk2HgybGYqmOhGJsEOv8QU+tAex0zHeXX61RZq8ReF2T/n49V+s2PpI=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2022-10-27T21:15:00Z</dcterms:created>
  <dc:creator>PC</dc:creator>
</cp:coreProperties>
</file>