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2C729B4" wp14:paraId="718289C0" wp14:textId="120B5548">
      <w:pPr>
        <w:shd w:val="clear" w:color="auto" w:fill="FFFFFF" w:themeFill="background1"/>
        <w:spacing w:after="360" w:line="360" w:lineRule="auto"/>
        <w:jc w:val="center"/>
        <w:rPr>
          <w:rFonts w:ascii="Times New Roman" w:hAnsi="Times New Roman" w:eastAsia="Times New Roman" w:cs="Times New Roman"/>
          <w:b w:val="0"/>
          <w:bCs w:val="0"/>
          <w:i w:val="0"/>
          <w:iCs w:val="0"/>
          <w:caps w:val="0"/>
          <w:smallCaps w:val="0"/>
          <w:noProof w:val="0"/>
          <w:color w:val="111111"/>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111111"/>
          <w:sz w:val="24"/>
          <w:szCs w:val="24"/>
          <w:lang w:val="pt-BR"/>
        </w:rPr>
        <w:t xml:space="preserve">SUPERVISÃO DE UMA ATIVIDADE PROFISSIONAL CONFIÁVEL EM INSTITUIÇÕES DE LONGA PERMANÊNCIA DE IDOSOS: UM RELATO DE EXPERIENCIA </w:t>
      </w:r>
      <w:r w:rsidRPr="02C729B4" w:rsidR="7B3E8C21">
        <w:rPr>
          <w:rFonts w:ascii="Times New Roman" w:hAnsi="Times New Roman" w:eastAsia="Times New Roman" w:cs="Times New Roman"/>
          <w:b w:val="0"/>
          <w:bCs w:val="0"/>
          <w:i w:val="0"/>
          <w:iCs w:val="0"/>
          <w:caps w:val="0"/>
          <w:smallCaps w:val="0"/>
          <w:noProof w:val="0"/>
          <w:color w:val="111111"/>
          <w:sz w:val="24"/>
          <w:szCs w:val="24"/>
          <w:lang w:val="pt-BR"/>
        </w:rPr>
        <w:t xml:space="preserve">  </w:t>
      </w:r>
    </w:p>
    <w:p xmlns:wp14="http://schemas.microsoft.com/office/word/2010/wordml" w:rsidP="02C729B4" wp14:paraId="771BF651" wp14:textId="1E12EA69">
      <w:pPr>
        <w:jc w:val="center"/>
        <w:rPr>
          <w:rFonts w:ascii="Times New Roman" w:hAnsi="Times New Roman" w:eastAsia="Times New Roman" w:cs="Times New Roman"/>
          <w:b w:val="0"/>
          <w:bCs w:val="0"/>
          <w:i w:val="0"/>
          <w:iCs w:val="0"/>
          <w:caps w:val="0"/>
          <w:smallCaps w:val="0"/>
          <w:noProof w:val="0"/>
          <w:color w:val="111111"/>
          <w:sz w:val="24"/>
          <w:szCs w:val="24"/>
          <w:lang w:val="pt-BR"/>
        </w:rPr>
      </w:pPr>
      <w:r w:rsidRPr="02C729B4" w:rsidR="7B3E8C21">
        <w:rPr>
          <w:rFonts w:ascii="Aptos" w:hAnsi="Aptos" w:eastAsia="Aptos" w:cs="Aptos"/>
          <w:b w:val="1"/>
          <w:bCs w:val="1"/>
          <w:i w:val="0"/>
          <w:iCs w:val="0"/>
          <w:caps w:val="0"/>
          <w:smallCaps w:val="0"/>
          <w:noProof w:val="0"/>
          <w:color w:val="000000" w:themeColor="text1" w:themeTint="FF" w:themeShade="FF"/>
          <w:sz w:val="24"/>
          <w:szCs w:val="24"/>
          <w:lang w:val="pt-BR"/>
        </w:rPr>
        <w:t>Autores:</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xml:space="preserve"> </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Wederson</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xml:space="preserve"> Santos Silva</w:t>
      </w:r>
      <w:r w:rsidRPr="02C729B4" w:rsidR="7B3E8C21">
        <w:rPr>
          <w:rFonts w:ascii="Aptos" w:hAnsi="Aptos" w:eastAsia="Aptos" w:cs="Aptos"/>
          <w:b w:val="0"/>
          <w:bCs w:val="0"/>
          <w:i w:val="0"/>
          <w:iCs w:val="0"/>
          <w:caps w:val="0"/>
          <w:smallCaps w:val="0"/>
          <w:noProof w:val="0"/>
          <w:color w:val="000000" w:themeColor="text1" w:themeTint="FF" w:themeShade="FF"/>
          <w:sz w:val="24"/>
          <w:szCs w:val="24"/>
          <w:vertAlign w:val="superscript"/>
          <w:lang w:val="pt-BR"/>
        </w:rPr>
        <w:t>1</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Áurea Olívia Rodrigues Lopes Silva</w:t>
      </w:r>
      <w:r w:rsidRPr="02C729B4" w:rsidR="7B3E8C21">
        <w:rPr>
          <w:rFonts w:ascii="Aptos" w:hAnsi="Aptos" w:eastAsia="Aptos" w:cs="Aptos"/>
          <w:b w:val="0"/>
          <w:bCs w:val="0"/>
          <w:i w:val="0"/>
          <w:iCs w:val="0"/>
          <w:caps w:val="0"/>
          <w:smallCaps w:val="0"/>
          <w:noProof w:val="0"/>
          <w:color w:val="000000" w:themeColor="text1" w:themeTint="FF" w:themeShade="FF"/>
          <w:sz w:val="24"/>
          <w:szCs w:val="24"/>
          <w:vertAlign w:val="superscript"/>
          <w:lang w:val="pt-BR"/>
        </w:rPr>
        <w:t>2</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xml:space="preserve">; </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Joycyelly</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xml:space="preserve"> Lourenço Garcia da Silva</w:t>
      </w:r>
      <w:r w:rsidRPr="02C729B4" w:rsidR="7B3E8C21">
        <w:rPr>
          <w:rFonts w:ascii="Aptos" w:hAnsi="Aptos" w:eastAsia="Aptos" w:cs="Aptos"/>
          <w:b w:val="0"/>
          <w:bCs w:val="0"/>
          <w:i w:val="0"/>
          <w:iCs w:val="0"/>
          <w:caps w:val="0"/>
          <w:smallCaps w:val="0"/>
          <w:noProof w:val="0"/>
          <w:color w:val="000000" w:themeColor="text1" w:themeTint="FF" w:themeShade="FF"/>
          <w:sz w:val="24"/>
          <w:szCs w:val="24"/>
          <w:vertAlign w:val="superscript"/>
          <w:lang w:val="pt-BR"/>
        </w:rPr>
        <w:t>3</w:t>
      </w:r>
      <w:r w:rsidRPr="02C729B4" w:rsidR="7B3E8C21">
        <w:rPr>
          <w:rFonts w:ascii="Aptos" w:hAnsi="Aptos" w:eastAsia="Aptos" w:cs="Aptos"/>
          <w:b w:val="0"/>
          <w:bCs w:val="0"/>
          <w:i w:val="0"/>
          <w:iCs w:val="0"/>
          <w:caps w:val="0"/>
          <w:smallCaps w:val="0"/>
          <w:noProof w:val="0"/>
          <w:color w:val="000000" w:themeColor="text1" w:themeTint="FF" w:themeShade="FF"/>
          <w:sz w:val="24"/>
          <w:szCs w:val="24"/>
          <w:lang w:val="pt-BR"/>
        </w:rPr>
        <w:t xml:space="preserve">; Adriana Amorim de Farias Leal </w:t>
      </w:r>
      <w:r w:rsidRPr="02C729B4" w:rsidR="7B3E8C21">
        <w:rPr>
          <w:rFonts w:ascii="Aptos" w:hAnsi="Aptos" w:eastAsia="Aptos" w:cs="Aptos"/>
          <w:b w:val="0"/>
          <w:bCs w:val="0"/>
          <w:i w:val="0"/>
          <w:iCs w:val="0"/>
          <w:caps w:val="0"/>
          <w:smallCaps w:val="0"/>
          <w:noProof w:val="0"/>
          <w:color w:val="000000" w:themeColor="text1" w:themeTint="FF" w:themeShade="FF"/>
          <w:sz w:val="24"/>
          <w:szCs w:val="24"/>
          <w:vertAlign w:val="superscript"/>
          <w:lang w:val="pt-BR"/>
        </w:rPr>
        <w:t>4</w:t>
      </w:r>
    </w:p>
    <w:p xmlns:wp14="http://schemas.microsoft.com/office/word/2010/wordml" w:rsidP="02C729B4" wp14:paraId="7C39CAE0" wp14:textId="5D6ED8CA">
      <w:pPr>
        <w:rPr>
          <w:rFonts w:ascii="Times New Roman" w:hAnsi="Times New Roman" w:eastAsia="Times New Roman" w:cs="Times New Roman"/>
          <w:b w:val="0"/>
          <w:bCs w:val="0"/>
          <w:i w:val="0"/>
          <w:iCs w:val="0"/>
          <w:caps w:val="0"/>
          <w:smallCaps w:val="0"/>
          <w:noProof w:val="0"/>
          <w:color w:val="111111"/>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111111"/>
          <w:sz w:val="24"/>
          <w:szCs w:val="24"/>
          <w:lang w:val="pt-BR"/>
        </w:rPr>
        <w:t>RESUMO</w:t>
      </w:r>
    </w:p>
    <w:p xmlns:wp14="http://schemas.microsoft.com/office/word/2010/wordml" w:rsidP="02C729B4" wp14:paraId="7150DD0F" wp14:textId="3F83C1DF">
      <w:pPr>
        <w:shd w:val="clear" w:color="auto" w:fill="FFFFFF" w:themeFill="background1"/>
        <w:spacing w:after="360" w:line="360" w:lineRule="auto"/>
        <w:jc w:val="both"/>
        <w:rPr>
          <w:rFonts w:ascii="Times New Roman" w:hAnsi="Times New Roman" w:eastAsia="Times New Roman" w:cs="Times New Roman"/>
          <w:b w:val="0"/>
          <w:bCs w:val="0"/>
          <w:i w:val="0"/>
          <w:iCs w:val="0"/>
          <w:caps w:val="0"/>
          <w:smallCaps w:val="0"/>
          <w:noProof w:val="0"/>
          <w:color w:val="111111"/>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111111"/>
          <w:sz w:val="24"/>
          <w:szCs w:val="24"/>
          <w:lang w:val="pt-BR"/>
        </w:rPr>
        <w:t xml:space="preserve">Objetivo: Relatar e discutir uma Atividade Profissional Confiada (APROC) realizada em Instituição de Longa Permanência para Idosos (ILPI) como estratégia avaliativa autêntica no componente Saúde da Pessoa Idosa. Métodos: Relato de experiência de consultas supervisionadas feitas em quartetos, com duração média de quinze minutos na ILPI, possuindo uma rubrica estruturada (clínico, funcional, nutricional, cognitivo-humor, mobilidade/quedas, continência e imunização, vulnerabilidade) e feedback imediato, avaliativo e formativo, fornecido por avaliadores treinados. Resultados: O cenário extramuros proporcionou acolhimento e interação fluida; os estudantes aplicaram avaliação multidimensional e enfrentaram desafios reais (baixa acuidade, limitações cognitivas, mobilidade, labilidade emocional), desenvolvendo comunicação empática, raciocínio clínico e resolução de problemas. Os docentes observaram desempenho em contexto e ofereceram feedbacks narrativos úteis. A equipe da ILPI e os residentes relataram alta aceitação e ganho social. Conclusão: A APROC em ambiente real mostrou-se válida, formativa e replicável, promovendo aprendizagem baseada no desempenho e decisões graduais de confiança, recomenda-se padronização adicional da rubrica e calibragem </w:t>
      </w:r>
      <w:r w:rsidRPr="02C729B4" w:rsidR="7B3E8C21">
        <w:rPr>
          <w:rFonts w:ascii="Times New Roman" w:hAnsi="Times New Roman" w:eastAsia="Times New Roman" w:cs="Times New Roman"/>
          <w:b w:val="0"/>
          <w:bCs w:val="0"/>
          <w:i w:val="0"/>
          <w:iCs w:val="0"/>
          <w:caps w:val="0"/>
          <w:smallCaps w:val="0"/>
          <w:noProof w:val="0"/>
          <w:color w:val="111111"/>
          <w:sz w:val="24"/>
          <w:szCs w:val="24"/>
          <w:lang w:val="pt-BR"/>
        </w:rPr>
        <w:t>interavaliadores</w:t>
      </w:r>
      <w:r w:rsidRPr="02C729B4" w:rsidR="7B3E8C21">
        <w:rPr>
          <w:rFonts w:ascii="Times New Roman" w:hAnsi="Times New Roman" w:eastAsia="Times New Roman" w:cs="Times New Roman"/>
          <w:b w:val="0"/>
          <w:bCs w:val="0"/>
          <w:i w:val="0"/>
          <w:iCs w:val="0"/>
          <w:caps w:val="0"/>
          <w:smallCaps w:val="0"/>
          <w:noProof w:val="0"/>
          <w:color w:val="111111"/>
          <w:sz w:val="24"/>
          <w:szCs w:val="24"/>
          <w:lang w:val="pt-BR"/>
        </w:rPr>
        <w:t xml:space="preserve">. </w:t>
      </w:r>
      <w:r w:rsidRPr="02C729B4">
        <w:rPr>
          <w:rStyle w:val="EndnoteReference"/>
          <w:rFonts w:ascii="Times New Roman" w:hAnsi="Times New Roman" w:eastAsia="Times New Roman" w:cs="Times New Roman"/>
          <w:b w:val="0"/>
          <w:bCs w:val="0"/>
          <w:i w:val="0"/>
          <w:iCs w:val="0"/>
          <w:caps w:val="0"/>
          <w:smallCaps w:val="0"/>
          <w:noProof w:val="0"/>
          <w:color w:val="111111"/>
          <w:sz w:val="24"/>
          <w:szCs w:val="24"/>
          <w:lang w:val="pt-BR"/>
        </w:rPr>
        <w:endnoteReference w:id="32544"/>
      </w:r>
    </w:p>
    <w:p xmlns:wp14="http://schemas.microsoft.com/office/word/2010/wordml" w:rsidP="02C729B4" wp14:paraId="6A8553D8" wp14:textId="7DAED810">
      <w:pPr>
        <w:shd w:val="clear" w:color="auto" w:fill="FFFFFF" w:themeFill="background1"/>
        <w:spacing w:after="3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111111"/>
          <w:sz w:val="24"/>
          <w:szCs w:val="24"/>
          <w:lang w:val="pt-BR"/>
        </w:rPr>
        <w:t>Palavras-chave:</w:t>
      </w:r>
      <w:r w:rsidRPr="02C729B4" w:rsidR="7B3E8C21">
        <w:rPr>
          <w:rFonts w:ascii="Times New Roman" w:hAnsi="Times New Roman" w:eastAsia="Times New Roman" w:cs="Times New Roman"/>
          <w:b w:val="0"/>
          <w:bCs w:val="0"/>
          <w:i w:val="0"/>
          <w:iCs w:val="0"/>
          <w:caps w:val="0"/>
          <w:smallCaps w:val="0"/>
          <w:noProof w:val="0"/>
          <w:color w:val="111111"/>
          <w:sz w:val="24"/>
          <w:szCs w:val="24"/>
          <w:lang w:val="pt-BR"/>
        </w:rPr>
        <w:t xml:space="preserve"> Educação Médica; Avaliação no Local de Trabalho; Atividades Profissionais Confiáveis; Saúde do Idoso; Feedback Formativo.</w:t>
      </w:r>
    </w:p>
    <w:p xmlns:wp14="http://schemas.microsoft.com/office/word/2010/wordml" w:rsidP="02C729B4" wp14:paraId="2D6721A4" wp14:textId="1F764501">
      <w:pPr>
        <w:shd w:val="clear" w:color="auto" w:fill="FFFFFF" w:themeFill="background1"/>
        <w:spacing w:after="3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ABSTRACT</w:t>
      </w:r>
    </w:p>
    <w:p xmlns:wp14="http://schemas.microsoft.com/office/word/2010/wordml" w:rsidP="02C729B4" wp14:paraId="02354275" wp14:textId="00F5CBDC">
      <w:p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Objective: To report and discuss an Entrustable Professional Activity (EPA) conducted in a Long-Term Care Institution for the Elderly (LTCI) as an authentic assessment strategy within the course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Health of the Older Adult</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Methods: This experience report describes supervised consultations performed in quartets, each lasting an average of fifteen minutes at the LTCI. A structured rubric was used, encompassing clinical, functional, nutritional, cognitive-mood, mobility/falls, continence and immunization, and vulnerability domains. Immediate formative and summative feedback was provided by trained evaluators.  Results: The community-based setting fostered a welcoming environment and fluid interaction. Students applied a multidimensional assessment and faced real-world challenges such as low acuity, cognitive limitations, mobility issues, and emotional lability. These experiences enhanced empathetic communication, clinical reasoning, and problem-solving skills. Faculty members observed contextualized performance and provided meaningful narrative feedback. The LTCI staff and residents reported high acceptance and perceived social benefits.  Conclusion: Conducting an EPA in a real-world setting proved valid, formative, and replicable, promoting performance-based learning and progressive entrustment decisions. Further standardization of the rubric and inter-rater calibration are recommended.</w:t>
      </w:r>
    </w:p>
    <w:p xmlns:wp14="http://schemas.microsoft.com/office/word/2010/wordml" w:rsidP="02C729B4" wp14:paraId="0E5FE911" wp14:textId="7C1DC26B">
      <w:p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Keywords: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Medical Education; Workplace-Based Assessment; Entrustable Professional Activities; Older Adult Health; Formative Feedback.</w:t>
      </w:r>
    </w:p>
    <w:p xmlns:wp14="http://schemas.microsoft.com/office/word/2010/wordml" w:rsidP="02C729B4" wp14:paraId="7F2F73B9" wp14:textId="784D3A09">
      <w:pPr>
        <w:shd w:val="clear" w:color="auto" w:fill="FFFFFF" w:themeFill="background1"/>
        <w:spacing w:after="360" w:line="360" w:lineRule="auto"/>
        <w:jc w:val="left"/>
        <w:rPr>
          <w:rFonts w:ascii="Times New Roman" w:hAnsi="Times New Roman" w:eastAsia="Times New Roman" w:cs="Times New Roman"/>
          <w:b w:val="0"/>
          <w:bCs w:val="0"/>
          <w:i w:val="0"/>
          <w:iCs w:val="0"/>
          <w:caps w:val="0"/>
          <w:smallCaps w:val="0"/>
          <w:noProof w:val="0"/>
          <w:color w:val="111111"/>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111111"/>
          <w:sz w:val="24"/>
          <w:szCs w:val="24"/>
          <w:lang w:val="pt-BR"/>
        </w:rPr>
        <w:t>INTRODUÇÃO</w:t>
      </w:r>
    </w:p>
    <w:p xmlns:wp14="http://schemas.microsoft.com/office/word/2010/wordml" w:rsidP="02C729B4" wp14:paraId="69893769" wp14:textId="6A5579DC">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consolidação das metodologias ativas nas escolas médicas, notadamente desde o legado de Maastricht, representa uma inflexão do ensino centrado no professor para um currículo orientado a problemas, colaboração e autonomia do discente, ancorando o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Problem-Based Learning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(PBL) em uma visão construtiva, contextual, colaborativa e autodirigida (SERVANT-MIKLOS, 2019; ROVERS et al., 2018; BENDERMACHER; OUDE EGBRINK; DOLMANS, 2023).</w:t>
      </w:r>
    </w:p>
    <w:p xmlns:wp14="http://schemas.microsoft.com/office/word/2010/wordml" w:rsidP="02C729B4" wp14:paraId="5BB5859D" wp14:textId="3D097B5E">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Não obstante, é notório que os cursos de medicina e áreas da saúde mostram que a sala de aula invertida eleva o engajamento e o desempenho quando bem desenhados e articulados ao currículo (CHEN; LUI; MARTINELLI, 2017; HEW; LO, 2018). Do ponto de vista de adoção curricular, estudos multi-institucionais também descrevem a substituição progressiva de aulas expositivas por atividades ativas como benéficas no curso médico, sugerindo tendência estrutural e duradoura (MCCOY et al., 2018). </w:t>
      </w:r>
    </w:p>
    <w:p xmlns:wp14="http://schemas.microsoft.com/office/word/2010/wordml" w:rsidP="02C729B4" wp14:paraId="5C304A72" wp14:textId="16121C83">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No que tange o cenário brasileiro das escolas médicas, levantamentos documentais recentes indicam uma ampla adoção autodeclarada de metodologias ativas. Em nível nacional, a análise de 258 projetos pedagógicos de curso e sites institucionais identificou que dentre essas 200 escolas, ou seja, 77,5% descrevem as metodologias ativas como eixo central de ensino (LIMA et al., 2023). </w:t>
      </w:r>
    </w:p>
    <w:p xmlns:wp14="http://schemas.microsoft.com/office/word/2010/wordml" w:rsidP="02C729B4" wp14:paraId="319A6511" wp14:textId="471F80D8">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Em recorte regional, no Nordeste, um estudo descritivo apontou que 77,9% dos cursos empregam algum tipo de metodologia ativa (TAKENAMI et al., 2018). Esses percentuais dialogam diretamente com a robustez e relevância do uso das metodologias centradas no aluno, sugerindo, portanto, consonância entre a adoção curricular e a literatura recente em educação médica (LIMA et al., 2023; TAKENAMI et al., 2018).</w:t>
      </w:r>
    </w:p>
    <w:p xmlns:wp14="http://schemas.microsoft.com/office/word/2010/wordml" w:rsidP="02C729B4" wp14:paraId="153C2DB8" wp14:textId="1DFCF09A">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Diante de tudo isso, no cenário do Nordeste a Unifacisa vem sendo vanguardista em realizar uma parceria com a Universidade de Maastricht para a construção e execução de um currículo centrado no aluno. Ademais, conforme preconizado pelas novas Diretizes Curriculares Nacionais (DCN) de Medicina, o projeto formativo deve adotar metodologias pedagógicas ativas e propiciar a formação centrada na pessoa, na família e na comunidade, com forte inserção nos serviços do SUS desde os períodos iniciais, consolidando a Atenção Primária à Saúde (APS) e a Medicina de Família e Comunidade (MFC) como eixos estruturantes do desenvolvimento de competências clínicas, éticas e colaborativas do egresso (BRASIL, 2025).</w:t>
      </w:r>
    </w:p>
    <w:p xmlns:wp14="http://schemas.microsoft.com/office/word/2010/wordml" w:rsidP="02C729B4" wp14:paraId="4E570C3A" wp14:textId="43C93832">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À luz da relevância das metodologias ativas e do papel estruturante da MFC, a Unifacisa dedicou o 2º ano do curso médico às linhas de cuidado da APS, organizadas em oito componentes curriculares dispostos em espiral construtivista, abrangendo desde a saúde da criança, da mulher, do trabalhador, da pessoa idosa até a saúde mental, nos quais um dos eixos cruciais de avaliação é a Atividade Profissional Confiável (APROC). </w:t>
      </w:r>
    </w:p>
    <w:p xmlns:wp14="http://schemas.microsoft.com/office/word/2010/wordml" w:rsidP="02C729B4" wp14:paraId="3F7D8C1B" wp14:textId="13B2899B">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APROC, equivalente às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Entrustable Professional Activities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(EPAS), é uma unidade prática confiável. Ela explicita o que o estudante deve fazer, em quais condições e com qual nível de supervisão, permitindo decisões graduais de confiança alinhadas ao trabalho real, à complexidade almejada do período de aprendizagem e às competências do currículo (TEN CATE, 2015; TEN CATE et al., 2021).</w:t>
      </w:r>
    </w:p>
    <w:p xmlns:wp14="http://schemas.microsoft.com/office/word/2010/wordml" w:rsidP="02C729B4" wp14:paraId="6CC42A9D" wp14:textId="11524783">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Sendo assim, os níveis de supervisão de uma APROC consistem em: apto a realizar com supervisão direta; apto a realizar com supervisão indireta e apto a realizar sozinho. Tais níveis tornam-se marcos formativos e avaliativos transparentes, favorecendo feedback de alta qualidade, segurança do paciente e progressão responsável da autonomia discente (TEN CATE, 2015; TEN CATE et al., 2021).</w:t>
      </w:r>
    </w:p>
    <w:p xmlns:wp14="http://schemas.microsoft.com/office/word/2010/wordml" w:rsidP="02C729B4" wp14:paraId="2A9924A7" wp14:textId="75F24CEE">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disso, evidências nacionais recentes reforçam a viabilidade e validade de uso de APROCs em contextos brasileiros, inclusive na Medicina de Família e Comunidade, demonstrando processos de definição, revisão por especialistas e validação de conteúdo que as tornam instrumentos particularmente potentes em currículos ativos centrados no estudante (BRITO et al., 2025). </w:t>
      </w:r>
    </w:p>
    <w:p xmlns:wp14="http://schemas.microsoft.com/office/word/2010/wordml" w:rsidP="02C729B4" wp14:paraId="717EB92F" wp14:textId="50AF6568">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componente curricular Saúde do Idoso é crucial nos currículos universitários por constituir um eixo estruturante da APS. A linha de cuidado da pessoa idosa na Atenção Primária organiza o percurso assistencial desde a avaliação multidimensional da população senil até a elaboração do plano terapêutico singular, assegurando o cuidado integral preconizado pela Medicina de Família e Comunidade (BRASIL, 2018). Por isso, nesse componente, a APROC foi incumbida de avaliar, de forma representativa, a integração entre o cuidado centrado na pessoa, as habilidades clínicas de avaliação multidimensional e a promoção da saúde do idoso.</w:t>
      </w:r>
    </w:p>
    <w:p xmlns:wp14="http://schemas.microsoft.com/office/word/2010/wordml" w:rsidP="02C729B4" wp14:paraId="76CA1F49" wp14:textId="19048779">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No âmbito da linha de cuidado da pessoa idosa, as Instituições de Longa Permanência para Idosos (ILPI) constituem cenários privilegiados para desenvolver e avaliar APROC relacionadas à avaliação multidimensional, manejo de fragilidade, prevenção de quedas e coordenação intersetorial, exigindo supervisão calibrada direta/indireta e tomada de decisão segura (BRASIL, 2018; TEN CATE, 2015). </w:t>
      </w:r>
    </w:p>
    <w:p xmlns:wp14="http://schemas.microsoft.com/office/word/2010/wordml" w:rsidP="02C729B4" wp14:paraId="25446314" wp14:textId="38CC66E3">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 esse propósito, os docentes da instituição construíram uma APROC ampla e representativa da complexidade mencionada, permitindo que os discentes demonstrassem se os conhecimentos e as habilidades multidimensionais necessários foram efetivamente alcançados no âmbito da saúde do idoso, em um cenário fidedigno. Concretizando a importância da metodologia ativa na formação médica.</w:t>
      </w:r>
    </w:p>
    <w:p xmlns:wp14="http://schemas.microsoft.com/office/word/2010/wordml" w:rsidP="02C729B4" wp14:paraId="40A94ADC" wp14:textId="43F3DDC4">
      <w:pPr>
        <w:spacing w:before="0" w:beforeAutospacing="off" w:after="160" w:afterAutospacing="off" w:line="36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METODOLOGIA</w:t>
      </w:r>
    </w:p>
    <w:p xmlns:wp14="http://schemas.microsoft.com/office/word/2010/wordml" w:rsidP="02C729B4" wp14:paraId="49AC4C23" wp14:textId="09AC7BE6">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presente relato descreve uma experiência de avaliação no modelo APROC, realizada com estudantes do quarto período do curso de Medicina de uma instituição de ensino superior particular localizada em Campina Grande-PB (UNIFACISA), no bloco temático “Envelhecimento”. </w:t>
      </w:r>
    </w:p>
    <w:p xmlns:wp14="http://schemas.microsoft.com/office/word/2010/wordml" w:rsidP="02C729B4" wp14:paraId="24979EB8" wp14:textId="11675EB7">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atividade ocorreu em uma Instituição de Longa Permanência para Idosos (ILPI) situada na mesma cidade, nos dias 5 e 6 de junho de 2025. Caracterizou-se como uma consulta supervisionada, conduzida em quartetos, com os idosos residentes no local. Cada atendimento teve duração média de 15 minutos. Ao término das consultas, os discentes receberam feedbacks individuais acerca de seu desempenho, com destaque para os pontos fortes e os aspectos passíveis de aprimoramento. </w:t>
      </w:r>
    </w:p>
    <w:p xmlns:wp14="http://schemas.microsoft.com/office/word/2010/wordml" w:rsidP="02C729B4" wp14:paraId="36B6D4CD" wp14:textId="148615AE">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concepção da avaliação e os critérios utilizados foram definidos pelo corpo docente responsável pela competência. Inicialmente, estabeleceram-se os objetivos de aprendizagem da atividade, que foram os seguintes: </w:t>
      </w:r>
    </w:p>
    <w:p xmlns:wp14="http://schemas.microsoft.com/office/word/2010/wordml" w:rsidP="02C729B4" wp14:paraId="5B816EF7" wp14:textId="0E2C2610">
      <w:pPr>
        <w:pStyle w:val="ListParagraph"/>
        <w:numPr>
          <w:ilvl w:val="0"/>
          <w:numId w:val="2"/>
        </w:num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Identificar, em uma dimensão clínica, a presença de agravos, doenças crônicas e agudas, intervenções médicas em curso, hábitos, antecedentes familiares, estado nutricional e número de medicamentos utilizados pelo idoso; </w:t>
      </w:r>
    </w:p>
    <w:p xmlns:wp14="http://schemas.microsoft.com/office/word/2010/wordml" w:rsidP="02C729B4" wp14:paraId="080E925B" wp14:textId="17DE8829">
      <w:pPr>
        <w:pStyle w:val="ListParagraph"/>
        <w:numPr>
          <w:ilvl w:val="0"/>
          <w:numId w:val="3"/>
        </w:num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Avaliar o estado geral de saúde do idoso por meio do exame clínico; </w:t>
      </w:r>
    </w:p>
    <w:p xmlns:wp14="http://schemas.microsoft.com/office/word/2010/wordml" w:rsidP="02C729B4" wp14:paraId="3E955FD3" wp14:textId="65B9E4F0">
      <w:pPr>
        <w:pStyle w:val="ListParagraph"/>
        <w:numPr>
          <w:ilvl w:val="0"/>
          <w:numId w:val="4"/>
        </w:num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Identificar, em uma dimensão psicossocial, aspectos relacionados à cognição, memória, humor, comportamento e saúde mental do paciente idoso; </w:t>
      </w:r>
    </w:p>
    <w:p xmlns:wp14="http://schemas.microsoft.com/office/word/2010/wordml" w:rsidP="02C729B4" wp14:paraId="7F89C835" wp14:textId="761702F7">
      <w:pPr>
        <w:pStyle w:val="ListParagraph"/>
        <w:numPr>
          <w:ilvl w:val="0"/>
          <w:numId w:val="5"/>
        </w:num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Identificar, em uma dimensão funcional, a capacidade do idoso para realizar atividades de vida diária. </w:t>
      </w:r>
    </w:p>
    <w:p xmlns:wp14="http://schemas.microsoft.com/office/word/2010/wordml" w:rsidP="02C729B4" wp14:paraId="65B33CBF" wp14:textId="2A3B8515">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seguida, elaborou-se uma rubrica de avaliação, contendo os critérios de desempenho correspondentes a cada dimensão proposta.  Sendo assim, como critérios de avaliação nesta APROC, consideraram-se diversos aspectos relacionados à abordagem integral da pessoa idosa. Espera-se que o estudante seja capaz de estabelecer uma comunicação inicial adequada, identificando dados básicos como idade e suporte social. A partir dessa interação, deve demonstrar habilidade para explorar a situação de saúde, contemplando a autopercepção, as condições referidas e a presença de polifarmácia. </w:t>
      </w:r>
    </w:p>
    <w:p xmlns:wp14="http://schemas.microsoft.com/office/word/2010/wordml" w:rsidP="02C729B4" wp14:paraId="4FB23D2C" wp14:textId="1F758BD1">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Também fazem parte da avaliação elementos ligados à funcionalidade nas atividades básicas da vida diária, ao estado nutricional - estimado por meio do IMC e da circunferência de panturrilha - e aos domínios cognitivo e emocional, reconhecendo instrumentos validados para esses fins, como Mini-Cog, MEEM ou MoCA (para cognição) e GDS (para humor). </w:t>
      </w:r>
    </w:p>
    <w:p xmlns:wp14="http://schemas.microsoft.com/office/word/2010/wordml" w:rsidP="02C729B4" wp14:paraId="008A3915" wp14:textId="7F2499F5">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Além disso, o estudante deve demonstrar atenção à mobilidade e ao risco de quedas, observando a marcha e oferecendo orientações preventivas quando pertinentes. A investigação de continência urinária e fecal, bem como a verificação do estado vacinal, também compõem os critérios observados. Faz-se necessário também a análise da vulnerabilidade do idoso é consta como essencial, com a estratificação risco e o reconhecimento de instrumentos apropriados para essa avaliação, como o IVCF-20 e o VES-13, conforme preconizado na Caderneta de Saúde da Pessoa Idosa.</w:t>
      </w:r>
    </w:p>
    <w:p xmlns:wp14="http://schemas.microsoft.com/office/word/2010/wordml" w:rsidP="02C729B4" wp14:paraId="6E95A62B" wp14:textId="2325A8CE">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Por fim, a avaliação foi realizada por avaliadores treinados previamente por meio de reunião de alinhamento online e ao final foram realizados feedbacks imediatos, conforme desenvoltura dos alunos e registro em checklist pelo professor (Figura 1).  </w:t>
      </w:r>
    </w:p>
    <w:p xmlns:wp14="http://schemas.microsoft.com/office/word/2010/wordml" w:rsidP="02C729B4" wp14:paraId="15FC1DEA" wp14:textId="2B5678FD">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Figura 1 - Formulário de Avaliação - Checklist do avaliador </w:t>
      </w:r>
    </w:p>
    <w:p xmlns:wp14="http://schemas.microsoft.com/office/word/2010/wordml" w:rsidP="02C729B4" wp14:paraId="30877A7E" wp14:textId="2B8F8472">
      <w:pPr>
        <w:spacing w:before="0" w:beforeAutospacing="off" w:after="160" w:afterAutospacing="off" w:line="24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7B3E8C21">
        <w:drawing>
          <wp:inline xmlns:wp14="http://schemas.microsoft.com/office/word/2010/wordprocessingDrawing" wp14:editId="7EE75FED" wp14:anchorId="1E9C84DC">
            <wp:extent cx="3905250" cy="5657850"/>
            <wp:effectExtent l="0" t="0" r="0" b="0"/>
            <wp:docPr id="612423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242363" name=""/>
                    <pic:cNvPicPr/>
                  </pic:nvPicPr>
                  <pic:blipFill>
                    <a:blip xmlns:r="http://schemas.openxmlformats.org/officeDocument/2006/relationships" r:embed="rId77938374">
                      <a:extLst>
                        <a:ext xmlns:a="http://schemas.openxmlformats.org/drawingml/2006/main" uri="{28A0092B-C50C-407E-A947-70E740481C1C}">
                          <a14:useLocalDpi xmlns:a14="http://schemas.microsoft.com/office/drawing/2010/main" val="0"/>
                        </a:ext>
                      </a:extLst>
                    </a:blip>
                    <a:stretch>
                      <a:fillRect/>
                    </a:stretch>
                  </pic:blipFill>
                  <pic:spPr>
                    <a:xfrm>
                      <a:off x="0" y="0"/>
                      <a:ext cx="3905250" cy="5657850"/>
                    </a:xfrm>
                    <a:prstGeom prst="rect">
                      <a:avLst/>
                    </a:prstGeom>
                  </pic:spPr>
                </pic:pic>
              </a:graphicData>
            </a:graphic>
          </wp:inline>
        </w:drawing>
      </w:r>
    </w:p>
    <w:p xmlns:wp14="http://schemas.microsoft.com/office/word/2010/wordml" w:rsidP="02C729B4" wp14:paraId="1DAF49FA" wp14:textId="105DB060">
      <w:pPr>
        <w:spacing w:before="0" w:beforeAutospacing="off" w:after="160" w:afterAutospacing="off" w:line="24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pt-BR"/>
        </w:rPr>
        <w:t>Fonte: Elaborado pelos autores</w:t>
      </w:r>
    </w:p>
    <w:p xmlns:wp14="http://schemas.microsoft.com/office/word/2010/wordml" w:rsidP="02C729B4" wp14:paraId="16AD4EFE" wp14:textId="6F3B3EA9">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DISCUSSÃO E RESULTADOS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02C729B4" wp14:paraId="23FD3634" wp14:textId="705DF61E">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Como primeiro resultado da escolha assertiva do local de avaliação, destaca-se que a consulta foi realizada fora do consultório, buscando maior conforto para idosos e acadêmicos. A atividade ocorreu no pátio de convivência da instituição, um espaço amplo e arejado onde os residentes passam grande parte do dia em atividades e dinâmicas. A amplitude do ambiente facilitou a escolha de pontos mais tranquilos, permitindo conversas sem ruídos ou interferências. Esse arranjo tornou o encontro mais acolhedor e favoreceu uma interação leve, fluida e descontraída.</w:t>
      </w:r>
    </w:p>
    <w:p xmlns:wp14="http://schemas.microsoft.com/office/word/2010/wordml" w:rsidP="02C729B4" wp14:paraId="6A25921D" wp14:textId="7C024FC6">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Após a indicação dos participantes pela funcionária da instituição, os estudantes, sob orientação direta do professor supervisor, seguindo todas as medidas higiênicas e protetivas cabíveis, dirigiam-se ao respectivo idoso selecionado para o atendimento. A maioria das consultas transcorreu de forma satisfatória, ainda que algumas dificuldades inerentes ao cuidado com pessoas idosas tenham se manifestado. </w:t>
      </w:r>
    </w:p>
    <w:p xmlns:wp14="http://schemas.microsoft.com/office/word/2010/wordml" w:rsidP="02C729B4" wp14:paraId="5ACDF0E3" wp14:textId="4761E396">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Esses desafios, no entanto, foram reconhecidos como parte essencial da prática clínica real. Embora as práticas simuladas possuam valor pedagógico significativo, elas podem, em certa medida, reduzir a dimensão humana do cuidado, criando uma visão idealizada e distante da complexidade do atendimento a pessoas idosas. Pois, conforme afirma Lim et al (2024) quando comparado avaliações em consultas reais e OSCE, nota-se que o desempenho em contexto autêntico capta melhor a prática clínica do que estações simuladas.</w:t>
      </w:r>
    </w:p>
    <w:p xmlns:wp14="http://schemas.microsoft.com/office/word/2010/wordml" w:rsidP="02C729B4" wp14:paraId="06F613E4" wp14:textId="3CF9450F">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Entre as principais dificuldades observadas, destacaram-se a baixa acuidade auditiva, limitações cognitivas e de memória, dificuldades de locomoção, discursos prolixos e episódios de labilidade emocional. Tais situações exigiram que os estudantes pensassem rapidamente e elaborassem estratégias adaptativas imediatas, desenvolvendo, assim, competências relacionadas à comunicação empática e à resolução de problemas, corroborando, portanto, com o estudo de Lim et al (2024). </w:t>
      </w:r>
    </w:p>
    <w:p xmlns:wp14="http://schemas.microsoft.com/office/word/2010/wordml" w:rsidP="02C729B4" wp14:paraId="09E77A32" wp14:textId="01ED6DF5">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Ao término das atividades, o docente supervisor oferecia feedbacks individualizados, destacando o desempenho dos alunos e o nível de autonomia demonstrado, conforme os conceitos apresentados por Ten Cate (2015) sobre as EPAs. Esse modelo avaliativo mostrou-se eficaz ao promover reflexão crítica e aprendizado baseado em desempenho real. </w:t>
      </w:r>
    </w:p>
    <w:p xmlns:wp14="http://schemas.microsoft.com/office/word/2010/wordml" w:rsidP="02C729B4" wp14:paraId="1CAA4784" wp14:textId="45E185F2">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APROC realizada com pacientes reais nas ILPIs configurou um modelo avaliativo que trouxe resultados enriquecedores e positivos para todos os envolvidos. Os discentes vivenciaram um momento singular, ao conhecer realidades antes desconhecidas, e precisaram elaborar soluções em tempo oportuno para aplicar as habilidades estudadas, lidando com problemas e situações dinâmicas da prática médica. Com isso, em consonância com o método clínico centrado na pessoa, desenvolveram maior senso de responsabilidade e reforçaram o protagonismo de quem está no centro do cuidado, a pessoa (STEWART et al., 2024).</w:t>
      </w:r>
    </w:p>
    <w:p xmlns:wp14="http://schemas.microsoft.com/office/word/2010/wordml" w:rsidP="02C729B4" wp14:paraId="2B694955" wp14:textId="46E2FB06">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Os professores, por sua vez, puderam avaliar de forma mais autêntica e contextualizada, observando o raciocínio clínico em situações reais e priorizando o fornecimento de feedbacks construtivos, elemento reconhecido como essencial no desenvolvimento de competências clínicas (NAIR et al., 2024). </w:t>
      </w:r>
    </w:p>
    <w:p xmlns:wp14="http://schemas.microsoft.com/office/word/2010/wordml" w:rsidP="02C729B4" wp14:paraId="05270EC3" wp14:textId="4C8DDB9F">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Do ponto de vista dos residentes da ILPI, observou-se grande receptividade e entusiasmo. Segundo relatos dos cuidadores, tais atividades são altamente apreciadas pelos idosos - percepção corroborada por expressões espontâneas como “voltem mais vezes” e “foi muito bom conversar com vocês”. A equipe gestora da instituição manifestou igualmente satisfação com a iniciativa, mantendo o convite para futuras ações. </w:t>
      </w:r>
    </w:p>
    <w:p xmlns:wp14="http://schemas.microsoft.com/office/word/2010/wordml" w:rsidP="02C729B4" wp14:paraId="033AABD4" wp14:textId="54C084BD">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experiência foi tão significativa que os alunos organizaram uma campanha de arrecadação de produtos de higiene pessoal para a ILPI, em retribuição à acolhida recebida. Essa atitude evidencia o caráter indissociável entre ensino, extensão e responsabilidade social, reforçando o compromisso ético da formação médica com a comunidade (BRASIL, 1996). </w:t>
      </w:r>
    </w:p>
    <w:p xmlns:wp14="http://schemas.microsoft.com/office/word/2010/wordml" w:rsidP="02C729B4" wp14:paraId="668379F3" wp14:textId="1C006209">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Durante o processo, também foram identificados aspectos a aprimorar. Do ponto de vista pedagógico, observou-se que uma minoria de grupos roteirizou excessivamente suas consultas, tentando transformar o momento em uma dinâmica previsível e pouco espontânea. Tal postura pode empobrecer a interação clínica, reduzindo a escuta ativa e a capacidade de improvisação, aspectos fundamentais para a formação médica integral. </w:t>
      </w:r>
    </w:p>
    <w:p xmlns:wp14="http://schemas.microsoft.com/office/word/2010/wordml" w:rsidP="02C729B4" wp14:paraId="599787C5" wp14:textId="58A66A21">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Além disso, verificou-se variação nos critérios de avaliação entre diferentes professores, mesmo após o treinamento prévio. Essa inconsistência pode estar relacionada à subjetividade de alguns itens da rubrica, apontando a necessidade de revisão e alinhamento entre os avaliadores. Nas próximas edições, será importante investigar se os ajustes devem recair sobre a rubrica de avaliação ou sobre a capacitação dos docentes. </w:t>
      </w:r>
    </w:p>
    <w:p xmlns:wp14="http://schemas.microsoft.com/office/word/2010/wordml" w:rsidP="02C729B4" wp14:paraId="35A990FF" wp14:textId="08F8A599">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Em síntese, a atividade demonstrou elevado potencial formativo e replicabilidade, desde que sejam cuidadosamente planejados as etapas logísticas e o preparo dos avaliadores. Apesar dos desafios identificados, os benefícios pedagógicos e sociais observados superam amplamente as dificuldades operacionais, consolidando a experiência dessa APROC como uma prática relevante, humanizadora e transformadora no contexto do ensino médico. </w:t>
      </w:r>
    </w:p>
    <w:p xmlns:wp14="http://schemas.microsoft.com/office/word/2010/wordml" w:rsidP="02C729B4" wp14:paraId="309D8741" wp14:textId="6721916F">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Considerando que tais atividades profissionais confiadas foram feitas em ambientes extramuros e apresentaram resultados positivos reafirma-se que avaliações de EPAs em ambiente real apresentam maior validade de autenticidade e predizem o desempenho em exames simulados, ao passo que a simulação, embora útil, não substitui a observação do trabalho para decisões sobre confiança e progressão (LIN et al., 2024/2025; WEERSINK et al., 2019).</w:t>
      </w:r>
    </w:p>
    <w:p xmlns:wp14="http://schemas.microsoft.com/office/word/2010/wordml" w:rsidP="02C729B4" wp14:paraId="28E97B87" wp14:textId="1EFBE8E3">
      <w:p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CONCLUSÃO</w:t>
      </w:r>
    </w:p>
    <w:p xmlns:wp14="http://schemas.microsoft.com/office/word/2010/wordml" w:rsidP="02C729B4" wp14:paraId="76298322" wp14:textId="0D459CEA">
      <w:pPr>
        <w:spacing w:before="0" w:beforeAutospacing="off" w:after="160" w:afterAutospacing="off" w:line="360" w:lineRule="auto"/>
        <w:ind w:firstLine="85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experiência de APROC realizada em ILPI demonstrou alta validade de autenticidade e forte potencial formativo: aproximou estudantes do cuidado real, favoreceu comunicação clínica, julgamento em contexto, prevenção de quedas e tomada de decisão centrada na pessoa. Já para os docentes, possibilitou observação direta do desempenho e feedback imediato e, para a instituição parceira, promoveu integração ensino–serviço e responsabilidade social. Apesar de variações entre avaliadores</w:t>
      </w:r>
      <w:r w:rsidRPr="02C729B4" w:rsidR="7B3E8C21">
        <w:rPr>
          <w:rFonts w:ascii="Times New Roman" w:hAnsi="Times New Roman" w:eastAsia="Times New Roman" w:cs="Times New Roman"/>
          <w:b w:val="0"/>
          <w:bCs w:val="0"/>
          <w:i w:val="0"/>
          <w:iCs w:val="0"/>
          <w:caps w:val="0"/>
          <w:smallCaps w:val="0"/>
          <w:noProof w:val="0"/>
          <w:color w:val="002060"/>
          <w:sz w:val="24"/>
          <w:szCs w:val="24"/>
          <w:lang w:val="pt-BR"/>
        </w:rPr>
        <w:t xml:space="preserve"> </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 da tendência de alguns estudantes à roteirização excessiva, os benefícios superaram os desafios, indicando replicabilidade do modelo com ajustes na rubrica e no treinamento dos avaliadores. Em síntese, EPAs em ambiente real sustentam aprendizagem, reflexão crítica e decisões de confiança mais seguras do que avaliações exclusivamente simuladas, reforçando o alinhamento às DCNs e à MFC.</w:t>
      </w:r>
    </w:p>
    <w:p xmlns:wp14="http://schemas.microsoft.com/office/word/2010/wordml" w:rsidP="02C729B4" wp14:paraId="2F55982E" wp14:textId="6331E9E1">
      <w:p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REFERÊNCIAS </w:t>
      </w:r>
    </w:p>
    <w:p xmlns:wp14="http://schemas.microsoft.com/office/word/2010/wordml" w:rsidP="02C729B4" wp14:paraId="54CA3CB0" wp14:textId="6034D81C">
      <w:pPr>
        <w:spacing w:before="0" w:beforeAutospacing="off" w:after="160" w:afterAutospacing="off"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BENDERMACHER, G.; OUDE EGBRINK, M.; DOLMANS, D.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realist reviews might be helpful to further insights in problem-based learning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Interdisciplinary Journal of Problem-based Learning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17, n. 2, 2023. DOI: 10.14434/ijpbl.v17i2.35636. Disponível em: </w:t>
      </w:r>
      <w:hyperlink r:id="Ree867eb6755d492d">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https://doi.org/10.14434/ijpbl.v17i2.35636</w:t>
        </w:r>
      </w:hyperlink>
    </w:p>
    <w:p xmlns:wp14="http://schemas.microsoft.com/office/word/2010/wordml" w:rsidP="02C729B4" wp14:paraId="2836DB9C" wp14:textId="50089CA6">
      <w:pPr>
        <w:shd w:val="clear" w:color="auto" w:fill="FFFFFF" w:themeFill="background1"/>
        <w:spacing w:after="3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BRASIL.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Lei nº 9.394, de 20 de dezembro de 1996</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Estabelece as diretrizes e bases da educação nacional.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Diário Oficial da União</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Brasília, DF, 23 dez. 1996.</w:t>
      </w:r>
    </w:p>
    <w:p xmlns:wp14="http://schemas.microsoft.com/office/word/2010/wordml" w:rsidP="02C729B4" wp14:paraId="75044FDC" wp14:textId="4F6AF5FF">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BRASIL. Ministério da Educação. Conselho Nacional de Educação. Câmara de Educação Superior.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Resolução CNE/CES nº 3, de 30 de setembro de 2025</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Institui as Diretrizes Curriculares Nacionais do Curso de Graduação em Medicina.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Diário Oficial da União</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Brasília, DF, 1º out. 2025, Seção 1, p. 35–37. Disponível em: </w:t>
      </w:r>
      <w:hyperlink r:id="R78a4301dc1d342cd">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https://www.gov.br/mec/pt-br/cne/2025/outubro-2025/rces003_25.pdf</w:t>
        </w:r>
      </w:hyperlink>
    </w:p>
    <w:p xmlns:wp14="http://schemas.microsoft.com/office/word/2010/wordml" w:rsidP="02C729B4" wp14:paraId="06EC6F97" wp14:textId="31DBA35E">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BRASIL. Ministério da Saúde.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Linha de cuidado para a atenção integral à saúde da pessoa idosa</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Brasília, DF: Ministério da Saúde, 2018. Disponível em: </w:t>
      </w:r>
      <w:hyperlink r:id="R688fc7ce603c4310">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https://bvsms.saude.gov.br/bvs/publicacoes/linha_cuidado_atencao_pessoa_idosa.pdf</w:t>
        </w:r>
      </w:hyperlink>
    </w:p>
    <w:p xmlns:wp14="http://schemas.microsoft.com/office/word/2010/wordml" w:rsidP="02C729B4" wp14:paraId="539D96C7" wp14:textId="27EAECB3">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BRITO, L. A. R.; et al.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Atividades profissionais confiáveis para a residência em Medicina de Família e Comunidade no Brasil: proposta e validação</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Revista Brasileira de Educação Médica</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2025. Disponível em: </w:t>
      </w:r>
      <w:hyperlink r:id="R3226cdc06a434ddf">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https://www.scielo.br/j/rbem/a/PJf9J6jgxX7KVyBnsDGtLhq/</w:t>
        </w:r>
      </w:hyperlink>
    </w:p>
    <w:p xmlns:wp14="http://schemas.microsoft.com/office/word/2010/wordml" w:rsidP="02C729B4" wp14:paraId="56BEC884" wp14:textId="009F662E">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CHEN, F.; LUI, A. M.; MARTINELLI, S. M.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 systematic review of the effectiveness of flipped classrooms in medical education</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Academic Medicine</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92, n. 2, p. 236–249, 2017. DOI: 10.1097/ACM.0000000000001566. Disponível em: </w:t>
      </w:r>
      <w:hyperlink r:id="R524103381a9e456f">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https://doi.org/10.1097/ACM.0000000000001566</w:t>
        </w:r>
      </w:hyperlink>
    </w:p>
    <w:p xmlns:wp14="http://schemas.microsoft.com/office/word/2010/wordml" w:rsidP="02C729B4" wp14:paraId="2EBA237D" wp14:textId="3C153B37">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HEW, K. F.; LO, C. K.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Flipped classroom improves student learning in health professions education: a meta-analysis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BMC Medical Education</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18, art. 38, 2018. DOI: 10.1186/s12909-018-1144-z. Disponível em: </w:t>
      </w:r>
      <w:hyperlink r:id="R177e81ad494a4ca5">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https://doi.org/10.1186/s12909-018-1144-z</w:t>
        </w:r>
      </w:hyperlink>
    </w:p>
    <w:p xmlns:wp14="http://schemas.microsoft.com/office/word/2010/wordml" w:rsidP="02C729B4" wp14:paraId="56DD30B5" wp14:textId="7006F099">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LIM, A.; KRISHNAN, S.; SINGH, H.; FURLETTI, S.; SARKAR, M.; STEWART, D.; MALONE, D.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Linking assessment to real life practice – comparing work based assessments and objective structured clinical examinations using mystery shopping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Advances in Health Sciences Education</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29, n. 3, p. 859–878, 2024. DOI: 10.1007/s10459-023-10284-1. Disponível em: </w:t>
      </w:r>
      <w:hyperlink r:id="Rdd2bc72d8e414971">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https://doi.org/10.1007/s10459-023-10284-1</w:t>
        </w:r>
      </w:hyperlink>
    </w:p>
    <w:p xmlns:wp14="http://schemas.microsoft.com/office/word/2010/wordml" w:rsidP="02C729B4" wp14:paraId="3D87FDF5" wp14:textId="30CD6CFA">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LIMA, L. J. L. de; ANDRADE, W. Z. N.; PALÁCIO, M. A. V.; QUINTANILHA, L. F.; TAKENAMI, I.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Panorama nacional dos métodos de ensino das escolas médicas: uma avaliação dos métodos de ensino formalmente adotados pelas instituições brasileiras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pt-BR"/>
        </w:rPr>
        <w:t>Revista Sustinere</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Rio de Janeiro, v. 11, n. 1, p. 80–96, jan./jun. 2023. DOI: 10.12957/sustinere.2023.58225. Disponível em: </w:t>
      </w:r>
      <w:hyperlink r:id="R9171b39455134875">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https://www.e-publicacoes.uerj.br/sustinere/article/view/58225</w:t>
        </w:r>
      </w:hyperlink>
    </w:p>
    <w:p xmlns:wp14="http://schemas.microsoft.com/office/word/2010/wordml" w:rsidP="02C729B4" wp14:paraId="51261C2C" wp14:textId="674AC14F">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MCCOY, L.; PETTIT, R. K.; KELLAR, C.; MORGAN, C.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Tracking active learning in the medical school curriculum: a learning-centered approach</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Journal of Medical Education and Curricular Development</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5, p. 1–9, 2018. DOI: 10.1177/2382120518765135. Disponível em: </w:t>
      </w:r>
      <w:hyperlink r:id="R5219317db5f245de">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https://doi.org/10.1177/2382120518765135</w:t>
        </w:r>
      </w:hyperlink>
    </w:p>
    <w:p xmlns:wp14="http://schemas.microsoft.com/office/word/2010/wordml" w:rsidP="02C729B4" wp14:paraId="330E2AFE" wp14:textId="6203996B">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NAIR, B. R.; MUKHERJEE, S.; BOYCE, R.; HARRIS, K.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Leveraging narrative feedback in programmatic assessment</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Advances in Medical Education and Practice</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v. 15, p. 1301–1310, 2024.</w:t>
      </w:r>
    </w:p>
    <w:p xmlns:wp14="http://schemas.microsoft.com/office/word/2010/wordml" w:rsidP="02C729B4" wp14:paraId="1955803E" wp14:textId="7BF16DFD">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ROVERS, S. F. E.; CLAREBOUT, G.; SAVELBERG, H. H. C. M.; VAN MERRIËNBOER, J. J. G.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Improving student expectations of learning in a problem-based environment</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Computers in Human Behavior</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87, p. 416–423, 2018. DOI: 10.1016/j.chb.2018.02.016. Disponível em: </w:t>
      </w:r>
      <w:hyperlink r:id="R412a460294e744fb">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https://doi.org/10.1016/j.chb.2018.02.016</w:t>
        </w:r>
      </w:hyperlink>
    </w:p>
    <w:p xmlns:wp14="http://schemas.microsoft.com/office/word/2010/wordml" w:rsidP="02C729B4" wp14:paraId="20247439" wp14:textId="70A721D2">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SERVANT-MIKLOS, V. F. C.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 revolution in its own right: how Maastricht University reinvented problem-based learning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Health Professions Education</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5, p. 283–293, 2019. DOI: 10.1016/j.hpe.2018.12.005. Disponível em: </w:t>
      </w:r>
      <w:hyperlink r:id="R1278b32e9e8b43a7">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https://doi.org/10.1016/j.hpe.2018.12.005</w:t>
        </w:r>
      </w:hyperlink>
    </w:p>
    <w:p xmlns:wp14="http://schemas.microsoft.com/office/word/2010/wordml" w:rsidP="02C729B4" wp14:paraId="73AC45D4" wp14:textId="23CEE551">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STEWART, M.; BROWN, J. B.; WESTON, W. W.; FREEMAN, T. R.; RYAN, B.; McWILLIAM, C.; McWHINNEY, I. R.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Patient-centered medicine: transforming the clinical method</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4. ed. Boca Raton: CRC Press/Taylor &amp; Francis, 2024.</w:t>
      </w:r>
    </w:p>
    <w:p xmlns:wp14="http://schemas.microsoft.com/office/word/2010/wordml" w:rsidP="02C729B4" wp14:paraId="5B9B306E" wp14:textId="5F168B19">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TAKENAMI, I. O.; PALÁCIO, M. A. V.; ANDRADE, W.; CANSANÇÃO, I. F.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Uso das metodologias ativas de aprendizagem em instituições de ensino médico no Nordeste brasileiro</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REVASF (Revista de Educação da UNIVASF)</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Petrolina, v. 8, n. 17, p. 22–38, dez. 2018. e-ISSN 2177-8183. Disponível em: </w:t>
      </w:r>
      <w:hyperlink r:id="R9619f627d76f4817">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https://portais.univasf.edu.br/medicina-pa/pesquisa/producao-cientifica/uso-das-metodologias-ativas-de-aprendizagem-em-instituicoes-de-ensino-medico-no-nordeste-brasileiro/</w:t>
        </w:r>
      </w:hyperlink>
    </w:p>
    <w:p xmlns:wp14="http://schemas.microsoft.com/office/word/2010/wordml" w:rsidP="02C729B4" wp14:paraId="769F6DE0" wp14:textId="67402737">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TEN CATE, O.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Curriculum development for the workplace using Entrustable Professional Activities (EPAs)</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Medical Teacher</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37, n. 11, p. 983–1002, 2015. DOI: 10.3109/0142159X.2015.1060308. Disponível em: </w:t>
      </w:r>
      <w:hyperlink r:id="R1a9e7cb343a24344">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https://doi.org/10.3109/0142159X.2015.1060308</w:t>
        </w:r>
      </w:hyperlink>
    </w:p>
    <w:p xmlns:wp14="http://schemas.microsoft.com/office/word/2010/wordml" w:rsidP="02C729B4" wp14:paraId="6F5FF80A" wp14:textId="7C7BE288">
      <w:pPr>
        <w:spacing w:line="360" w:lineRule="auto"/>
        <w:jc w:val="both"/>
        <w:rPr>
          <w:rFonts w:ascii="Aptos" w:hAnsi="Aptos" w:eastAsia="Aptos" w:cs="Aptos"/>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TEN CATE, O.; TAYLOR, D. R.; CARRACCIO, C.; et al.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recommended description of an entrustable professional activity: AMEE Guide</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Medical Teacher</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v. 44, n. 6, p. 1–13, 2021. DOI: 10.1080/0142159X.2020.1838465. Disponível em: </w:t>
      </w:r>
      <w:hyperlink r:id="R4f94246e30a544a4">
        <w:r w:rsidRPr="02C729B4" w:rsidR="7B3E8C2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https://doi.org/10.1080/0142159X.2020.1838465</w:t>
        </w:r>
      </w:hyperlink>
    </w:p>
    <w:p xmlns:wp14="http://schemas.microsoft.com/office/word/2010/wordml" w:rsidP="02C729B4" wp14:paraId="59BC969A" wp14:textId="5764BE99">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WEERSINK, K.; et al. </w:t>
      </w:r>
      <w:r w:rsidRPr="02C729B4" w:rsidR="7B3E8C2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Simulation versus real-world performance: a direct comparison of resident entrustment scoring</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2C729B4" w:rsidR="7B3E8C2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Advances in Simulation</w:t>
      </w:r>
      <w:r w:rsidRPr="02C729B4" w:rsidR="7B3E8C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v. 4, 2019. BioMed Central.</w:t>
      </w:r>
    </w:p>
    <w:p xmlns:wp14="http://schemas.microsoft.com/office/word/2010/wordml" w:rsidP="02C729B4" wp14:paraId="4414AB16" wp14:textId="4CF558D0">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02C729B4" wp14:paraId="63826493" wp14:textId="3547845E">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02C729B4" wp14:paraId="0C8081C5" wp14:textId="1E42DFD0">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02C729B4" wp14:paraId="67ED7D5C" wp14:textId="1F7EA069">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02C729B4" wp14:paraId="09BA53BF" wp14:textId="3D209578">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rsidP="02C729B4" wp14:paraId="22142F9D" wp14:textId="63B05E84">
      <w:pPr>
        <w:spacing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xmlns:wp14="http://schemas.microsoft.com/office/word/2010/wordml" wp14:paraId="1E207724" wp14:textId="76BFB550"/>
    <w:sectPr>
      <w:pgSz w:w="11906" w:h="16838" w:orient="portrait"/>
      <w:pgMar w:top="1701" w:right="1134" w:bottom="1134" w:left="1701" w:header="720" w:footer="720" w:gutter="0"/>
      <w:cols w:space="720"/>
      <w:docGrid w:linePitch="360"/>
      <w:titlePg w:val="1"/>
      <w:headerReference w:type="default" r:id="Redfd37da920b409c"/>
      <w:headerReference w:type="even" r:id="R6bfe75d2b5c948d4"/>
      <w:headerReference w:type="first" r:id="R9f8e883c8b6d4d10"/>
      <w:footerReference w:type="default" r:id="Rf4d3d7abca2f431f"/>
      <w:footerReference w:type="even" r:id="Ra1568c79f1184d49"/>
      <w:footerReference w:type="first" r:id="R59ce25938d6146c7"/>
    </w:sectPr>
  </w:body>
</w:document>
</file>

<file path=word/endnotes.xml><?xml version="1.0" encoding="utf-8"?>
<w:endnotes xmlns:w14="http://schemas.microsoft.com/office/word/2010/wordml" xmlns:w="http://schemas.openxmlformats.org/wordprocessingml/2006/main">
  <w:endnote w:type="separator" w:id="-1">
    <w:p w:rsidR="02C729B4" w:rsidRDefault="02C729B4" w14:paraId="567A35BD" w14:textId="53AB079F">
      <w:pPr>
        <w:spacing w:after="0" w:line="240" w:lineRule="auto"/>
      </w:pPr>
      <w:r>
        <w:separator/>
      </w:r>
    </w:p>
  </w:endnote>
  <w:endnote w:type="continuationSeparator" w:id="0">
    <w:p w:rsidR="02C729B4" w:rsidRDefault="02C729B4" w14:paraId="537A5086" w14:textId="551E96C1">
      <w:pPr>
        <w:spacing w:after="0" w:line="240" w:lineRule="auto"/>
      </w:pPr>
      <w:r>
        <w:continuationSeparator/>
      </w:r>
    </w:p>
  </w:endnote>
  <w:endnote w:id="32544">
    <w:p w:rsidR="02C729B4" w:rsidP="02C729B4" w:rsidRDefault="02C729B4" w14:paraId="51EB09DF" w14:textId="7E8A39EB">
      <w:pPr>
        <w:pStyle w:val="EndnoteText"/>
        <w:bidi w:val="0"/>
      </w:pPr>
      <w:r w:rsidRPr="02C729B4">
        <w:rPr>
          <w:rStyle w:val="EndnoteReference"/>
        </w:rPr>
        <w:endnoteRef/>
      </w:r>
      <w:r w:rsidR="02C729B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11117C23">
      <w:trPr>
        <w:trHeight w:val="300"/>
      </w:trPr>
      <w:tc>
        <w:tcPr>
          <w:tcW w:w="3020" w:type="dxa"/>
          <w:tcMar/>
        </w:tcPr>
        <w:p w:rsidR="02C729B4" w:rsidP="02C729B4" w:rsidRDefault="02C729B4" w14:paraId="344052B5" w14:textId="131BF76D">
          <w:pPr>
            <w:pStyle w:val="Header"/>
            <w:bidi w:val="0"/>
            <w:ind w:left="-115"/>
            <w:jc w:val="left"/>
          </w:pPr>
        </w:p>
      </w:tc>
      <w:tc>
        <w:tcPr>
          <w:tcW w:w="3020" w:type="dxa"/>
          <w:tcMar/>
        </w:tcPr>
        <w:p w:rsidR="02C729B4" w:rsidP="02C729B4" w:rsidRDefault="02C729B4" w14:paraId="0BC02BA8" w14:textId="789D2670">
          <w:pPr>
            <w:pStyle w:val="Header"/>
            <w:bidi w:val="0"/>
            <w:jc w:val="center"/>
          </w:pPr>
        </w:p>
      </w:tc>
      <w:tc>
        <w:tcPr>
          <w:tcW w:w="3020" w:type="dxa"/>
          <w:tcMar/>
        </w:tcPr>
        <w:p w:rsidR="02C729B4" w:rsidP="02C729B4" w:rsidRDefault="02C729B4" w14:paraId="66F0F1FE" w14:textId="5DA632B4">
          <w:pPr>
            <w:pStyle w:val="Header"/>
            <w:bidi w:val="0"/>
            <w:ind w:right="-115"/>
            <w:jc w:val="right"/>
          </w:pPr>
        </w:p>
      </w:tc>
    </w:tr>
  </w:tbl>
  <w:p w:rsidR="02C729B4" w:rsidP="02C729B4" w:rsidRDefault="02C729B4" w14:paraId="0526FE09" w14:textId="0D58520A">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7462BA72">
      <w:trPr>
        <w:trHeight w:val="300"/>
      </w:trPr>
      <w:tc>
        <w:tcPr>
          <w:tcW w:w="3020" w:type="dxa"/>
          <w:tcMar/>
        </w:tcPr>
        <w:p w:rsidR="02C729B4" w:rsidP="02C729B4" w:rsidRDefault="02C729B4" w14:paraId="0E8F875F" w14:textId="1333D2D4">
          <w:pPr>
            <w:pStyle w:val="Header"/>
            <w:bidi w:val="0"/>
            <w:ind w:left="-115"/>
            <w:jc w:val="left"/>
          </w:pPr>
        </w:p>
      </w:tc>
      <w:tc>
        <w:tcPr>
          <w:tcW w:w="3020" w:type="dxa"/>
          <w:tcMar/>
        </w:tcPr>
        <w:p w:rsidR="02C729B4" w:rsidP="02C729B4" w:rsidRDefault="02C729B4" w14:paraId="44526D28" w14:textId="45DEDE5D">
          <w:pPr>
            <w:pStyle w:val="Header"/>
            <w:bidi w:val="0"/>
            <w:jc w:val="center"/>
          </w:pPr>
        </w:p>
      </w:tc>
      <w:tc>
        <w:tcPr>
          <w:tcW w:w="3020" w:type="dxa"/>
          <w:tcMar/>
        </w:tcPr>
        <w:p w:rsidR="02C729B4" w:rsidP="02C729B4" w:rsidRDefault="02C729B4" w14:paraId="6EBE94FD" w14:textId="069B4F7C">
          <w:pPr>
            <w:pStyle w:val="Header"/>
            <w:bidi w:val="0"/>
            <w:ind w:right="-115"/>
            <w:jc w:val="right"/>
          </w:pPr>
        </w:p>
      </w:tc>
    </w:tr>
  </w:tbl>
  <w:p w:rsidR="02C729B4" w:rsidP="02C729B4" w:rsidRDefault="02C729B4" w14:paraId="6EB58695" w14:textId="37E04AF7">
    <w:pPr>
      <w:pStyle w:val="Footer"/>
      <w:bidi w:val="0"/>
    </w:pPr>
  </w:p>
</w:ftr>
</file>

<file path=word/footer3.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7C765613">
      <w:trPr>
        <w:trHeight w:val="300"/>
      </w:trPr>
      <w:tc>
        <w:tcPr>
          <w:tcW w:w="3020" w:type="dxa"/>
          <w:tcMar/>
        </w:tcPr>
        <w:p w:rsidR="02C729B4" w:rsidP="02C729B4" w:rsidRDefault="02C729B4" w14:paraId="13F8443A" w14:textId="56FE6373">
          <w:pPr>
            <w:pStyle w:val="Header"/>
            <w:bidi w:val="0"/>
            <w:ind w:left="-115"/>
            <w:jc w:val="left"/>
          </w:pPr>
        </w:p>
      </w:tc>
      <w:tc>
        <w:tcPr>
          <w:tcW w:w="3020" w:type="dxa"/>
          <w:tcMar/>
        </w:tcPr>
        <w:p w:rsidR="02C729B4" w:rsidP="02C729B4" w:rsidRDefault="02C729B4" w14:paraId="5AE21170" w14:textId="5B726A6B">
          <w:pPr>
            <w:pStyle w:val="Header"/>
            <w:bidi w:val="0"/>
            <w:jc w:val="center"/>
          </w:pPr>
        </w:p>
      </w:tc>
      <w:tc>
        <w:tcPr>
          <w:tcW w:w="3020" w:type="dxa"/>
          <w:tcMar/>
        </w:tcPr>
        <w:p w:rsidR="02C729B4" w:rsidP="02C729B4" w:rsidRDefault="02C729B4" w14:paraId="2A317D1B" w14:textId="0FC6AAB3">
          <w:pPr>
            <w:pStyle w:val="Header"/>
            <w:bidi w:val="0"/>
            <w:ind w:right="-115"/>
            <w:jc w:val="right"/>
          </w:pPr>
        </w:p>
      </w:tc>
    </w:tr>
  </w:tbl>
  <w:p w:rsidR="02C729B4" w:rsidP="02C729B4" w:rsidRDefault="02C729B4" w14:paraId="1BEA4DA0" w14:textId="385653BB">
    <w:pPr>
      <w:pStyle w:val="Footer"/>
      <w:numPr>
        <w:ilvl w:val="0"/>
        <w:numId w:val="6"/>
      </w:numPr>
      <w:tabs>
        <w:tab w:val="center" w:leader="none" w:pos="4680"/>
        <w:tab w:val="right" w:leader="none" w:pos="9360"/>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02C729B4" w:rsidR="02C729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Graduado e docente de Medicina no Centro Universitário UNIFACISA.  E-mail: </w:t>
    </w:r>
    <w:hyperlink r:id="Rcda68152a55f4424">
      <w:r w:rsidRPr="02C729B4" w:rsidR="02C729B4">
        <w:rPr>
          <w:rStyle w:val="Hyperlink"/>
          <w:rFonts w:ascii="Times New Roman" w:hAnsi="Times New Roman" w:eastAsia="Times New Roman" w:cs="Times New Roman"/>
          <w:b w:val="0"/>
          <w:bCs w:val="0"/>
          <w:i w:val="0"/>
          <w:iCs w:val="0"/>
          <w:caps w:val="0"/>
          <w:smallCaps w:val="0"/>
          <w:strike w:val="0"/>
          <w:dstrike w:val="0"/>
          <w:noProof w:val="0"/>
          <w:sz w:val="20"/>
          <w:szCs w:val="20"/>
          <w:lang w:val="pt-BR"/>
        </w:rPr>
        <w:t>wederson.silva@maisunifacisa.com.br</w:t>
      </w:r>
    </w:hyperlink>
  </w:p>
  <w:p w:rsidR="02C729B4" w:rsidP="02C729B4" w:rsidRDefault="02C729B4" w14:paraId="4BCA104C" w14:textId="4F5B77A9">
    <w:pPr>
      <w:pStyle w:val="Footer"/>
      <w:numPr>
        <w:ilvl w:val="0"/>
        <w:numId w:val="6"/>
      </w:numPr>
      <w:tabs>
        <w:tab w:val="center" w:leader="none" w:pos="4680"/>
        <w:tab w:val="right" w:leader="none" w:pos="9360"/>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02C729B4" w:rsidR="02C729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Médica de Família e Comunidade, docente e coordenadora do Ano 2 do curso de medicina da UNIFACISA. E-mail: </w:t>
    </w:r>
    <w:hyperlink r:id="Re0b367b7291f4a7b">
      <w:r w:rsidRPr="02C729B4" w:rsidR="02C729B4">
        <w:rPr>
          <w:rStyle w:val="Hyperlink"/>
          <w:rFonts w:ascii="Times New Roman" w:hAnsi="Times New Roman" w:eastAsia="Times New Roman" w:cs="Times New Roman"/>
          <w:b w:val="0"/>
          <w:bCs w:val="0"/>
          <w:i w:val="0"/>
          <w:iCs w:val="0"/>
          <w:caps w:val="0"/>
          <w:smallCaps w:val="0"/>
          <w:strike w:val="0"/>
          <w:dstrike w:val="0"/>
          <w:noProof w:val="0"/>
          <w:sz w:val="20"/>
          <w:szCs w:val="20"/>
          <w:lang w:val="pt-BR"/>
        </w:rPr>
        <w:t>aurea.silva@maisunifacisa.com.br</w:t>
      </w:r>
    </w:hyperlink>
  </w:p>
  <w:p w:rsidR="02C729B4" w:rsidP="02C729B4" w:rsidRDefault="02C729B4" w14:paraId="10070E73" w14:textId="703575F6">
    <w:pPr>
      <w:pStyle w:val="Footer"/>
      <w:numPr>
        <w:ilvl w:val="0"/>
        <w:numId w:val="6"/>
      </w:numPr>
      <w:tabs>
        <w:tab w:val="center" w:leader="none" w:pos="4680"/>
        <w:tab w:val="right" w:leader="none" w:pos="9360"/>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02C729B4" w:rsidR="02C729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Médica de Família e Comunidade, docente do curso de medicina da UNIFACISA. E-mail: </w:t>
    </w:r>
    <w:hyperlink r:id="Ra3e9e6a64af44935">
      <w:r w:rsidRPr="02C729B4" w:rsidR="02C729B4">
        <w:rPr>
          <w:rStyle w:val="Hyperlink"/>
          <w:rFonts w:ascii="Times New Roman" w:hAnsi="Times New Roman" w:eastAsia="Times New Roman" w:cs="Times New Roman"/>
          <w:b w:val="0"/>
          <w:bCs w:val="0"/>
          <w:i w:val="0"/>
          <w:iCs w:val="0"/>
          <w:caps w:val="0"/>
          <w:smallCaps w:val="0"/>
          <w:strike w:val="0"/>
          <w:dstrike w:val="0"/>
          <w:noProof w:val="0"/>
          <w:sz w:val="20"/>
          <w:szCs w:val="20"/>
          <w:lang w:val="pt-BR"/>
        </w:rPr>
        <w:t>joycyelly.silva@maisunifacisa.com.br</w:t>
      </w:r>
    </w:hyperlink>
    <w:r w:rsidRPr="02C729B4" w:rsidR="02C729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 </w:t>
    </w:r>
  </w:p>
  <w:p w:rsidR="02C729B4" w:rsidP="02C729B4" w:rsidRDefault="02C729B4" w14:paraId="4D1B2DF8" w14:textId="6CA11EE7">
    <w:pPr>
      <w:pStyle w:val="Footer"/>
      <w:numPr>
        <w:ilvl w:val="0"/>
        <w:numId w:val="6"/>
      </w:numPr>
      <w:tabs>
        <w:tab w:val="center" w:leader="none" w:pos="4680"/>
        <w:tab w:val="right" w:leader="none" w:pos="9360"/>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r w:rsidRPr="02C729B4" w:rsidR="02C729B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t xml:space="preserve">Farmacêutica pela UEPB, Doutora em Saúde Coletiva (PPGSCOL/UFRN), docente e coordenadora de Practices do curso de medicina da UNIFACISA em E-mail: </w:t>
    </w:r>
    <w:hyperlink r:id="R3e7c9b6e9d1e4ed3">
      <w:r w:rsidRPr="02C729B4" w:rsidR="02C729B4">
        <w:rPr>
          <w:rStyle w:val="Hyperlink"/>
          <w:rFonts w:ascii="Times New Roman" w:hAnsi="Times New Roman" w:eastAsia="Times New Roman" w:cs="Times New Roman"/>
          <w:b w:val="0"/>
          <w:bCs w:val="0"/>
          <w:i w:val="0"/>
          <w:iCs w:val="0"/>
          <w:caps w:val="0"/>
          <w:smallCaps w:val="0"/>
          <w:strike w:val="0"/>
          <w:dstrike w:val="0"/>
          <w:noProof w:val="0"/>
          <w:sz w:val="20"/>
          <w:szCs w:val="20"/>
          <w:lang w:val="pt-BR"/>
        </w:rPr>
        <w:t>adriana.leal@maisunifacisa.com.br</w:t>
      </w:r>
    </w:hyperlink>
  </w:p>
  <w:p w:rsidR="02C729B4" w:rsidP="02C729B4" w:rsidRDefault="02C729B4" w14:paraId="7047CC80" w14:textId="2805257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0ADD882A">
      <w:trPr>
        <w:trHeight w:val="300"/>
      </w:trPr>
      <w:tc>
        <w:tcPr>
          <w:tcW w:w="3020" w:type="dxa"/>
          <w:tcMar/>
        </w:tcPr>
        <w:p w:rsidR="02C729B4" w:rsidP="02C729B4" w:rsidRDefault="02C729B4" w14:paraId="39830929" w14:textId="34893B10">
          <w:pPr>
            <w:pStyle w:val="Header"/>
            <w:bidi w:val="0"/>
            <w:ind w:left="-115"/>
            <w:jc w:val="left"/>
          </w:pPr>
        </w:p>
      </w:tc>
      <w:tc>
        <w:tcPr>
          <w:tcW w:w="3020" w:type="dxa"/>
          <w:tcMar/>
        </w:tcPr>
        <w:p w:rsidR="02C729B4" w:rsidP="02C729B4" w:rsidRDefault="02C729B4" w14:paraId="37EDB584" w14:textId="2D535CB1">
          <w:pPr>
            <w:pStyle w:val="Header"/>
            <w:bidi w:val="0"/>
            <w:jc w:val="center"/>
          </w:pPr>
        </w:p>
      </w:tc>
      <w:tc>
        <w:tcPr>
          <w:tcW w:w="3020" w:type="dxa"/>
          <w:tcMar/>
        </w:tcPr>
        <w:p w:rsidR="02C729B4" w:rsidP="02C729B4" w:rsidRDefault="02C729B4" w14:paraId="41C21EE9" w14:textId="40F97B32">
          <w:pPr>
            <w:pStyle w:val="Header"/>
            <w:bidi w:val="0"/>
            <w:ind w:right="-115"/>
            <w:jc w:val="right"/>
          </w:pPr>
        </w:p>
      </w:tc>
    </w:tr>
  </w:tbl>
  <w:p w:rsidR="02C729B4" w:rsidP="02C729B4" w:rsidRDefault="02C729B4" w14:paraId="65D87413" w14:textId="7F58886D">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27EBEF68">
      <w:trPr>
        <w:trHeight w:val="300"/>
      </w:trPr>
      <w:tc>
        <w:tcPr>
          <w:tcW w:w="3020" w:type="dxa"/>
          <w:tcMar/>
        </w:tcPr>
        <w:p w:rsidR="02C729B4" w:rsidP="02C729B4" w:rsidRDefault="02C729B4" w14:paraId="4A69891C" w14:textId="2C17A083">
          <w:pPr>
            <w:pStyle w:val="Header"/>
            <w:bidi w:val="0"/>
            <w:ind w:left="-115"/>
            <w:jc w:val="left"/>
          </w:pPr>
        </w:p>
      </w:tc>
      <w:tc>
        <w:tcPr>
          <w:tcW w:w="3020" w:type="dxa"/>
          <w:tcMar/>
        </w:tcPr>
        <w:p w:rsidR="02C729B4" w:rsidP="02C729B4" w:rsidRDefault="02C729B4" w14:paraId="34D76ED0" w14:textId="7C22B470">
          <w:pPr>
            <w:pStyle w:val="Header"/>
            <w:bidi w:val="0"/>
            <w:jc w:val="center"/>
          </w:pPr>
        </w:p>
      </w:tc>
      <w:tc>
        <w:tcPr>
          <w:tcW w:w="3020" w:type="dxa"/>
          <w:tcMar/>
        </w:tcPr>
        <w:p w:rsidR="02C729B4" w:rsidP="02C729B4" w:rsidRDefault="02C729B4" w14:paraId="6A0AB60D" w14:textId="4FC4B56B">
          <w:pPr>
            <w:pStyle w:val="Header"/>
            <w:bidi w:val="0"/>
            <w:ind w:right="-115"/>
            <w:jc w:val="right"/>
          </w:pPr>
        </w:p>
      </w:tc>
    </w:tr>
  </w:tbl>
  <w:p w:rsidR="02C729B4" w:rsidP="02C729B4" w:rsidRDefault="02C729B4" w14:paraId="4734BBA7" w14:textId="18EB250A">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2C729B4" w:rsidTr="02C729B4" w14:paraId="67CE783F">
      <w:trPr>
        <w:trHeight w:val="300"/>
      </w:trPr>
      <w:tc>
        <w:tcPr>
          <w:tcW w:w="3020" w:type="dxa"/>
          <w:tcMar/>
        </w:tcPr>
        <w:p w:rsidR="02C729B4" w:rsidP="02C729B4" w:rsidRDefault="02C729B4" w14:paraId="5D3791C4" w14:textId="4398FFF3">
          <w:pPr>
            <w:pStyle w:val="Header"/>
            <w:bidi w:val="0"/>
            <w:ind w:left="-115"/>
            <w:jc w:val="left"/>
          </w:pPr>
        </w:p>
      </w:tc>
      <w:tc>
        <w:tcPr>
          <w:tcW w:w="3020" w:type="dxa"/>
          <w:tcMar/>
        </w:tcPr>
        <w:p w:rsidR="02C729B4" w:rsidP="02C729B4" w:rsidRDefault="02C729B4" w14:paraId="7B9A9C8D" w14:textId="5B3398BC">
          <w:pPr>
            <w:pStyle w:val="Header"/>
            <w:bidi w:val="0"/>
            <w:jc w:val="center"/>
          </w:pPr>
        </w:p>
      </w:tc>
      <w:tc>
        <w:tcPr>
          <w:tcW w:w="3020" w:type="dxa"/>
          <w:tcMar/>
        </w:tcPr>
        <w:p w:rsidR="02C729B4" w:rsidP="02C729B4" w:rsidRDefault="02C729B4" w14:paraId="04F55711" w14:textId="52F7D704">
          <w:pPr>
            <w:pStyle w:val="Header"/>
            <w:bidi w:val="0"/>
            <w:ind w:right="-115"/>
            <w:jc w:val="right"/>
          </w:pPr>
        </w:p>
      </w:tc>
    </w:tr>
  </w:tbl>
  <w:p w:rsidR="02C729B4" w:rsidP="02C729B4" w:rsidRDefault="02C729B4" w14:paraId="7FE2BEBB" w14:textId="06DF2D1B">
    <w:pPr>
      <w:pStyle w:val="Header"/>
      <w:bidi w:val="0"/>
    </w:pPr>
  </w:p>
</w:hdr>
</file>

<file path=word/numbering.xml><?xml version="1.0" encoding="utf-8"?>
<w:numbering xmlns:w="http://schemas.openxmlformats.org/wordprocessingml/2006/main">
  <w:abstractNum xmlns:w="http://schemas.openxmlformats.org/wordprocessingml/2006/main" w:abstractNumId="6">
    <w:nsid w:val="1feabe2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fda5d08"/>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4">
    <w:nsid w:val="4269cef2"/>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3">
    <w:nsid w:val="4b13a01d"/>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2">
    <w:nsid w:val="7f08beb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
    <w:nsid w:val="21731bad"/>
    <w:multiLevelType xmlns:w="http://schemas.openxmlformats.org/wordprocessingml/2006/main" w:val="hybridMultilevel"/>
    <w:lvl xmlns:w="http://schemas.openxmlformats.org/wordprocessingml/2006/main" w:ilvl="0">
      <w:start w:val="1"/>
      <w:numFmt w:val="bullet"/>
      <w:lvlText w:val=""/>
      <w:lvlJc w:val="left"/>
      <w:pPr>
        <w:ind w:left="2420" w:hanging="360"/>
      </w:pPr>
      <w:rPr>
        <w:rFonts w:hint="default" w:ascii="Symbol" w:hAnsi="Symbol"/>
      </w:rPr>
    </w:lvl>
    <w:lvl xmlns:w="http://schemas.openxmlformats.org/wordprocessingml/2006/main" w:ilvl="1">
      <w:start w:val="1"/>
      <w:numFmt w:val="bullet"/>
      <w:lvlText w:val="o"/>
      <w:lvlJc w:val="left"/>
      <w:pPr>
        <w:ind w:left="3140" w:hanging="360"/>
      </w:pPr>
      <w:rPr>
        <w:rFonts w:hint="default" w:ascii="Courier New" w:hAnsi="Courier New"/>
      </w:rPr>
    </w:lvl>
    <w:lvl xmlns:w="http://schemas.openxmlformats.org/wordprocessingml/2006/main" w:ilvl="2">
      <w:start w:val="1"/>
      <w:numFmt w:val="bullet"/>
      <w:lvlText w:val=""/>
      <w:lvlJc w:val="left"/>
      <w:pPr>
        <w:ind w:left="3860" w:hanging="360"/>
      </w:pPr>
      <w:rPr>
        <w:rFonts w:hint="default" w:ascii="Wingdings" w:hAnsi="Wingdings"/>
      </w:rPr>
    </w:lvl>
    <w:lvl xmlns:w="http://schemas.openxmlformats.org/wordprocessingml/2006/main" w:ilvl="3">
      <w:start w:val="1"/>
      <w:numFmt w:val="bullet"/>
      <w:lvlText w:val=""/>
      <w:lvlJc w:val="left"/>
      <w:pPr>
        <w:ind w:left="4580" w:hanging="360"/>
      </w:pPr>
      <w:rPr>
        <w:rFonts w:hint="default" w:ascii="Symbol" w:hAnsi="Symbol"/>
      </w:rPr>
    </w:lvl>
    <w:lvl xmlns:w="http://schemas.openxmlformats.org/wordprocessingml/2006/main" w:ilvl="4">
      <w:start w:val="1"/>
      <w:numFmt w:val="bullet"/>
      <w:lvlText w:val="o"/>
      <w:lvlJc w:val="left"/>
      <w:pPr>
        <w:ind w:left="5300" w:hanging="360"/>
      </w:pPr>
      <w:rPr>
        <w:rFonts w:hint="default" w:ascii="Courier New" w:hAnsi="Courier New"/>
      </w:rPr>
    </w:lvl>
    <w:lvl xmlns:w="http://schemas.openxmlformats.org/wordprocessingml/2006/main" w:ilvl="5">
      <w:start w:val="1"/>
      <w:numFmt w:val="bullet"/>
      <w:lvlText w:val=""/>
      <w:lvlJc w:val="left"/>
      <w:pPr>
        <w:ind w:left="6020" w:hanging="360"/>
      </w:pPr>
      <w:rPr>
        <w:rFonts w:hint="default" w:ascii="Wingdings" w:hAnsi="Wingdings"/>
      </w:rPr>
    </w:lvl>
    <w:lvl xmlns:w="http://schemas.openxmlformats.org/wordprocessingml/2006/main" w:ilvl="6">
      <w:start w:val="1"/>
      <w:numFmt w:val="bullet"/>
      <w:lvlText w:val=""/>
      <w:lvlJc w:val="left"/>
      <w:pPr>
        <w:ind w:left="6740" w:hanging="360"/>
      </w:pPr>
      <w:rPr>
        <w:rFonts w:hint="default" w:ascii="Symbol" w:hAnsi="Symbol"/>
      </w:rPr>
    </w:lvl>
    <w:lvl xmlns:w="http://schemas.openxmlformats.org/wordprocessingml/2006/main" w:ilvl="7">
      <w:start w:val="1"/>
      <w:numFmt w:val="bullet"/>
      <w:lvlText w:val="o"/>
      <w:lvlJc w:val="left"/>
      <w:pPr>
        <w:ind w:left="7460" w:hanging="360"/>
      </w:pPr>
      <w:rPr>
        <w:rFonts w:hint="default" w:ascii="Courier New" w:hAnsi="Courier New"/>
      </w:rPr>
    </w:lvl>
    <w:lvl xmlns:w="http://schemas.openxmlformats.org/wordprocessingml/2006/main" w:ilvl="8">
      <w:start w:val="1"/>
      <w:numFmt w:val="bullet"/>
      <w:lvlText w:val=""/>
      <w:lvlJc w:val="left"/>
      <w:pPr>
        <w:ind w:left="81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28C0A6"/>
    <w:rsid w:val="02C729B4"/>
    <w:rsid w:val="1166B2F3"/>
    <w:rsid w:val="13276FE4"/>
    <w:rsid w:val="2155482C"/>
    <w:rsid w:val="21C1A213"/>
    <w:rsid w:val="2D22388E"/>
    <w:rsid w:val="33EC629D"/>
    <w:rsid w:val="489C94F8"/>
    <w:rsid w:val="4F0B87D2"/>
    <w:rsid w:val="5128C0A6"/>
    <w:rsid w:val="66F46970"/>
    <w:rsid w:val="68149AE5"/>
    <w:rsid w:val="7B3E8C21"/>
    <w:rsid w:val="7CCF809D"/>
    <w:rsid w:val="7F848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C0A6"/>
  <w15:chartTrackingRefBased/>
  <w15:docId w15:val="{9AB35692-AF01-49E0-9BB0-080F11AA6CC5}"/>
  <w:endnotePr>
    <w:endnote w:id="-1"/>
    <w:endnote w:id="0"/>
  </w:end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2C729B4"/>
    <w:pPr>
      <w:spacing/>
      <w:ind w:left="720"/>
      <w:contextualSpacing/>
    </w:pPr>
  </w:style>
  <w:style w:type="character" w:styleId="Hyperlink">
    <w:uiPriority w:val="99"/>
    <w:name w:val="Hyperlink"/>
    <w:basedOn w:val="DefaultParagraphFont"/>
    <w:unhideWhenUsed/>
    <w:rsid w:val="02C729B4"/>
    <w:rPr>
      <w:color w:val="467886"/>
      <w:u w:val="single"/>
    </w:rPr>
  </w:style>
  <w:style w:type="paragraph" w:styleId="Header">
    <w:uiPriority w:val="99"/>
    <w:name w:val="header"/>
    <w:basedOn w:val="Normal"/>
    <w:unhideWhenUsed/>
    <w:rsid w:val="02C729B4"/>
    <w:pPr>
      <w:tabs>
        <w:tab w:val="center" w:leader="none" w:pos="4680"/>
        <w:tab w:val="right" w:leader="none" w:pos="9360"/>
      </w:tabs>
      <w:spacing w:after="0" w:line="240" w:lineRule="auto"/>
    </w:pPr>
  </w:style>
  <w:style w:type="paragraph" w:styleId="Footer">
    <w:uiPriority w:val="99"/>
    <w:name w:val="footer"/>
    <w:basedOn w:val="Normal"/>
    <w:unhideWhenUsed/>
    <w:rsid w:val="02C729B4"/>
    <w:pPr>
      <w:tabs>
        <w:tab w:val="center" w:leader="none" w:pos="4680"/>
        <w:tab w:val="right" w:leader="none" w:pos="9360"/>
      </w:tabs>
      <w:spacing w:after="0" w:line="240" w:lineRule="auto"/>
    </w:pPr>
  </w:style>
  <w:style w:type="paragraph" w:styleId="EndnoteText">
    <w:uiPriority w:val="99"/>
    <w:name w:val="endnote text"/>
    <w:basedOn w:val="Normal"/>
    <w:semiHidden/>
    <w:unhideWhenUsed/>
    <w:rsid w:val="02C729B4"/>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77938374" /><Relationship Type="http://schemas.openxmlformats.org/officeDocument/2006/relationships/hyperlink" Target="https://doi.org/10.14434/ijpbl.v17i2.35636" TargetMode="External" Id="Ree867eb6755d492d" /><Relationship Type="http://schemas.openxmlformats.org/officeDocument/2006/relationships/hyperlink" Target="https://www.gov.br/mec/pt-br/cne/2025/outubro-2025/rces003_25.pdf?utm_source=chatgpt.com" TargetMode="External" Id="R78a4301dc1d342cd" /><Relationship Type="http://schemas.openxmlformats.org/officeDocument/2006/relationships/hyperlink" Target="https://bvsms.saude.gov.br/bvs/publicacoes/linha_cuidado_atencao_pessoa_idosa.pdf?utm_source=chatgpt.com" TargetMode="External" Id="R688fc7ce603c4310" /><Relationship Type="http://schemas.openxmlformats.org/officeDocument/2006/relationships/hyperlink" Target="https://www.scielo.br/j/rbem/a/PJf9J6jgxX7KVyBnsDGtLhq/?utm_source=chatgpt.com" TargetMode="External" Id="R3226cdc06a434ddf" /><Relationship Type="http://schemas.openxmlformats.org/officeDocument/2006/relationships/hyperlink" Target="https://doi.org/10.1097/ACM.0000000000001566" TargetMode="External" Id="R524103381a9e456f" /><Relationship Type="http://schemas.openxmlformats.org/officeDocument/2006/relationships/hyperlink" Target="https://doi.org/10.1186/s12909-018-1144-z" TargetMode="External" Id="R177e81ad494a4ca5" /><Relationship Type="http://schemas.openxmlformats.org/officeDocument/2006/relationships/hyperlink" Target="https://doi.org/10.1007/s10459-023-10284-1" TargetMode="External" Id="Rdd2bc72d8e414971" /><Relationship Type="http://schemas.openxmlformats.org/officeDocument/2006/relationships/hyperlink" Target="https://www.e-publicacoes.uerj.br/sustinere/article/view/58225" TargetMode="External" Id="R9171b39455134875" /><Relationship Type="http://schemas.openxmlformats.org/officeDocument/2006/relationships/hyperlink" Target="https://doi.org/10.1177/2382120518765135" TargetMode="External" Id="R5219317db5f245de" /><Relationship Type="http://schemas.openxmlformats.org/officeDocument/2006/relationships/hyperlink" Target="https://doi.org/10.1016/j.chb.2018.02.016" TargetMode="External" Id="R412a460294e744fb" /><Relationship Type="http://schemas.openxmlformats.org/officeDocument/2006/relationships/hyperlink" Target="https://doi.org/10.1016/j.hpe.2018.12.005" TargetMode="External" Id="R1278b32e9e8b43a7" /><Relationship Type="http://schemas.openxmlformats.org/officeDocument/2006/relationships/hyperlink" Target="https://portais.univasf.edu.br/medicina-pa/pesquisa/producao-cientifica/uso-das-metodologias-ativas-de-aprendizagem-em-instituicoes-de-ensino-medico-no-nordeste-brasileiro/" TargetMode="External" Id="R9619f627d76f4817" /><Relationship Type="http://schemas.openxmlformats.org/officeDocument/2006/relationships/hyperlink" Target="https://doi.org/10.3109/0142159X.2015.1060308" TargetMode="External" Id="R1a9e7cb343a24344" /><Relationship Type="http://schemas.openxmlformats.org/officeDocument/2006/relationships/hyperlink" Target="https://doi.org/10.1080/0142159X.2020.1838465" TargetMode="External" Id="R4f94246e30a544a4" /><Relationship Type="http://schemas.openxmlformats.org/officeDocument/2006/relationships/header" Target="header.xml" Id="Redfd37da920b409c" /><Relationship Type="http://schemas.openxmlformats.org/officeDocument/2006/relationships/header" Target="header2.xml" Id="R6bfe75d2b5c948d4" /><Relationship Type="http://schemas.openxmlformats.org/officeDocument/2006/relationships/header" Target="header3.xml" Id="R9f8e883c8b6d4d10" /><Relationship Type="http://schemas.openxmlformats.org/officeDocument/2006/relationships/footer" Target="footer.xml" Id="Rf4d3d7abca2f431f" /><Relationship Type="http://schemas.openxmlformats.org/officeDocument/2006/relationships/footer" Target="footer2.xml" Id="Ra1568c79f1184d49" /><Relationship Type="http://schemas.openxmlformats.org/officeDocument/2006/relationships/footer" Target="footer3.xml" Id="R59ce25938d6146c7" /><Relationship Type="http://schemas.openxmlformats.org/officeDocument/2006/relationships/endnotes" Target="endnotes.xml" Id="R5b9f27dd0d0a486c" /><Relationship Type="http://schemas.openxmlformats.org/officeDocument/2006/relationships/numbering" Target="numbering.xml" Id="R821a4224b43b4c33" /></Relationships>
</file>

<file path=word/_rels/footer3.xml.rels>&#65279;<?xml version="1.0" encoding="utf-8"?><Relationships xmlns="http://schemas.openxmlformats.org/package/2006/relationships"><Relationship Type="http://schemas.openxmlformats.org/officeDocument/2006/relationships/hyperlink" Target="mailto:xxxxxxxxx@xxxxxxxx.com" TargetMode="External" Id="Rcda68152a55f4424" /><Relationship Type="http://schemas.openxmlformats.org/officeDocument/2006/relationships/hyperlink" Target="mailto:aurea.silva@maisunifacisa.com.br" TargetMode="External" Id="Re0b367b7291f4a7b" /><Relationship Type="http://schemas.openxmlformats.org/officeDocument/2006/relationships/hyperlink" Target="mailto:joycyelly.silva@maisunifacisa.com" TargetMode="External" Id="Ra3e9e6a64af44935" /><Relationship Type="http://schemas.openxmlformats.org/officeDocument/2006/relationships/hyperlink" Target="mailto:adriana.leal@maisunifacisa.com.br" TargetMode="External" Id="R3e7c9b6e9d1e4e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2025-10-15T12:51:42.3601728Z</dcterms:created>
  <dcterms:modified xsi:type="dcterms:W3CDTF">2025-10-15T13:09:06.9642407Z</dcterms:modified>
  <dc:creator>WEDERSON SANTOS SILVA</dc:creator>
  <lastModifiedBy>WEDERSON SANTOS SILVA</lastModifiedBy>
</coreProperties>
</file>