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B1B" w:rsidRPr="00DC5268" w:rsidRDefault="00D54B1B" w:rsidP="00D54B1B">
      <w:pPr>
        <w:pStyle w:val="TituloArtigo"/>
        <w:rPr>
          <w:lang w:val="pt-BR"/>
        </w:rPr>
      </w:pPr>
      <w:r>
        <w:rPr>
          <w:lang w:val="pt-BR"/>
        </w:rPr>
        <w:t>ACESSIBILIDADE EM JOGOS DIGITAIS:</w:t>
      </w:r>
    </w:p>
    <w:p w:rsidR="00D54B1B" w:rsidRPr="00DC5268" w:rsidRDefault="00D54B1B" w:rsidP="00D54B1B">
      <w:pPr>
        <w:pStyle w:val="SubtituloArtigo"/>
        <w:rPr>
          <w:lang w:val="pt-BR"/>
        </w:rPr>
      </w:pPr>
      <w:r>
        <w:rPr>
          <w:lang w:val="pt-BR"/>
        </w:rPr>
        <w:t xml:space="preserve">Avaliação Heurística baseada na Game </w:t>
      </w:r>
      <w:proofErr w:type="spellStart"/>
      <w:r>
        <w:rPr>
          <w:lang w:val="pt-BR"/>
        </w:rPr>
        <w:t>Accessibility</w:t>
      </w:r>
      <w:proofErr w:type="spellEnd"/>
      <w:r>
        <w:rPr>
          <w:lang w:val="pt-BR"/>
        </w:rPr>
        <w:t xml:space="preserve"> </w:t>
      </w:r>
      <w:proofErr w:type="spellStart"/>
      <w:r>
        <w:rPr>
          <w:lang w:val="pt-BR"/>
        </w:rPr>
        <w:t>Guidelines</w:t>
      </w:r>
      <w:proofErr w:type="spellEnd"/>
      <w:r>
        <w:rPr>
          <w:lang w:val="pt-BR"/>
        </w:rPr>
        <w:t xml:space="preserve"> e os Desafios da Acessibilidade na Indústria dos Jogos Digitais</w:t>
      </w:r>
    </w:p>
    <w:p w:rsidR="00D54B1B" w:rsidRPr="00D54B1B" w:rsidRDefault="00D54B1B" w:rsidP="00D54B1B">
      <w:pPr>
        <w:spacing w:after="0"/>
        <w:ind w:firstLine="0"/>
        <w:jc w:val="center"/>
        <w:rPr>
          <w:rFonts w:cs="Times New Roman"/>
          <w:b/>
          <w:bCs/>
          <w:szCs w:val="24"/>
          <w:lang w:val="pt-BR"/>
        </w:rPr>
      </w:pPr>
    </w:p>
    <w:p w:rsidR="00D54B1B" w:rsidRPr="00D54B1B" w:rsidRDefault="00D54B1B" w:rsidP="00D54B1B">
      <w:pPr>
        <w:pStyle w:val="TituloArtigo"/>
      </w:pPr>
      <w:r w:rsidRPr="00D54B1B">
        <w:t>AC</w:t>
      </w:r>
      <w:r w:rsidRPr="00D54B1B">
        <w:t>C</w:t>
      </w:r>
      <w:r w:rsidRPr="00D54B1B">
        <w:t>ESSIBIL</w:t>
      </w:r>
      <w:r w:rsidRPr="00D54B1B">
        <w:t>ITY</w:t>
      </w:r>
      <w:r w:rsidRPr="00D54B1B">
        <w:t xml:space="preserve"> </w:t>
      </w:r>
      <w:r w:rsidRPr="00D54B1B">
        <w:t>IN DIGITAL GAMES</w:t>
      </w:r>
      <w:r w:rsidRPr="00D54B1B">
        <w:t>:</w:t>
      </w:r>
    </w:p>
    <w:p w:rsidR="00D54B1B" w:rsidRDefault="00D54B1B" w:rsidP="00D54B1B">
      <w:pPr>
        <w:pStyle w:val="SubtituloArtigo"/>
      </w:pPr>
      <w:r w:rsidRPr="00D54B1B">
        <w:t>A</w:t>
      </w:r>
      <w:r w:rsidRPr="00D54B1B">
        <w:t xml:space="preserve"> Heuristic Evaluation Based on the Game Accessibility Guidelines and Accessibility Challenges in the Digital Games Industry</w:t>
      </w:r>
    </w:p>
    <w:p w:rsidR="00D54B1B" w:rsidRPr="00D54B1B" w:rsidRDefault="00D54B1B" w:rsidP="00D54B1B">
      <w:pPr>
        <w:pStyle w:val="SubtituloArtigo"/>
        <w:rPr>
          <w:rFonts w:cs="Times New Roman"/>
          <w:b w:val="0"/>
          <w:bCs/>
          <w:szCs w:val="24"/>
        </w:rPr>
      </w:pPr>
    </w:p>
    <w:p w:rsidR="00D54B1B" w:rsidRPr="00D54B1B" w:rsidRDefault="00D54B1B" w:rsidP="00D54B1B">
      <w:pPr>
        <w:spacing w:after="0"/>
        <w:ind w:firstLine="0"/>
        <w:jc w:val="both"/>
        <w:rPr>
          <w:rFonts w:cs="Times New Roman"/>
          <w:b/>
          <w:bCs/>
          <w:szCs w:val="24"/>
          <w:lang w:val="pt-BR"/>
        </w:rPr>
      </w:pPr>
      <w:r w:rsidRPr="00D54B1B">
        <w:rPr>
          <w:rFonts w:cs="Times New Roman"/>
          <w:b/>
          <w:bCs/>
          <w:szCs w:val="24"/>
          <w:lang w:val="pt-BR"/>
        </w:rPr>
        <w:t>Informações dos autores:</w:t>
      </w:r>
    </w:p>
    <w:p w:rsidR="00D54B1B" w:rsidRPr="00D54B1B" w:rsidRDefault="00D54B1B" w:rsidP="00D54B1B">
      <w:pPr>
        <w:spacing w:after="0"/>
        <w:ind w:firstLine="0"/>
        <w:jc w:val="both"/>
        <w:rPr>
          <w:rFonts w:cs="Times New Roman"/>
          <w:szCs w:val="24"/>
          <w:lang w:val="pt-BR"/>
        </w:rPr>
      </w:pPr>
    </w:p>
    <w:p w:rsidR="00D54B1B" w:rsidRPr="00D54B1B" w:rsidRDefault="00D54B1B" w:rsidP="00D54B1B">
      <w:pPr>
        <w:spacing w:after="0"/>
        <w:ind w:firstLine="0"/>
        <w:jc w:val="both"/>
        <w:rPr>
          <w:rFonts w:cs="Times New Roman"/>
          <w:szCs w:val="24"/>
          <w:lang w:val="pt-BR"/>
        </w:rPr>
      </w:pPr>
      <w:r>
        <w:rPr>
          <w:rFonts w:cs="Times New Roman"/>
          <w:szCs w:val="24"/>
          <w:lang w:val="pt-BR"/>
        </w:rPr>
        <w:t>Daniel Leite Costa</w:t>
      </w:r>
    </w:p>
    <w:p w:rsidR="00D54B1B" w:rsidRPr="00D54B1B" w:rsidRDefault="00D54B1B" w:rsidP="00D54B1B">
      <w:pPr>
        <w:spacing w:after="0"/>
        <w:ind w:firstLine="0"/>
        <w:jc w:val="both"/>
        <w:rPr>
          <w:rFonts w:cs="Times New Roman"/>
          <w:szCs w:val="24"/>
          <w:lang w:val="pt-BR"/>
        </w:rPr>
      </w:pPr>
      <w:r>
        <w:rPr>
          <w:rFonts w:cs="Times New Roman"/>
          <w:szCs w:val="24"/>
          <w:lang w:val="pt-BR"/>
        </w:rPr>
        <w:t>daniel.leite.costa@gmail.com</w:t>
      </w:r>
    </w:p>
    <w:p w:rsidR="00E56DAC" w:rsidRDefault="00E56DAC" w:rsidP="00D54B1B">
      <w:pPr>
        <w:spacing w:after="0"/>
        <w:ind w:firstLine="0"/>
        <w:jc w:val="both"/>
        <w:rPr>
          <w:rFonts w:cs="Times New Roman"/>
          <w:szCs w:val="24"/>
          <w:lang w:val="pt-BR"/>
        </w:rPr>
      </w:pPr>
      <w:r w:rsidRPr="00E56DAC">
        <w:rPr>
          <w:rFonts w:cs="Times New Roman"/>
          <w:szCs w:val="24"/>
          <w:lang w:val="pt-BR"/>
        </w:rPr>
        <w:t>https://orcid.org/0000-0002-4762-4676</w:t>
      </w:r>
    </w:p>
    <w:p w:rsidR="00D54B1B" w:rsidRPr="00D54B1B" w:rsidRDefault="00E56DAC" w:rsidP="00D54B1B">
      <w:pPr>
        <w:spacing w:after="0"/>
        <w:ind w:firstLine="0"/>
        <w:jc w:val="both"/>
        <w:rPr>
          <w:rFonts w:cs="Times New Roman"/>
          <w:szCs w:val="24"/>
          <w:lang w:val="pt-BR"/>
        </w:rPr>
      </w:pPr>
      <w:r>
        <w:rPr>
          <w:rFonts w:cs="Times New Roman"/>
          <w:szCs w:val="24"/>
          <w:lang w:val="pt-BR"/>
        </w:rPr>
        <w:t>UniFacisa</w:t>
      </w:r>
      <w:r w:rsidR="00D54B1B" w:rsidRPr="00D54B1B">
        <w:rPr>
          <w:rFonts w:cs="Times New Roman"/>
          <w:szCs w:val="24"/>
          <w:lang w:val="pt-BR"/>
        </w:rPr>
        <w:t xml:space="preserve">, </w:t>
      </w:r>
      <w:r w:rsidR="00D54B1B">
        <w:rPr>
          <w:rFonts w:cs="Times New Roman"/>
          <w:szCs w:val="24"/>
          <w:lang w:val="pt-BR"/>
        </w:rPr>
        <w:t>Campina Grande</w:t>
      </w:r>
      <w:r w:rsidR="00D54B1B" w:rsidRPr="00D54B1B">
        <w:rPr>
          <w:rFonts w:cs="Times New Roman"/>
          <w:szCs w:val="24"/>
          <w:lang w:val="pt-BR"/>
        </w:rPr>
        <w:t xml:space="preserve"> – </w:t>
      </w:r>
      <w:r w:rsidR="00D54B1B">
        <w:rPr>
          <w:rFonts w:cs="Times New Roman"/>
          <w:szCs w:val="24"/>
          <w:lang w:val="pt-BR"/>
        </w:rPr>
        <w:t>PB</w:t>
      </w:r>
      <w:r w:rsidR="00D54B1B" w:rsidRPr="00D54B1B">
        <w:rPr>
          <w:rFonts w:cs="Times New Roman"/>
          <w:szCs w:val="24"/>
          <w:lang w:val="pt-BR"/>
        </w:rPr>
        <w:t xml:space="preserve">, </w:t>
      </w:r>
      <w:r w:rsidR="00D54B1B">
        <w:rPr>
          <w:rFonts w:cs="Times New Roman"/>
          <w:szCs w:val="24"/>
          <w:lang w:val="pt-BR"/>
        </w:rPr>
        <w:t>Brasil</w:t>
      </w:r>
    </w:p>
    <w:p w:rsidR="00D54B1B" w:rsidRPr="00D54B1B" w:rsidRDefault="00D54B1B" w:rsidP="00D54B1B">
      <w:pPr>
        <w:spacing w:after="0"/>
        <w:ind w:firstLine="0"/>
        <w:jc w:val="both"/>
        <w:rPr>
          <w:rFonts w:cs="Times New Roman"/>
          <w:szCs w:val="24"/>
          <w:lang w:val="pt-BR"/>
        </w:rPr>
      </w:pPr>
    </w:p>
    <w:p w:rsidR="00D54B1B" w:rsidRPr="00D54B1B" w:rsidRDefault="00D54B1B" w:rsidP="00D54B1B">
      <w:pPr>
        <w:spacing w:after="0"/>
        <w:ind w:firstLine="0"/>
        <w:jc w:val="both"/>
        <w:rPr>
          <w:rFonts w:cs="Times New Roman"/>
          <w:b/>
          <w:bCs/>
          <w:szCs w:val="24"/>
          <w:lang w:val="pt-BR"/>
        </w:rPr>
      </w:pPr>
      <w:r w:rsidRPr="00D54B1B">
        <w:rPr>
          <w:rFonts w:cs="Times New Roman"/>
          <w:b/>
          <w:bCs/>
          <w:szCs w:val="24"/>
          <w:lang w:val="pt-BR"/>
        </w:rPr>
        <w:t>Indicação do autor para correspondência:</w:t>
      </w:r>
    </w:p>
    <w:p w:rsidR="00D54B1B" w:rsidRPr="00D54B1B" w:rsidRDefault="00D54B1B" w:rsidP="00D54B1B">
      <w:pPr>
        <w:spacing w:after="0"/>
        <w:ind w:firstLine="0"/>
        <w:jc w:val="both"/>
        <w:rPr>
          <w:rFonts w:cs="Times New Roman"/>
          <w:szCs w:val="24"/>
          <w:lang w:val="pt-BR"/>
        </w:rPr>
      </w:pPr>
      <w:r>
        <w:rPr>
          <w:rFonts w:cs="Times New Roman"/>
          <w:szCs w:val="24"/>
          <w:lang w:val="pt-BR"/>
        </w:rPr>
        <w:t>Daniel Leite Costa</w:t>
      </w:r>
    </w:p>
    <w:p w:rsidR="00D54B1B" w:rsidRPr="00D54B1B" w:rsidRDefault="00D54B1B" w:rsidP="00D54B1B">
      <w:pPr>
        <w:spacing w:after="0"/>
        <w:ind w:firstLine="0"/>
        <w:jc w:val="both"/>
        <w:rPr>
          <w:rFonts w:cs="Times New Roman"/>
          <w:szCs w:val="24"/>
          <w:lang w:val="pt-BR"/>
        </w:rPr>
      </w:pPr>
      <w:r>
        <w:rPr>
          <w:rFonts w:cs="Times New Roman"/>
          <w:szCs w:val="24"/>
          <w:lang w:val="pt-BR"/>
        </w:rPr>
        <w:t>Rua Maria Gomes de Souza, n.16 – Conj. Dinamérica – Campina Grande, PB - Brasil</w:t>
      </w:r>
    </w:p>
    <w:p w:rsidR="00D54B1B" w:rsidRPr="00D54B1B" w:rsidRDefault="00D54B1B" w:rsidP="00D54B1B">
      <w:pPr>
        <w:spacing w:after="0"/>
        <w:ind w:firstLine="0"/>
        <w:jc w:val="both"/>
        <w:rPr>
          <w:rFonts w:cs="Times New Roman"/>
          <w:szCs w:val="24"/>
          <w:lang w:val="pt-BR"/>
        </w:rPr>
      </w:pPr>
      <w:r>
        <w:rPr>
          <w:rFonts w:cs="Times New Roman"/>
          <w:szCs w:val="24"/>
          <w:lang w:val="pt-BR"/>
        </w:rPr>
        <w:t>daniel.leite.costa@gmail.com</w:t>
      </w:r>
    </w:p>
    <w:p w:rsidR="00D54B1B" w:rsidRPr="00D54B1B" w:rsidRDefault="00D54B1B" w:rsidP="00D54B1B">
      <w:pPr>
        <w:spacing w:after="0"/>
        <w:ind w:firstLine="0"/>
        <w:jc w:val="both"/>
        <w:rPr>
          <w:rFonts w:cs="Times New Roman"/>
          <w:b/>
          <w:bCs/>
          <w:szCs w:val="24"/>
          <w:lang w:val="pt-BR"/>
        </w:rPr>
      </w:pPr>
    </w:p>
    <w:p w:rsidR="00D54B1B" w:rsidRPr="00D54B1B" w:rsidRDefault="00D54B1B" w:rsidP="00D54B1B">
      <w:pPr>
        <w:spacing w:after="0"/>
        <w:ind w:firstLine="0"/>
        <w:jc w:val="both"/>
        <w:rPr>
          <w:rFonts w:cs="Times New Roman"/>
          <w:szCs w:val="24"/>
          <w:lang w:val="pt-BR"/>
        </w:rPr>
      </w:pPr>
      <w:r w:rsidRPr="00D54B1B">
        <w:rPr>
          <w:rFonts w:cs="Times New Roman"/>
          <w:b/>
          <w:bCs/>
          <w:szCs w:val="24"/>
          <w:lang w:val="pt-BR"/>
        </w:rPr>
        <w:t>Conflito de interesses</w:t>
      </w:r>
      <w:r>
        <w:rPr>
          <w:rFonts w:cs="Times New Roman"/>
          <w:szCs w:val="24"/>
          <w:lang w:val="pt-BR"/>
        </w:rPr>
        <w:t>: SEM CONFLITO.</w:t>
      </w:r>
    </w:p>
    <w:p w:rsidR="00D54B1B" w:rsidRPr="00D54B1B" w:rsidRDefault="00D54B1B" w:rsidP="00D54B1B">
      <w:pPr>
        <w:spacing w:after="0"/>
        <w:ind w:firstLine="0"/>
        <w:jc w:val="both"/>
        <w:rPr>
          <w:rFonts w:cs="Times New Roman"/>
          <w:szCs w:val="24"/>
          <w:lang w:val="pt-BR"/>
        </w:rPr>
      </w:pPr>
    </w:p>
    <w:p w:rsidR="00D54B1B" w:rsidRPr="00D54B1B" w:rsidRDefault="00D54B1B" w:rsidP="00D54B1B">
      <w:pPr>
        <w:spacing w:after="0"/>
        <w:ind w:firstLine="0"/>
        <w:jc w:val="both"/>
        <w:rPr>
          <w:rFonts w:cs="Times New Roman"/>
          <w:szCs w:val="24"/>
          <w:lang w:val="pt-BR"/>
        </w:rPr>
      </w:pPr>
      <w:r w:rsidRPr="00D54B1B">
        <w:rPr>
          <w:rFonts w:cs="Times New Roman"/>
          <w:b/>
          <w:bCs/>
          <w:szCs w:val="24"/>
          <w:lang w:val="pt-BR"/>
        </w:rPr>
        <w:t>Fonte de financiamento:</w:t>
      </w:r>
      <w:r>
        <w:rPr>
          <w:rFonts w:cs="Times New Roman"/>
          <w:szCs w:val="24"/>
          <w:lang w:val="pt-BR"/>
        </w:rPr>
        <w:t xml:space="preserve"> NÃO SE APLICA.</w:t>
      </w:r>
    </w:p>
    <w:p w:rsidR="00D54B1B" w:rsidRPr="00D54B1B" w:rsidRDefault="00D54B1B" w:rsidP="00D54B1B">
      <w:pPr>
        <w:spacing w:after="0"/>
        <w:ind w:firstLine="0"/>
        <w:jc w:val="both"/>
        <w:rPr>
          <w:rFonts w:cs="Times New Roman"/>
          <w:szCs w:val="24"/>
          <w:lang w:val="pt-BR"/>
        </w:rPr>
      </w:pPr>
      <w:r w:rsidRPr="00D54B1B">
        <w:rPr>
          <w:rFonts w:cs="Times New Roman"/>
          <w:b/>
          <w:bCs/>
          <w:szCs w:val="24"/>
          <w:lang w:val="pt-BR"/>
        </w:rPr>
        <w:t>Número do Certificado de Apresentação de Apreciação Ética (CAAE)</w:t>
      </w:r>
      <w:r>
        <w:rPr>
          <w:rFonts w:cs="Times New Roman"/>
          <w:szCs w:val="24"/>
          <w:lang w:val="pt-BR"/>
        </w:rPr>
        <w:t>: NÃO SE APLICA.</w:t>
      </w:r>
    </w:p>
    <w:p w:rsidR="00D54B1B" w:rsidRPr="00D54B1B" w:rsidRDefault="00D54B1B" w:rsidP="00D54B1B">
      <w:pPr>
        <w:spacing w:after="0"/>
        <w:ind w:firstLine="0"/>
        <w:jc w:val="both"/>
        <w:rPr>
          <w:rFonts w:cs="Times New Roman"/>
          <w:szCs w:val="24"/>
          <w:lang w:val="pt-BR"/>
        </w:rPr>
      </w:pPr>
    </w:p>
    <w:p w:rsidR="00D54B1B" w:rsidRPr="00D54B1B" w:rsidRDefault="00D54B1B" w:rsidP="00D54B1B">
      <w:pPr>
        <w:spacing w:after="0"/>
        <w:ind w:firstLine="0"/>
        <w:jc w:val="both"/>
        <w:rPr>
          <w:rFonts w:cs="Times New Roman"/>
          <w:b/>
          <w:bCs/>
          <w:szCs w:val="24"/>
          <w:lang w:val="pt-BR"/>
        </w:rPr>
      </w:pPr>
      <w:r w:rsidRPr="00D54B1B">
        <w:rPr>
          <w:rFonts w:cs="Times New Roman"/>
          <w:b/>
          <w:bCs/>
          <w:szCs w:val="24"/>
          <w:lang w:val="pt-BR"/>
        </w:rPr>
        <w:t>Contribuição dos autores:</w:t>
      </w:r>
    </w:p>
    <w:p w:rsidR="00D54B1B" w:rsidRDefault="00D54B1B" w:rsidP="00D54B1B">
      <w:pPr>
        <w:spacing w:after="0"/>
        <w:ind w:firstLine="0"/>
        <w:jc w:val="both"/>
        <w:rPr>
          <w:rFonts w:cs="Times New Roman"/>
          <w:szCs w:val="24"/>
          <w:lang w:val="pt-BR"/>
        </w:rPr>
      </w:pPr>
      <w:r>
        <w:rPr>
          <w:rFonts w:cs="Times New Roman"/>
          <w:szCs w:val="24"/>
          <w:lang w:val="pt-BR"/>
        </w:rPr>
        <w:t>COSTA, D. L. – Contribuiu</w:t>
      </w:r>
      <w:r w:rsidRPr="00D54B1B">
        <w:rPr>
          <w:rFonts w:cs="Times New Roman"/>
          <w:szCs w:val="24"/>
          <w:lang w:val="pt-BR"/>
        </w:rPr>
        <w:t xml:space="preserve"> com conceituação, investigação, metodologia e redação. </w:t>
      </w:r>
    </w:p>
    <w:p w:rsidR="00D54B1B" w:rsidRDefault="00D54B1B" w:rsidP="00D54B1B">
      <w:pPr>
        <w:spacing w:after="0"/>
        <w:ind w:firstLine="0"/>
        <w:jc w:val="both"/>
        <w:rPr>
          <w:rFonts w:cs="Times New Roman"/>
          <w:szCs w:val="24"/>
          <w:lang w:val="pt-BR"/>
        </w:rPr>
      </w:pPr>
    </w:p>
    <w:p w:rsidR="00D54B1B" w:rsidRDefault="00D54B1B" w:rsidP="00D54B1B">
      <w:pPr>
        <w:spacing w:after="0"/>
        <w:ind w:firstLine="0"/>
        <w:jc w:val="both"/>
        <w:rPr>
          <w:rFonts w:cs="Times New Roman"/>
          <w:szCs w:val="24"/>
          <w:lang w:val="pt-BR"/>
        </w:rPr>
      </w:pPr>
    </w:p>
    <w:p w:rsidR="00D54B1B" w:rsidRDefault="00D54B1B" w:rsidP="00D54B1B">
      <w:pPr>
        <w:spacing w:after="0"/>
        <w:ind w:firstLine="0"/>
        <w:jc w:val="both"/>
        <w:rPr>
          <w:rFonts w:cs="Times New Roman"/>
          <w:szCs w:val="24"/>
          <w:lang w:val="pt-BR"/>
        </w:rPr>
      </w:pPr>
    </w:p>
    <w:p w:rsidR="00D54B1B" w:rsidRDefault="00D54B1B" w:rsidP="00D54B1B">
      <w:pPr>
        <w:spacing w:after="0"/>
        <w:ind w:firstLine="0"/>
        <w:jc w:val="both"/>
        <w:rPr>
          <w:rFonts w:cs="Times New Roman"/>
          <w:szCs w:val="24"/>
          <w:lang w:val="pt-BR"/>
        </w:rPr>
      </w:pPr>
    </w:p>
    <w:p w:rsidR="00D54B1B" w:rsidRDefault="00D54B1B" w:rsidP="00A2023E">
      <w:pPr>
        <w:pStyle w:val="TituloArtigo"/>
        <w:rPr>
          <w:lang w:val="pt-BR"/>
        </w:rPr>
      </w:pPr>
    </w:p>
    <w:p w:rsidR="00820010" w:rsidRPr="00DC5268" w:rsidRDefault="00D56E15" w:rsidP="00A2023E">
      <w:pPr>
        <w:pStyle w:val="TituloArtigo"/>
        <w:rPr>
          <w:lang w:val="pt-BR"/>
        </w:rPr>
      </w:pPr>
      <w:r>
        <w:rPr>
          <w:lang w:val="pt-BR"/>
        </w:rPr>
        <w:lastRenderedPageBreak/>
        <w:t>ACESSIBILIDADE EM JOGOS DIGITAIS:</w:t>
      </w:r>
    </w:p>
    <w:p w:rsidR="00820010" w:rsidRPr="00DC5268" w:rsidRDefault="00D56E15" w:rsidP="00A2023E">
      <w:pPr>
        <w:pStyle w:val="SubtituloArtigo"/>
        <w:rPr>
          <w:lang w:val="pt-BR"/>
        </w:rPr>
      </w:pPr>
      <w:r>
        <w:rPr>
          <w:lang w:val="pt-BR"/>
        </w:rPr>
        <w:t xml:space="preserve">Avaliação Heurística baseada na Game </w:t>
      </w:r>
      <w:proofErr w:type="spellStart"/>
      <w:r>
        <w:rPr>
          <w:lang w:val="pt-BR"/>
        </w:rPr>
        <w:t>Accessibility</w:t>
      </w:r>
      <w:proofErr w:type="spellEnd"/>
      <w:r>
        <w:rPr>
          <w:lang w:val="pt-BR"/>
        </w:rPr>
        <w:t xml:space="preserve"> </w:t>
      </w:r>
      <w:proofErr w:type="spellStart"/>
      <w:r>
        <w:rPr>
          <w:lang w:val="pt-BR"/>
        </w:rPr>
        <w:t>Guidelines</w:t>
      </w:r>
      <w:proofErr w:type="spellEnd"/>
      <w:r>
        <w:rPr>
          <w:lang w:val="pt-BR"/>
        </w:rPr>
        <w:t xml:space="preserve"> e os Desafios da Acessibilidade na Indústria dos Jogos Digitais</w:t>
      </w:r>
    </w:p>
    <w:p w:rsidR="00820010" w:rsidRPr="00DC5268" w:rsidRDefault="00CC3FD6" w:rsidP="00A2023E">
      <w:pPr>
        <w:pStyle w:val="Autores"/>
        <w:rPr>
          <w:lang w:val="pt-BR"/>
        </w:rPr>
      </w:pPr>
      <w:r>
        <w:rPr>
          <w:lang w:val="pt-BR"/>
        </w:rPr>
        <w:t>Daniel Leite Costa</w:t>
      </w:r>
      <w:r w:rsidR="00A2023E">
        <w:rPr>
          <w:rStyle w:val="Refdenotaderodap"/>
          <w:lang w:val="pt-BR"/>
        </w:rPr>
        <w:footnoteReference w:id="1"/>
      </w:r>
    </w:p>
    <w:p w:rsidR="00A2023E" w:rsidRPr="00DC5268" w:rsidRDefault="00A2023E" w:rsidP="00A2023E">
      <w:pPr>
        <w:pStyle w:val="Autores"/>
        <w:rPr>
          <w:lang w:val="pt-BR"/>
        </w:rPr>
      </w:pPr>
    </w:p>
    <w:p w:rsidR="00820010" w:rsidRPr="00A2023E" w:rsidRDefault="00491231" w:rsidP="00A2023E">
      <w:pPr>
        <w:pStyle w:val="Topico"/>
        <w:spacing w:line="240" w:lineRule="auto"/>
        <w:rPr>
          <w:b/>
          <w:lang w:val="pt-BR"/>
        </w:rPr>
      </w:pPr>
      <w:r w:rsidRPr="00A2023E">
        <w:rPr>
          <w:b/>
          <w:lang w:val="pt-BR"/>
        </w:rPr>
        <w:t>RESUMO</w:t>
      </w:r>
    </w:p>
    <w:p w:rsidR="00D56E15" w:rsidRDefault="00D56E15" w:rsidP="00D56E15">
      <w:pPr>
        <w:pStyle w:val="PrePosTextual"/>
        <w:jc w:val="both"/>
        <w:rPr>
          <w:lang w:val="pt-BR"/>
        </w:rPr>
      </w:pPr>
      <w:r w:rsidRPr="00D56E15">
        <w:rPr>
          <w:lang w:val="pt-BR"/>
        </w:rPr>
        <w:t xml:space="preserve">Este artigo analisa a acessibilidade em jogos digitais utilizando a lista de heurísticas do Game </w:t>
      </w:r>
      <w:proofErr w:type="spellStart"/>
      <w:r w:rsidRPr="00D56E15">
        <w:rPr>
          <w:lang w:val="pt-BR"/>
        </w:rPr>
        <w:t>Accessibility</w:t>
      </w:r>
      <w:proofErr w:type="spellEnd"/>
      <w:r w:rsidRPr="00D56E15">
        <w:rPr>
          <w:lang w:val="pt-BR"/>
        </w:rPr>
        <w:t xml:space="preserve"> </w:t>
      </w:r>
      <w:proofErr w:type="spellStart"/>
      <w:r w:rsidRPr="00D56E15">
        <w:rPr>
          <w:lang w:val="pt-BR"/>
        </w:rPr>
        <w:t>Guidelines</w:t>
      </w:r>
      <w:proofErr w:type="spellEnd"/>
      <w:r w:rsidRPr="00D56E15">
        <w:rPr>
          <w:lang w:val="pt-BR"/>
        </w:rPr>
        <w:t xml:space="preserve"> (GAG) para avaliar dez títulos comerciais recentes para consoles. O objetivo é identificar o nível de atendimento às diretrizes de acessibilidade, mapear lacunas e discutir desafios relacionados à implementação na indústria. Aplicou-se uma avaliação heurística por inspeção, considerando heurísticas divididas em categorias conforme tipos de deficiência e níveis de complexidade. Os resultados indicam uma adesão média de 20% às heurísticas, com maior ênfase em aspectos básicos e reduzida adoção de recursos avançados, evidenciando um baixo índice geral de acessibilidade. Destaca-se a ausência de suporte a tecnologias </w:t>
      </w:r>
      <w:proofErr w:type="spellStart"/>
      <w:r w:rsidRPr="00D56E15">
        <w:rPr>
          <w:lang w:val="pt-BR"/>
        </w:rPr>
        <w:t>assistivas</w:t>
      </w:r>
      <w:proofErr w:type="spellEnd"/>
      <w:r w:rsidRPr="00D56E15">
        <w:rPr>
          <w:lang w:val="pt-BR"/>
        </w:rPr>
        <w:t xml:space="preserve"> como leitores de tela e áudio-descrição, além da carência de controles simplificados e de recursos voltados à comunidade surda. Jogos independentes, como Celeste, demonstraram desempenho superior em acessibilidade em relação a alguns títulos de grande orçamento, sugerindo potencial para práticas inclusivas mesmo com restrições de investimento. A discussão ressalta a necessidade de ampliar a formação acadêmica na área e incorporar a acessibilidade como requisito essencial no design de jogos, superando barreiras técnicas e econômicas. Conclui-se que, apesar dos avanços pontuais e de iniciativas exemplares, a acessibilidade em jogos digitais permanece incipiente na indústria, demandando esforços coletivos para garantir uma experiência inclusiva e universal, refletindo o potencial dos jogos enquanto artefatos cult</w:t>
      </w:r>
      <w:r>
        <w:rPr>
          <w:lang w:val="pt-BR"/>
        </w:rPr>
        <w:t>urais e sociais transformadores.</w:t>
      </w:r>
    </w:p>
    <w:p w:rsidR="00D56E15" w:rsidRDefault="00491231" w:rsidP="00A2023E">
      <w:pPr>
        <w:pStyle w:val="PrePosTextual"/>
        <w:rPr>
          <w:lang w:val="pt-BR"/>
        </w:rPr>
      </w:pPr>
      <w:r w:rsidRPr="00DC5268">
        <w:rPr>
          <w:b/>
          <w:lang w:val="pt-BR"/>
        </w:rPr>
        <w:t xml:space="preserve">Palavras-chave: </w:t>
      </w:r>
      <w:r w:rsidR="00D56E15">
        <w:rPr>
          <w:lang w:val="pt-BR"/>
        </w:rPr>
        <w:t>Acessibilidade</w:t>
      </w:r>
      <w:r w:rsidRPr="00DC5268">
        <w:rPr>
          <w:lang w:val="pt-BR"/>
        </w:rPr>
        <w:t xml:space="preserve">; </w:t>
      </w:r>
      <w:r w:rsidR="00D56E15">
        <w:rPr>
          <w:lang w:val="pt-BR"/>
        </w:rPr>
        <w:t>Jogos Digitais</w:t>
      </w:r>
      <w:r w:rsidRPr="00DC5268">
        <w:rPr>
          <w:lang w:val="pt-BR"/>
        </w:rPr>
        <w:t xml:space="preserve">; </w:t>
      </w:r>
      <w:r w:rsidR="00D56E15">
        <w:rPr>
          <w:lang w:val="pt-BR"/>
        </w:rPr>
        <w:t>Usabilidade</w:t>
      </w:r>
      <w:r w:rsidRPr="00DC5268">
        <w:rPr>
          <w:lang w:val="pt-BR"/>
        </w:rPr>
        <w:t>.</w:t>
      </w:r>
    </w:p>
    <w:p w:rsidR="00DC5268" w:rsidRPr="00DC5268" w:rsidRDefault="00D56E15" w:rsidP="00A2023E">
      <w:pPr>
        <w:pStyle w:val="PrePosTextual"/>
        <w:rPr>
          <w:lang w:val="pt-BR"/>
        </w:rPr>
      </w:pPr>
      <w:r w:rsidRPr="00DC5268">
        <w:rPr>
          <w:lang w:val="pt-BR"/>
        </w:rPr>
        <w:t xml:space="preserve"> </w:t>
      </w:r>
    </w:p>
    <w:p w:rsidR="00820010" w:rsidRPr="00A2023E" w:rsidRDefault="00491231" w:rsidP="00A2023E">
      <w:pPr>
        <w:pStyle w:val="Topico"/>
        <w:spacing w:line="240" w:lineRule="auto"/>
        <w:rPr>
          <w:b/>
        </w:rPr>
      </w:pPr>
      <w:r w:rsidRPr="00A2023E">
        <w:rPr>
          <w:b/>
        </w:rPr>
        <w:t>ABSTRACT (ou RESUMEN)</w:t>
      </w:r>
    </w:p>
    <w:p w:rsidR="00820010" w:rsidRDefault="00D56E15" w:rsidP="00D56E15">
      <w:pPr>
        <w:pStyle w:val="PrePosTextual"/>
        <w:jc w:val="both"/>
      </w:pPr>
      <w:r w:rsidRPr="00D56E15">
        <w:t>This article evaluates accessibility in digital games by analyzing ten recent commercial console titles using the Game Accessibility Guidelines (GAG) heuristic checklist. The study assesses compliance with accessibility standards, identifies gaps, and explores challenges in industry adoption. Results show an average adherence of 20%, with basic heuristics more commonly implemented than advanced features, indicating generally low accessibility. Key issues include lack of support for assistive technologies like screen readers and audio descriptions, and absence of simplified controls for the deaf community. Independent games such as Celeste outperformed some high-budget titles, demonstrating that inclusive design is achievable with limited resources. The discussion highlights the need for expanded academic training and integration of accessibility as a fundamental requirement in game design to overcome technical and financial barriers. The article concludes that, despite some progress, accessibility in digital games remains underdeveloped, requiring collaborative efforts to create inclusive experiences that reflect the cultural and social potential of games.</w:t>
      </w:r>
    </w:p>
    <w:p w:rsidR="00820010" w:rsidRPr="00D56E15" w:rsidRDefault="00491231" w:rsidP="00A2023E">
      <w:pPr>
        <w:pStyle w:val="PrePosTextual"/>
      </w:pPr>
      <w:r w:rsidRPr="00D56E15">
        <w:rPr>
          <w:b/>
        </w:rPr>
        <w:t xml:space="preserve">Keywords: </w:t>
      </w:r>
      <w:r w:rsidR="00D56E15" w:rsidRPr="00D56E15">
        <w:t>Accessibility</w:t>
      </w:r>
      <w:r w:rsidRPr="00D56E15">
        <w:t>;</w:t>
      </w:r>
      <w:r w:rsidR="00D56E15">
        <w:t xml:space="preserve"> </w:t>
      </w:r>
      <w:r w:rsidR="00D56E15" w:rsidRPr="00D56E15">
        <w:t>Digital Games</w:t>
      </w:r>
      <w:r w:rsidRPr="00D56E15">
        <w:t xml:space="preserve">; </w:t>
      </w:r>
      <w:r w:rsidR="00D56E15">
        <w:t>Usability</w:t>
      </w:r>
      <w:r w:rsidRPr="00D56E15">
        <w:t>.</w:t>
      </w:r>
    </w:p>
    <w:p w:rsidR="00820010" w:rsidRPr="00A2023E" w:rsidRDefault="00491231">
      <w:pPr>
        <w:pStyle w:val="Topico"/>
        <w:rPr>
          <w:b/>
          <w:lang w:val="pt-BR"/>
        </w:rPr>
      </w:pPr>
      <w:r w:rsidRPr="00A2023E">
        <w:rPr>
          <w:b/>
          <w:lang w:val="pt-BR"/>
        </w:rPr>
        <w:lastRenderedPageBreak/>
        <w:t>INTRODUÇÃO</w:t>
      </w:r>
    </w:p>
    <w:p w:rsidR="00EB67C9" w:rsidRDefault="00EB67C9" w:rsidP="00A428D6">
      <w:pPr>
        <w:jc w:val="both"/>
        <w:rPr>
          <w:lang w:val="pt-BR"/>
        </w:rPr>
      </w:pPr>
      <w:r w:rsidRPr="00EB67C9">
        <w:rPr>
          <w:lang w:val="pt-BR"/>
        </w:rPr>
        <w:t xml:space="preserve">Considerando a democratização do acesso aos jogos digitais como mídia e produto cultural, a discussão sobre acessibilidade torna-se essencial. López, Corno e De </w:t>
      </w:r>
      <w:proofErr w:type="spellStart"/>
      <w:r w:rsidRPr="00EB67C9">
        <w:rPr>
          <w:lang w:val="pt-BR"/>
        </w:rPr>
        <w:t>Russis</w:t>
      </w:r>
      <w:proofErr w:type="spellEnd"/>
      <w:r w:rsidRPr="00EB67C9">
        <w:rPr>
          <w:lang w:val="pt-BR"/>
        </w:rPr>
        <w:t xml:space="preserve"> (2017) reconhecem os jogos como instrumentos eficazes para o desenvolvimento cognitivo e social, mas também apontam sua</w:t>
      </w:r>
      <w:r>
        <w:rPr>
          <w:lang w:val="pt-BR"/>
        </w:rPr>
        <w:t xml:space="preserve">s limitações de acessibilidade; enquanto </w:t>
      </w:r>
      <w:proofErr w:type="spellStart"/>
      <w:r w:rsidRPr="00EB67C9">
        <w:rPr>
          <w:lang w:val="pt-BR"/>
        </w:rPr>
        <w:t>Saunders</w:t>
      </w:r>
      <w:proofErr w:type="spellEnd"/>
      <w:r w:rsidRPr="00EB67C9">
        <w:rPr>
          <w:lang w:val="pt-BR"/>
        </w:rPr>
        <w:t xml:space="preserve"> e Novak (2013) destacam que a acessibilidade amplia a audiência, permitindo o acesso de públicos frequentemente excluídos. Além do aspecto mercadológico, a inclusão de pessoas com deficiência representa uma responsabilidade social e ética que deve ser promovida no design, desenvolvimento e pesquisa acadêmica dos jogos digitais.</w:t>
      </w:r>
    </w:p>
    <w:p w:rsidR="00217A9C" w:rsidRDefault="00EB67C9" w:rsidP="00911B4D">
      <w:pPr>
        <w:jc w:val="both"/>
        <w:rPr>
          <w:lang w:val="pt-BR"/>
        </w:rPr>
      </w:pPr>
      <w:r w:rsidRPr="00EB67C9">
        <w:rPr>
          <w:lang w:val="pt-BR"/>
        </w:rPr>
        <w:t>No Brasil, a Lei nº 13.146 (2015), que institui o Estatuto da Pessoa com Deficiência, assegura direitos como acesso à cultura, lazer, comunicação e informação, estabelecendo medidas para promover autonomia e qualidade de vida. A legislação aplica-se tanto ao setor público quanto ao privado. Assim, considerando o jogo digital como artefato cultural e educacional, existe uma prerrogativa legal que garante a acessibilidade nesses produtos, especialmente relevante dado que cerca de 24% da população brasileira possui algum tipo de deficiência (MINISTÉRIO DA SAÚD</w:t>
      </w:r>
      <w:r>
        <w:rPr>
          <w:lang w:val="pt-BR"/>
        </w:rPr>
        <w:t xml:space="preserve">E, 2020). </w:t>
      </w:r>
      <w:r w:rsidR="00217A9C" w:rsidRPr="00217A9C">
        <w:rPr>
          <w:lang w:val="pt-BR"/>
        </w:rPr>
        <w:t>O Guia 71 da ISO (2015) define acessibilidade como o grau em que produtos, sistemas, serviços e ambientes podem ser utilizados por pessoas com ampla diversidade de características para alcançar um objetivo específico. Integrando o conceito de usabilidade, acessibilidade envolve a facilidade de uso e o sucesso no uso do produto. No caso dos jogos digitais, o sucesso no uso é reduzido para usuários com necessidades especiais, pois a interação normalmente requer visão, audição, fala e o uso de dispositivos como joystick ou tela sensível ao toque, o que pode limitar o acesso para pessoas com deficiências.</w:t>
      </w:r>
    </w:p>
    <w:p w:rsidR="00382CF5" w:rsidRDefault="00382CF5" w:rsidP="00EB67C9">
      <w:pPr>
        <w:jc w:val="both"/>
        <w:rPr>
          <w:lang w:val="pt-BR"/>
        </w:rPr>
      </w:pPr>
      <w:r w:rsidRPr="00382CF5">
        <w:rPr>
          <w:lang w:val="pt-BR"/>
        </w:rPr>
        <w:t xml:space="preserve">O objetivo </w:t>
      </w:r>
      <w:r>
        <w:rPr>
          <w:lang w:val="pt-BR"/>
        </w:rPr>
        <w:t>deste artigo</w:t>
      </w:r>
      <w:r w:rsidRPr="00382CF5">
        <w:rPr>
          <w:lang w:val="pt-BR"/>
        </w:rPr>
        <w:t xml:space="preserve"> é analisar a acessibilidade em jogos digitais por meio da aplicação da lista de heurísticas do Game </w:t>
      </w:r>
      <w:proofErr w:type="spellStart"/>
      <w:r w:rsidRPr="00382CF5">
        <w:rPr>
          <w:lang w:val="pt-BR"/>
        </w:rPr>
        <w:t>Accessibility</w:t>
      </w:r>
      <w:proofErr w:type="spellEnd"/>
      <w:r w:rsidRPr="00382CF5">
        <w:rPr>
          <w:lang w:val="pt-BR"/>
        </w:rPr>
        <w:t xml:space="preserve"> </w:t>
      </w:r>
      <w:proofErr w:type="spellStart"/>
      <w:r w:rsidRPr="00382CF5">
        <w:rPr>
          <w:lang w:val="pt-BR"/>
        </w:rPr>
        <w:t>Guidelines</w:t>
      </w:r>
      <w:proofErr w:type="spellEnd"/>
      <w:r w:rsidRPr="00382CF5">
        <w:rPr>
          <w:lang w:val="pt-BR"/>
        </w:rPr>
        <w:t xml:space="preserve"> (GAG) em dez títulos comerciais para consoles</w:t>
      </w:r>
      <w:r w:rsidR="00710768">
        <w:rPr>
          <w:lang w:val="pt-BR"/>
        </w:rPr>
        <w:t xml:space="preserve"> diversos</w:t>
      </w:r>
      <w:r w:rsidR="0021012A">
        <w:rPr>
          <w:lang w:val="pt-BR"/>
        </w:rPr>
        <w:t>, lançados em uma janela de tempo específica</w:t>
      </w:r>
      <w:r w:rsidRPr="00382CF5">
        <w:rPr>
          <w:lang w:val="pt-BR"/>
        </w:rPr>
        <w:t>. Busca-se identificar o grau de conformidade com as diretrizes de acessibilidade</w:t>
      </w:r>
      <w:r w:rsidR="0021012A">
        <w:rPr>
          <w:lang w:val="pt-BR"/>
        </w:rPr>
        <w:t xml:space="preserve"> GAG</w:t>
      </w:r>
      <w:r w:rsidRPr="00382CF5">
        <w:rPr>
          <w:lang w:val="pt-BR"/>
        </w:rPr>
        <w:t>, mapear lacunas existentes e discutir os principais desafios enfrentados na implementação dessas diretrizes na indústria. Para tanto, foi realizada uma avaliação heurística por inspeção, considerando as heurísticas organizadas em categorias segundo os tipos de deficiência e níveis de complexidade.</w:t>
      </w:r>
    </w:p>
    <w:p w:rsidR="00EB67C9" w:rsidRPr="00DC5268" w:rsidRDefault="00EB67C9" w:rsidP="00EB67C9">
      <w:pPr>
        <w:jc w:val="both"/>
        <w:rPr>
          <w:lang w:val="pt-BR"/>
        </w:rPr>
      </w:pPr>
    </w:p>
    <w:p w:rsidR="00911B4D" w:rsidRPr="00A2023E" w:rsidRDefault="00911B4D">
      <w:pPr>
        <w:pStyle w:val="Topico"/>
        <w:rPr>
          <w:b/>
          <w:lang w:val="pt-BR"/>
        </w:rPr>
      </w:pPr>
      <w:r>
        <w:rPr>
          <w:b/>
          <w:lang w:val="pt-BR"/>
        </w:rPr>
        <w:lastRenderedPageBreak/>
        <w:t>MATERIAL</w:t>
      </w:r>
      <w:r w:rsidR="00062843">
        <w:rPr>
          <w:b/>
          <w:lang w:val="pt-BR"/>
        </w:rPr>
        <w:t xml:space="preserve"> E</w:t>
      </w:r>
      <w:r>
        <w:rPr>
          <w:b/>
          <w:lang w:val="pt-BR"/>
        </w:rPr>
        <w:t xml:space="preserve"> </w:t>
      </w:r>
      <w:r w:rsidR="00491231" w:rsidRPr="00A2023E">
        <w:rPr>
          <w:b/>
          <w:lang w:val="pt-BR"/>
        </w:rPr>
        <w:t>MÉTODOS</w:t>
      </w:r>
    </w:p>
    <w:p w:rsidR="005A7774" w:rsidRDefault="00911B4D" w:rsidP="005A7774">
      <w:pPr>
        <w:jc w:val="both"/>
        <w:rPr>
          <w:lang w:val="pt-BR"/>
        </w:rPr>
      </w:pPr>
      <w:r w:rsidRPr="00911B4D">
        <w:rPr>
          <w:lang w:val="pt-BR"/>
        </w:rPr>
        <w:t xml:space="preserve">Embora o ensino da acessibilidade em jogos digitais </w:t>
      </w:r>
      <w:r w:rsidR="00272269">
        <w:rPr>
          <w:lang w:val="pt-BR"/>
        </w:rPr>
        <w:t>seja</w:t>
      </w:r>
      <w:r w:rsidRPr="00911B4D">
        <w:rPr>
          <w:lang w:val="pt-BR"/>
        </w:rPr>
        <w:t xml:space="preserve"> relativamente negligenciado</w:t>
      </w:r>
      <w:r w:rsidR="00272269">
        <w:rPr>
          <w:lang w:val="pt-BR"/>
        </w:rPr>
        <w:t xml:space="preserve"> nos cursos de jogos digitais</w:t>
      </w:r>
      <w:r w:rsidRPr="00911B4D">
        <w:rPr>
          <w:lang w:val="pt-BR"/>
        </w:rPr>
        <w:t xml:space="preserve">, o tema já vem sendo amplamente explorado em diversas pesquisas acadêmicas. Uma das investigações pioneiras que abordou a acessibilidade nos jogos digitais de forma abrangente e direta foi realizada por </w:t>
      </w:r>
      <w:proofErr w:type="spellStart"/>
      <w:r w:rsidRPr="00911B4D">
        <w:rPr>
          <w:lang w:val="pt-BR"/>
        </w:rPr>
        <w:t>Bierre</w:t>
      </w:r>
      <w:proofErr w:type="spellEnd"/>
      <w:r w:rsidRPr="00911B4D">
        <w:rPr>
          <w:lang w:val="pt-BR"/>
        </w:rPr>
        <w:t xml:space="preserve"> et al. (2005). Neste estudo, são identificados diversos problemas relacionados à ac</w:t>
      </w:r>
      <w:r w:rsidR="00171816">
        <w:rPr>
          <w:lang w:val="pt-BR"/>
        </w:rPr>
        <w:t xml:space="preserve">essibilidade em jogos digitais. Em contrapartida, </w:t>
      </w:r>
      <w:r w:rsidR="005A7774" w:rsidRPr="005A7774">
        <w:rPr>
          <w:lang w:val="pt-BR"/>
        </w:rPr>
        <w:t xml:space="preserve">Hassan e </w:t>
      </w:r>
      <w:proofErr w:type="spellStart"/>
      <w:r w:rsidR="005A7774" w:rsidRPr="005A7774">
        <w:rPr>
          <w:lang w:val="pt-BR"/>
        </w:rPr>
        <w:t>Baltzar</w:t>
      </w:r>
      <w:proofErr w:type="spellEnd"/>
      <w:r w:rsidR="005A7774" w:rsidRPr="005A7774">
        <w:rPr>
          <w:lang w:val="pt-BR"/>
        </w:rPr>
        <w:t xml:space="preserve"> (2022) identificam uma escassez de estudos que abordem os aspectos sociais da acessibilidade, classificando a</w:t>
      </w:r>
      <w:r w:rsidR="00171816">
        <w:rPr>
          <w:lang w:val="pt-BR"/>
        </w:rPr>
        <w:t>s</w:t>
      </w:r>
      <w:r w:rsidR="005A7774" w:rsidRPr="005A7774">
        <w:rPr>
          <w:lang w:val="pt-BR"/>
        </w:rPr>
        <w:t xml:space="preserve"> pesquisa</w:t>
      </w:r>
      <w:r w:rsidR="00171816">
        <w:rPr>
          <w:lang w:val="pt-BR"/>
        </w:rPr>
        <w:t>s</w:t>
      </w:r>
      <w:r w:rsidR="005A7774" w:rsidRPr="005A7774">
        <w:rPr>
          <w:lang w:val="pt-BR"/>
        </w:rPr>
        <w:t xml:space="preserve"> existente</w:t>
      </w:r>
      <w:r w:rsidR="00171816">
        <w:rPr>
          <w:lang w:val="pt-BR"/>
        </w:rPr>
        <w:t>s</w:t>
      </w:r>
      <w:r w:rsidR="005A7774" w:rsidRPr="005A7774">
        <w:rPr>
          <w:lang w:val="pt-BR"/>
        </w:rPr>
        <w:t xml:space="preserve"> por tipo de deficiência, foco do estudo e tipo de jogo.</w:t>
      </w:r>
    </w:p>
    <w:p w:rsidR="00272269" w:rsidRDefault="00272269" w:rsidP="00C250D9">
      <w:pPr>
        <w:ind w:firstLine="720"/>
        <w:jc w:val="both"/>
        <w:rPr>
          <w:lang w:val="pt-BR"/>
        </w:rPr>
      </w:pPr>
      <w:r w:rsidRPr="000A049F">
        <w:rPr>
          <w:lang w:val="pt-BR"/>
        </w:rPr>
        <w:t xml:space="preserve">A </w:t>
      </w:r>
      <w:r>
        <w:rPr>
          <w:lang w:val="pt-BR"/>
        </w:rPr>
        <w:t>pesquisa de Costa</w:t>
      </w:r>
      <w:r w:rsidRPr="000A049F">
        <w:rPr>
          <w:lang w:val="pt-BR"/>
        </w:rPr>
        <w:t xml:space="preserve"> (2023) apresenta a metodologia UXIG (User Experience </w:t>
      </w:r>
      <w:proofErr w:type="spellStart"/>
      <w:r w:rsidRPr="000A049F">
        <w:rPr>
          <w:lang w:val="pt-BR"/>
        </w:rPr>
        <w:t>and</w:t>
      </w:r>
      <w:proofErr w:type="spellEnd"/>
      <w:r w:rsidRPr="000A049F">
        <w:rPr>
          <w:lang w:val="pt-BR"/>
        </w:rPr>
        <w:t xml:space="preserve"> Interface Design </w:t>
      </w:r>
      <w:proofErr w:type="gramStart"/>
      <w:r w:rsidR="00171816" w:rsidRPr="000A049F">
        <w:rPr>
          <w:lang w:val="pt-BR"/>
        </w:rPr>
        <w:t>for</w:t>
      </w:r>
      <w:r w:rsidR="00171816">
        <w:rPr>
          <w:lang w:val="pt-BR"/>
        </w:rPr>
        <w:t xml:space="preserve"> </w:t>
      </w:r>
      <w:r w:rsidR="00171816" w:rsidRPr="000A049F">
        <w:rPr>
          <w:lang w:val="pt-BR"/>
        </w:rPr>
        <w:t>Games</w:t>
      </w:r>
      <w:proofErr w:type="gramEnd"/>
      <w:r w:rsidR="00171816">
        <w:rPr>
          <w:lang w:val="pt-BR"/>
        </w:rPr>
        <w:t xml:space="preserve">) </w:t>
      </w:r>
      <w:r w:rsidRPr="000A049F">
        <w:rPr>
          <w:lang w:val="pt-BR"/>
        </w:rPr>
        <w:t>como ferramenta para orientar o design de interfaces de jogos digitais com requisitos de acessibilidade. O trabalho evidencia que a indústria de jogos ainda carece de práticas sistemáticas voltadas à inclusão e, nesse sentido, a UXIG propõe um processo estruturado para identificar barreiras, conceber soluções e v</w:t>
      </w:r>
      <w:r w:rsidR="00C250D9">
        <w:rPr>
          <w:lang w:val="pt-BR"/>
        </w:rPr>
        <w:t xml:space="preserve">alidar experiências acessíveis. </w:t>
      </w:r>
      <w:proofErr w:type="spellStart"/>
      <w:r w:rsidR="005A7774" w:rsidRPr="005A7774">
        <w:rPr>
          <w:lang w:val="pt-BR"/>
        </w:rPr>
        <w:t>Mangiron</w:t>
      </w:r>
      <w:proofErr w:type="spellEnd"/>
      <w:r w:rsidR="005A7774" w:rsidRPr="005A7774">
        <w:rPr>
          <w:lang w:val="pt-BR"/>
        </w:rPr>
        <w:t xml:space="preserve"> (2021) diferencia a acessibilidade em jogos digitais de outras mídias devido à sua interatividade, sugerindo uma abordagem de design combinando usabilidade e adaptabilidade para atender às diver</w:t>
      </w:r>
      <w:r w:rsidR="00171816">
        <w:rPr>
          <w:lang w:val="pt-BR"/>
        </w:rPr>
        <w:t xml:space="preserve">sas necessidades dos jogadores. </w:t>
      </w:r>
      <w:r w:rsidR="005A7774" w:rsidRPr="005A7774">
        <w:rPr>
          <w:lang w:val="pt-BR"/>
        </w:rPr>
        <w:t xml:space="preserve">Cairns et al. (2019a; 2019b) propõem um vocabulário específico para esclarecer aspectos de acessibilidade em interfaces e desafios dos jogos, defendendo a inclusão dos jogadores com deficiência no conjunto geral de usuários para evitar segregação e promover o bem-estar social. Levy e </w:t>
      </w:r>
      <w:proofErr w:type="spellStart"/>
      <w:r w:rsidR="005A7774" w:rsidRPr="005A7774">
        <w:rPr>
          <w:lang w:val="pt-BR"/>
        </w:rPr>
        <w:t>Gandy</w:t>
      </w:r>
      <w:proofErr w:type="spellEnd"/>
      <w:r w:rsidR="005A7774" w:rsidRPr="005A7774">
        <w:rPr>
          <w:lang w:val="pt-BR"/>
        </w:rPr>
        <w:t xml:space="preserve"> (2019) e Leite, </w:t>
      </w:r>
      <w:proofErr w:type="spellStart"/>
      <w:r w:rsidR="005A7774" w:rsidRPr="005A7774">
        <w:rPr>
          <w:lang w:val="pt-BR"/>
        </w:rPr>
        <w:t>Retore</w:t>
      </w:r>
      <w:proofErr w:type="spellEnd"/>
      <w:r w:rsidR="005A7774" w:rsidRPr="005A7774">
        <w:rPr>
          <w:lang w:val="pt-BR"/>
        </w:rPr>
        <w:t xml:space="preserve"> e Almeida (2019) destacam a importância de integrar a acessibilidade no ensino e no processo de design de jogos digitais, enquanto </w:t>
      </w:r>
      <w:proofErr w:type="spellStart"/>
      <w:r w:rsidR="005A7774" w:rsidRPr="005A7774">
        <w:rPr>
          <w:lang w:val="pt-BR"/>
        </w:rPr>
        <w:t>Holloway</w:t>
      </w:r>
      <w:proofErr w:type="spellEnd"/>
      <w:r w:rsidR="005A7774" w:rsidRPr="005A7774">
        <w:rPr>
          <w:lang w:val="pt-BR"/>
        </w:rPr>
        <w:t xml:space="preserve"> et al. (2019) enfatizam a representatividade e a cooperação entre pesquisadores e desenvolvedores.</w:t>
      </w:r>
      <w:r w:rsidR="0055118D">
        <w:rPr>
          <w:lang w:val="pt-BR"/>
        </w:rPr>
        <w:t xml:space="preserve"> </w:t>
      </w:r>
      <w:r w:rsidR="005A7774" w:rsidRPr="005A7774">
        <w:rPr>
          <w:lang w:val="pt-BR"/>
        </w:rPr>
        <w:t xml:space="preserve">Aguado-Delgado et al. (2020) revisam avanços em hardware e software para acessibilidade, apontando a necessidade de uma metodologia integral para o design acessível em todas as etapas de desenvolvimento. </w:t>
      </w:r>
    </w:p>
    <w:p w:rsidR="005A7774" w:rsidRPr="005A7774" w:rsidRDefault="005A7774" w:rsidP="005A7774">
      <w:pPr>
        <w:jc w:val="both"/>
        <w:rPr>
          <w:lang w:val="pt-BR"/>
        </w:rPr>
      </w:pPr>
      <w:r w:rsidRPr="005A7774">
        <w:rPr>
          <w:lang w:val="pt-BR"/>
        </w:rPr>
        <w:t xml:space="preserve">Na indústria, </w:t>
      </w:r>
      <w:r w:rsidR="00217A9C">
        <w:rPr>
          <w:lang w:val="pt-BR"/>
        </w:rPr>
        <w:t>o</w:t>
      </w:r>
      <w:r w:rsidR="00217A9C" w:rsidRPr="00217A9C">
        <w:rPr>
          <w:lang w:val="pt-BR"/>
        </w:rPr>
        <w:t xml:space="preserve"> Game </w:t>
      </w:r>
      <w:proofErr w:type="spellStart"/>
      <w:r w:rsidR="00217A9C" w:rsidRPr="00217A9C">
        <w:rPr>
          <w:lang w:val="pt-BR"/>
        </w:rPr>
        <w:t>Accessibility</w:t>
      </w:r>
      <w:proofErr w:type="spellEnd"/>
      <w:r w:rsidR="00217A9C" w:rsidRPr="00217A9C">
        <w:rPr>
          <w:lang w:val="pt-BR"/>
        </w:rPr>
        <w:t xml:space="preserve"> </w:t>
      </w:r>
      <w:proofErr w:type="spellStart"/>
      <w:r w:rsidR="00217A9C" w:rsidRPr="00217A9C">
        <w:rPr>
          <w:lang w:val="pt-BR"/>
        </w:rPr>
        <w:t>Special</w:t>
      </w:r>
      <w:proofErr w:type="spellEnd"/>
      <w:r w:rsidR="00217A9C" w:rsidRPr="00217A9C">
        <w:rPr>
          <w:lang w:val="pt-BR"/>
        </w:rPr>
        <w:t xml:space="preserve"> </w:t>
      </w:r>
      <w:proofErr w:type="spellStart"/>
      <w:r w:rsidR="00217A9C" w:rsidRPr="00217A9C">
        <w:rPr>
          <w:lang w:val="pt-BR"/>
        </w:rPr>
        <w:t>Interest</w:t>
      </w:r>
      <w:proofErr w:type="spellEnd"/>
      <w:r w:rsidR="00217A9C" w:rsidRPr="00217A9C">
        <w:rPr>
          <w:lang w:val="pt-BR"/>
        </w:rPr>
        <w:t xml:space="preserve"> </w:t>
      </w:r>
      <w:proofErr w:type="spellStart"/>
      <w:r w:rsidR="00217A9C" w:rsidRPr="00217A9C">
        <w:rPr>
          <w:lang w:val="pt-BR"/>
        </w:rPr>
        <w:t>Group</w:t>
      </w:r>
      <w:proofErr w:type="spellEnd"/>
      <w:r w:rsidR="00217A9C" w:rsidRPr="00217A9C">
        <w:rPr>
          <w:lang w:val="pt-BR"/>
        </w:rPr>
        <w:t xml:space="preserve"> (GASIG), ligado à </w:t>
      </w:r>
      <w:proofErr w:type="spellStart"/>
      <w:r w:rsidR="00217A9C" w:rsidRPr="00217A9C">
        <w:rPr>
          <w:lang w:val="pt-BR"/>
        </w:rPr>
        <w:t>International</w:t>
      </w:r>
      <w:proofErr w:type="spellEnd"/>
      <w:r w:rsidR="00217A9C" w:rsidRPr="00217A9C">
        <w:rPr>
          <w:lang w:val="pt-BR"/>
        </w:rPr>
        <w:t xml:space="preserve"> Game </w:t>
      </w:r>
      <w:proofErr w:type="spellStart"/>
      <w:r w:rsidR="00217A9C" w:rsidRPr="00217A9C">
        <w:rPr>
          <w:lang w:val="pt-BR"/>
        </w:rPr>
        <w:t>Development</w:t>
      </w:r>
      <w:proofErr w:type="spellEnd"/>
      <w:r w:rsidR="00217A9C" w:rsidRPr="00217A9C">
        <w:rPr>
          <w:lang w:val="pt-BR"/>
        </w:rPr>
        <w:t xml:space="preserve"> </w:t>
      </w:r>
      <w:proofErr w:type="spellStart"/>
      <w:r w:rsidR="00217A9C" w:rsidRPr="00217A9C">
        <w:rPr>
          <w:lang w:val="pt-BR"/>
        </w:rPr>
        <w:t>Association</w:t>
      </w:r>
      <w:proofErr w:type="spellEnd"/>
      <w:r w:rsidR="00217A9C" w:rsidRPr="00217A9C">
        <w:rPr>
          <w:lang w:val="pt-BR"/>
        </w:rPr>
        <w:t xml:space="preserve"> (IGDA), pesquisa e desenvolve acessibilidade em jogos digitais (IGDA/GASIG, 2021). O grupo aponta que problemas de acessibilidade geram frustração e destacam o potencial de ampliar o público e promover inclusão por meio de regulamentações. Além disso, ressaltam que os jogos podem servir como ferramentas para desenvolvimento de habilidades e aprendizado. A </w:t>
      </w:r>
      <w:proofErr w:type="spellStart"/>
      <w:r w:rsidR="00217A9C" w:rsidRPr="00217A9C">
        <w:rPr>
          <w:lang w:val="pt-BR"/>
        </w:rPr>
        <w:t>Accessible</w:t>
      </w:r>
      <w:proofErr w:type="spellEnd"/>
      <w:r w:rsidR="00217A9C" w:rsidRPr="00217A9C">
        <w:rPr>
          <w:lang w:val="pt-BR"/>
        </w:rPr>
        <w:t xml:space="preserve"> Player Experience (APX) (2005) introduz uma abordagem que amplia as métricas tradicionais de experiência do </w:t>
      </w:r>
      <w:r w:rsidR="00217A9C" w:rsidRPr="00217A9C">
        <w:rPr>
          <w:lang w:val="pt-BR"/>
        </w:rPr>
        <w:lastRenderedPageBreak/>
        <w:t>jogador para considerar as condições de acesso de jogadores com diferentes deficiências.</w:t>
      </w:r>
      <w:r w:rsidR="00217A9C">
        <w:rPr>
          <w:lang w:val="pt-BR"/>
        </w:rPr>
        <w:t xml:space="preserve"> </w:t>
      </w:r>
      <w:r w:rsidR="00A130A5" w:rsidRPr="00272269">
        <w:rPr>
          <w:lang w:val="pt-BR"/>
        </w:rPr>
        <w:t>Dentre diversas diretrizes disponíveis para o design da acessibilidade de jogos digitais (COSTA, 2023), pode-se destacar o</w:t>
      </w:r>
      <w:r w:rsidRPr="00272269">
        <w:rPr>
          <w:lang w:val="pt-BR"/>
        </w:rPr>
        <w:t xml:space="preserve"> Game </w:t>
      </w:r>
      <w:proofErr w:type="spellStart"/>
      <w:r w:rsidRPr="00272269">
        <w:rPr>
          <w:lang w:val="pt-BR"/>
        </w:rPr>
        <w:t>Accessibility</w:t>
      </w:r>
      <w:proofErr w:type="spellEnd"/>
      <w:r w:rsidRPr="00272269">
        <w:rPr>
          <w:lang w:val="pt-BR"/>
        </w:rPr>
        <w:t xml:space="preserve"> </w:t>
      </w:r>
      <w:proofErr w:type="spellStart"/>
      <w:r w:rsidRPr="00272269">
        <w:rPr>
          <w:lang w:val="pt-BR"/>
        </w:rPr>
        <w:t>Guidelines</w:t>
      </w:r>
      <w:proofErr w:type="spellEnd"/>
      <w:r w:rsidRPr="00272269">
        <w:rPr>
          <w:lang w:val="pt-BR"/>
        </w:rPr>
        <w:t xml:space="preserve"> (GAG)</w:t>
      </w:r>
      <w:r w:rsidR="00A130A5" w:rsidRPr="00272269">
        <w:rPr>
          <w:lang w:val="pt-BR"/>
        </w:rPr>
        <w:t xml:space="preserve">, </w:t>
      </w:r>
      <w:r w:rsidRPr="00272269">
        <w:rPr>
          <w:lang w:val="pt-BR"/>
        </w:rPr>
        <w:t>um conjunto de diretrizes de design voltado para a acessibilidade em jogos digitais, criado para</w:t>
      </w:r>
      <w:r w:rsidRPr="005A7774">
        <w:rPr>
          <w:lang w:val="pt-BR"/>
        </w:rPr>
        <w:t xml:space="preserve"> auxiliar no desenvolvimento de interfaces mais inclusivas e menos excluden</w:t>
      </w:r>
      <w:r w:rsidR="00217A9C">
        <w:rPr>
          <w:lang w:val="pt-BR"/>
        </w:rPr>
        <w:t xml:space="preserve">tes. </w:t>
      </w:r>
      <w:r w:rsidRPr="005A7774">
        <w:rPr>
          <w:lang w:val="pt-BR"/>
        </w:rPr>
        <w:t xml:space="preserve">O padrão é utilizado por diversas empresas da indústria de jogos, como a Sony e a plataforma </w:t>
      </w:r>
      <w:proofErr w:type="spellStart"/>
      <w:r w:rsidRPr="005A7774">
        <w:rPr>
          <w:lang w:val="pt-BR"/>
        </w:rPr>
        <w:t>PlayStation</w:t>
      </w:r>
      <w:proofErr w:type="spellEnd"/>
      <w:r w:rsidRPr="005A7774">
        <w:rPr>
          <w:lang w:val="pt-BR"/>
        </w:rPr>
        <w:t>, e está em constante atualização para incluir avanços tecnológicos e exemplos práticos (</w:t>
      </w:r>
      <w:r w:rsidR="007313CD" w:rsidRPr="005A7774">
        <w:rPr>
          <w:lang w:val="pt-BR"/>
        </w:rPr>
        <w:t>HAMILTON</w:t>
      </w:r>
      <w:r w:rsidRPr="005A7774">
        <w:rPr>
          <w:lang w:val="pt-BR"/>
        </w:rPr>
        <w:t>, 2020).</w:t>
      </w:r>
    </w:p>
    <w:p w:rsidR="005A7774" w:rsidRDefault="005A7774" w:rsidP="005A7774">
      <w:pPr>
        <w:jc w:val="both"/>
        <w:rPr>
          <w:lang w:val="pt-BR"/>
        </w:rPr>
      </w:pPr>
      <w:r w:rsidRPr="005A7774">
        <w:rPr>
          <w:lang w:val="pt-BR"/>
        </w:rPr>
        <w:t>O GAG é composto po</w:t>
      </w:r>
      <w:r w:rsidR="00AE3741">
        <w:rPr>
          <w:lang w:val="pt-BR"/>
        </w:rPr>
        <w:t xml:space="preserve"> </w:t>
      </w:r>
      <w:r w:rsidRPr="005A7774">
        <w:rPr>
          <w:lang w:val="pt-BR"/>
        </w:rPr>
        <w:t>r 91 diretrizes organizadas em três níveis de complexidade na implementação: básico, intermediário e avançado. Cada nível abrange aspectos adaptáveis a diferentes necessidades, desde requisitos gerais até adaptações específicas para deficiências mais severas. As diretrizes são subdivididas em seis categorias</w:t>
      </w:r>
      <w:r w:rsidR="00C40969">
        <w:rPr>
          <w:lang w:val="pt-BR"/>
        </w:rPr>
        <w:t xml:space="preserve"> segundo o tipo de deficiência: </w:t>
      </w:r>
      <w:r w:rsidRPr="005A7774">
        <w:rPr>
          <w:lang w:val="pt-BR"/>
        </w:rPr>
        <w:t>motora, cognitiva, visual, auditiva, fala e geral. A classificação das diretrizes considera três parâmetros principais: alcance (número de usuários beneficiados), impacto na experiência do usuário e custo de implementação. O GAG é amplamente utilizado como referência acadêmica em estudos sobre acessibilidade em jogos digitais (</w:t>
      </w:r>
      <w:r w:rsidR="00F85621">
        <w:rPr>
          <w:lang w:val="pt-BR"/>
        </w:rPr>
        <w:t>COSTA</w:t>
      </w:r>
      <w:r w:rsidRPr="005A7774">
        <w:rPr>
          <w:lang w:val="pt-BR"/>
        </w:rPr>
        <w:t>, 20</w:t>
      </w:r>
      <w:r w:rsidR="00F85621">
        <w:rPr>
          <w:lang w:val="pt-BR"/>
        </w:rPr>
        <w:t>2</w:t>
      </w:r>
      <w:r w:rsidRPr="005A7774">
        <w:rPr>
          <w:lang w:val="pt-BR"/>
        </w:rPr>
        <w:t>3).</w:t>
      </w:r>
      <w:r w:rsidR="00171816">
        <w:rPr>
          <w:lang w:val="pt-BR"/>
        </w:rPr>
        <w:t xml:space="preserve"> </w:t>
      </w:r>
      <w:r w:rsidRPr="005A7774">
        <w:rPr>
          <w:lang w:val="pt-BR"/>
        </w:rPr>
        <w:t>Disponível online, o GAG fornece descrições detalhadas de cada diretriz, acompanhadas de exemplos visuais e depoimentos de usuários com deficiência sobre o im</w:t>
      </w:r>
      <w:r w:rsidR="00171816">
        <w:rPr>
          <w:lang w:val="pt-BR"/>
        </w:rPr>
        <w:t>pacto na experiência de jogo.</w:t>
      </w:r>
    </w:p>
    <w:p w:rsidR="005A7774" w:rsidRPr="005A7774" w:rsidRDefault="005A7774" w:rsidP="005A7774">
      <w:pPr>
        <w:jc w:val="both"/>
        <w:rPr>
          <w:lang w:val="pt-BR"/>
        </w:rPr>
      </w:pPr>
      <w:r w:rsidRPr="005A7774">
        <w:rPr>
          <w:lang w:val="pt-BR"/>
        </w:rPr>
        <w:t>Para testar e validar a aplicação da GAG como ferramenta de design e avaliação da acessibilidade em jogos digitais, foi realizada uma inspeção heurística em 10 jogos, utilizando a lista original da GAG (202</w:t>
      </w:r>
      <w:r w:rsidR="00592D47">
        <w:rPr>
          <w:lang w:val="pt-BR"/>
        </w:rPr>
        <w:t>5</w:t>
      </w:r>
      <w:r w:rsidRPr="005A7774">
        <w:rPr>
          <w:lang w:val="pt-BR"/>
        </w:rPr>
        <w:t xml:space="preserve">) como guia de verificação. A seleção dos jogos seguiu os critérios de: (i) lançamentos entre janeiro de 2015 e março de 2020, direcionados a consoles como Playstation 4, XBOX </w:t>
      </w:r>
      <w:proofErr w:type="spellStart"/>
      <w:r w:rsidRPr="005A7774">
        <w:rPr>
          <w:lang w:val="pt-BR"/>
        </w:rPr>
        <w:t>One</w:t>
      </w:r>
      <w:proofErr w:type="spellEnd"/>
      <w:r w:rsidRPr="005A7774">
        <w:rPr>
          <w:lang w:val="pt-BR"/>
        </w:rPr>
        <w:t xml:space="preserve"> e Nintendo Switch; e (</w:t>
      </w:r>
      <w:proofErr w:type="spellStart"/>
      <w:r w:rsidRPr="005A7774">
        <w:rPr>
          <w:lang w:val="pt-BR"/>
        </w:rPr>
        <w:t>ii</w:t>
      </w:r>
      <w:proofErr w:type="spellEnd"/>
      <w:r w:rsidRPr="005A7774">
        <w:rPr>
          <w:lang w:val="pt-BR"/>
        </w:rPr>
        <w:t xml:space="preserve">) avaliação crítica do </w:t>
      </w:r>
      <w:proofErr w:type="spellStart"/>
      <w:r w:rsidRPr="005A7774">
        <w:rPr>
          <w:lang w:val="pt-BR"/>
        </w:rPr>
        <w:t>Metacritic</w:t>
      </w:r>
      <w:proofErr w:type="spellEnd"/>
      <w:r w:rsidRPr="005A7774">
        <w:rPr>
          <w:lang w:val="pt-BR"/>
        </w:rPr>
        <w:t>. Esses critérios visaram compor uma amostra representativa de jogos com grande impacto crítico e que refletissem o estado atual do desenvolvimento da acessibilidade nas interfaces de jogos digitais.</w:t>
      </w:r>
    </w:p>
    <w:p w:rsidR="005A7774" w:rsidRPr="005A7774" w:rsidRDefault="005A7774" w:rsidP="005A7774">
      <w:pPr>
        <w:jc w:val="both"/>
        <w:rPr>
          <w:lang w:val="pt-BR"/>
        </w:rPr>
      </w:pPr>
      <w:r w:rsidRPr="005A7774">
        <w:rPr>
          <w:lang w:val="pt-BR"/>
        </w:rPr>
        <w:t>Uma das principais vantagens da GAG em relação a outras listas similares, como a APX, é sua classificação baseada no nível de complexidade para implementar os recursos de acessibilidade. Essa organização permite ao designer estimar de forma mais precisa os recursos de tempo e trabalho necessários para aplicar as funcionalidades sugeridas. Além disso, a subclassificação por tipos de deficiência possibilita que a avaliação identifique possíveis lacunas na acessibilidade do produto.</w:t>
      </w:r>
    </w:p>
    <w:p w:rsidR="00820010" w:rsidRDefault="005A7774" w:rsidP="005A7774">
      <w:pPr>
        <w:jc w:val="both"/>
        <w:rPr>
          <w:lang w:val="pt-BR"/>
        </w:rPr>
      </w:pPr>
      <w:r w:rsidRPr="005A7774">
        <w:rPr>
          <w:lang w:val="pt-BR"/>
        </w:rPr>
        <w:lastRenderedPageBreak/>
        <w:t>Entretanto, a GAG originalmente não dispõe de um parâmetro comparativo para mensurar o grau de acessibilidade de cada jogo. Portanto, esta pesquisa propõe o GAG Score, ou Índice de Aderência ao GAG (GAG</w:t>
      </w:r>
      <w:r w:rsidR="00592D47">
        <w:rPr>
          <w:lang w:val="pt-BR"/>
        </w:rPr>
        <w:t xml:space="preserve"> </w:t>
      </w:r>
      <w:r w:rsidRPr="005A7774">
        <w:rPr>
          <w:lang w:val="pt-BR"/>
        </w:rPr>
        <w:t>(S)), calculado pela soma das heurísticas identificadas na avaliação, ponderada segundo a escala de valor da própria GAG: (i) heurísticas básicas recebem valor um (1); (</w:t>
      </w:r>
      <w:proofErr w:type="spellStart"/>
      <w:r w:rsidRPr="005A7774">
        <w:rPr>
          <w:lang w:val="pt-BR"/>
        </w:rPr>
        <w:t>ii</w:t>
      </w:r>
      <w:proofErr w:type="spellEnd"/>
      <w:r w:rsidRPr="005A7774">
        <w:rPr>
          <w:lang w:val="pt-BR"/>
        </w:rPr>
        <w:t>) intermediárias, valor dois (2); e (</w:t>
      </w:r>
      <w:proofErr w:type="spellStart"/>
      <w:r w:rsidRPr="005A7774">
        <w:rPr>
          <w:lang w:val="pt-BR"/>
        </w:rPr>
        <w:t>iii</w:t>
      </w:r>
      <w:proofErr w:type="spellEnd"/>
      <w:r w:rsidRPr="005A7774">
        <w:rPr>
          <w:lang w:val="pt-BR"/>
        </w:rPr>
        <w:t xml:space="preserve">) avançadas, valor três (3). O Quadro </w:t>
      </w:r>
      <w:r w:rsidR="00272269">
        <w:rPr>
          <w:lang w:val="pt-BR"/>
        </w:rPr>
        <w:t>3</w:t>
      </w:r>
      <w:r w:rsidRPr="005A7774">
        <w:rPr>
          <w:lang w:val="pt-BR"/>
        </w:rPr>
        <w:t xml:space="preserve"> sintetiza as análises realizadas, indicando o título do jogo avaliado, sua nota no </w:t>
      </w:r>
      <w:proofErr w:type="spellStart"/>
      <w:r w:rsidRPr="005A7774">
        <w:rPr>
          <w:lang w:val="pt-BR"/>
        </w:rPr>
        <w:t>Metacritic</w:t>
      </w:r>
      <w:proofErr w:type="spellEnd"/>
      <w:r w:rsidRPr="005A7774">
        <w:rPr>
          <w:lang w:val="pt-BR"/>
        </w:rPr>
        <w:t>, ano de lançamento, categorias de heurísticas avaliadas (básicas, intermediárias e avançadas) e o score total.</w:t>
      </w:r>
    </w:p>
    <w:p w:rsidR="004E3FE1" w:rsidRPr="004E3FE1" w:rsidRDefault="004E3FE1" w:rsidP="004E3FE1">
      <w:pPr>
        <w:spacing w:before="240" w:after="200" w:line="240" w:lineRule="auto"/>
        <w:ind w:firstLine="0"/>
        <w:rPr>
          <w:rFonts w:eastAsia="Calibri" w:cs="Times New Roman"/>
          <w:iCs/>
          <w:color w:val="595959"/>
          <w:sz w:val="22"/>
          <w:lang w:val="pt-BR" w:eastAsia="pt-BR"/>
        </w:rPr>
      </w:pPr>
      <w:bookmarkStart w:id="0" w:name="_Toc131947866"/>
      <w:r w:rsidRPr="004E3FE1">
        <w:rPr>
          <w:rFonts w:eastAsia="Calibri" w:cs="Times New Roman"/>
          <w:iCs/>
          <w:color w:val="595959"/>
          <w:sz w:val="22"/>
          <w:lang w:val="pt-BR" w:eastAsia="pt-BR"/>
        </w:rPr>
        <w:t xml:space="preserve">Quadro </w:t>
      </w:r>
      <w:r w:rsidRPr="004E3FE1">
        <w:rPr>
          <w:rFonts w:eastAsia="Calibri" w:cs="Times New Roman"/>
          <w:iCs/>
          <w:color w:val="595959"/>
          <w:sz w:val="22"/>
          <w:lang w:val="pt-BR" w:eastAsia="pt-BR"/>
        </w:rPr>
        <w:fldChar w:fldCharType="begin"/>
      </w:r>
      <w:r w:rsidRPr="004E3FE1">
        <w:rPr>
          <w:rFonts w:eastAsia="Calibri" w:cs="Times New Roman"/>
          <w:iCs/>
          <w:color w:val="595959"/>
          <w:sz w:val="22"/>
          <w:lang w:val="pt-BR" w:eastAsia="pt-BR"/>
        </w:rPr>
        <w:instrText xml:space="preserve"> SEQ Quadro \* ARABIC </w:instrText>
      </w:r>
      <w:r w:rsidRPr="004E3FE1">
        <w:rPr>
          <w:rFonts w:eastAsia="Calibri" w:cs="Times New Roman"/>
          <w:iCs/>
          <w:color w:val="595959"/>
          <w:sz w:val="22"/>
          <w:lang w:val="pt-BR" w:eastAsia="pt-BR"/>
        </w:rPr>
        <w:fldChar w:fldCharType="separate"/>
      </w:r>
      <w:r w:rsidR="00272269">
        <w:rPr>
          <w:rFonts w:eastAsia="Calibri" w:cs="Times New Roman"/>
          <w:iCs/>
          <w:noProof/>
          <w:color w:val="595959"/>
          <w:sz w:val="22"/>
          <w:lang w:val="pt-BR" w:eastAsia="pt-BR"/>
        </w:rPr>
        <w:t>3</w:t>
      </w:r>
      <w:r w:rsidRPr="004E3FE1">
        <w:rPr>
          <w:rFonts w:eastAsia="Calibri" w:cs="Times New Roman"/>
          <w:iCs/>
          <w:color w:val="595959"/>
          <w:sz w:val="22"/>
          <w:lang w:val="pt-BR" w:eastAsia="pt-BR"/>
        </w:rPr>
        <w:fldChar w:fldCharType="end"/>
      </w:r>
      <w:r w:rsidRPr="004E3FE1">
        <w:rPr>
          <w:rFonts w:eastAsia="Calibri" w:cs="Times New Roman"/>
          <w:iCs/>
          <w:color w:val="595959"/>
          <w:sz w:val="22"/>
          <w:lang w:val="pt-BR" w:eastAsia="pt-BR"/>
        </w:rPr>
        <w:t xml:space="preserve"> –</w:t>
      </w:r>
      <w:r w:rsidR="00965132">
        <w:rPr>
          <w:rFonts w:eastAsia="Calibri" w:cs="Times New Roman"/>
          <w:iCs/>
          <w:color w:val="595959"/>
          <w:sz w:val="22"/>
          <w:lang w:val="pt-BR" w:eastAsia="pt-BR"/>
        </w:rPr>
        <w:t xml:space="preserve"> </w:t>
      </w:r>
      <w:bookmarkStart w:id="1" w:name="_GoBack"/>
      <w:bookmarkEnd w:id="1"/>
      <w:r w:rsidRPr="004E3FE1">
        <w:rPr>
          <w:rFonts w:eastAsia="Calibri" w:cs="Times New Roman"/>
          <w:iCs/>
          <w:color w:val="595959"/>
          <w:sz w:val="22"/>
          <w:lang w:val="pt-BR" w:eastAsia="pt-BR"/>
        </w:rPr>
        <w:t>Jogos Digitais</w:t>
      </w:r>
      <w:bookmarkEnd w:id="0"/>
      <w:r w:rsidR="0055118D">
        <w:rPr>
          <w:rFonts w:eastAsia="Calibri" w:cs="Times New Roman"/>
          <w:iCs/>
          <w:color w:val="595959"/>
          <w:sz w:val="22"/>
          <w:lang w:val="pt-BR" w:eastAsia="pt-BR"/>
        </w:rPr>
        <w:t xml:space="preserve"> avaliados com a GAG</w:t>
      </w:r>
    </w:p>
    <w:tbl>
      <w:tblPr>
        <w:tblStyle w:val="Tabelacomgrade1"/>
        <w:tblW w:w="9219" w:type="dxa"/>
        <w:tblBorders>
          <w:top w:val="none" w:sz="0" w:space="0" w:color="auto"/>
          <w:left w:val="none" w:sz="0" w:space="0" w:color="auto"/>
          <w:bottom w:val="none" w:sz="0" w:space="0" w:color="auto"/>
          <w:right w:val="none" w:sz="0" w:space="0" w:color="auto"/>
          <w:insideH w:val="single" w:sz="2" w:space="0" w:color="7F7F7F"/>
          <w:insideV w:val="single" w:sz="2" w:space="0" w:color="7F7F7F"/>
        </w:tblBorders>
        <w:tblLayout w:type="fixed"/>
        <w:tblLook w:val="04A0" w:firstRow="1" w:lastRow="0" w:firstColumn="1" w:lastColumn="0" w:noHBand="0" w:noVBand="1"/>
      </w:tblPr>
      <w:tblGrid>
        <w:gridCol w:w="3805"/>
        <w:gridCol w:w="852"/>
        <w:gridCol w:w="995"/>
        <w:gridCol w:w="852"/>
        <w:gridCol w:w="853"/>
        <w:gridCol w:w="702"/>
        <w:gridCol w:w="1160"/>
      </w:tblGrid>
      <w:tr w:rsidR="001B7485" w:rsidRPr="004E3FE1" w:rsidTr="001B7485">
        <w:trPr>
          <w:trHeight w:val="628"/>
        </w:trPr>
        <w:tc>
          <w:tcPr>
            <w:tcW w:w="3805" w:type="dxa"/>
            <w:shd w:val="clear" w:color="auto" w:fill="262626" w:themeFill="text1" w:themeFillTint="D9"/>
            <w:vAlign w:val="center"/>
          </w:tcPr>
          <w:p w:rsidR="004E3FE1" w:rsidRPr="004E3FE1" w:rsidRDefault="004E3FE1" w:rsidP="004E3FE1">
            <w:pPr>
              <w:spacing w:after="0" w:line="240" w:lineRule="auto"/>
              <w:ind w:firstLine="0"/>
              <w:jc w:val="center"/>
              <w:rPr>
                <w:rFonts w:cs="Times New Roman"/>
                <w:b/>
                <w:sz w:val="20"/>
                <w:szCs w:val="20"/>
                <w:lang w:eastAsia="pt-BR"/>
              </w:rPr>
            </w:pPr>
            <w:r w:rsidRPr="004E3FE1">
              <w:rPr>
                <w:rFonts w:cs="Times New Roman"/>
                <w:b/>
                <w:sz w:val="20"/>
                <w:szCs w:val="20"/>
                <w:lang w:eastAsia="pt-BR"/>
              </w:rPr>
              <w:t>Jogo Digital</w:t>
            </w:r>
          </w:p>
        </w:tc>
        <w:tc>
          <w:tcPr>
            <w:tcW w:w="852" w:type="dxa"/>
            <w:shd w:val="clear" w:color="auto" w:fill="404040" w:themeFill="text1" w:themeFillTint="BF"/>
            <w:vAlign w:val="center"/>
          </w:tcPr>
          <w:p w:rsidR="004E3FE1" w:rsidRPr="004E3FE1" w:rsidRDefault="004E3FE1" w:rsidP="004E3FE1">
            <w:pPr>
              <w:spacing w:after="0" w:line="240" w:lineRule="auto"/>
              <w:ind w:firstLine="0"/>
              <w:jc w:val="center"/>
              <w:rPr>
                <w:rFonts w:cs="Times New Roman"/>
                <w:b/>
                <w:color w:val="FFFFFF"/>
                <w:sz w:val="20"/>
                <w:szCs w:val="20"/>
                <w:lang w:eastAsia="pt-BR"/>
              </w:rPr>
            </w:pPr>
            <w:r w:rsidRPr="004E3FE1">
              <w:rPr>
                <w:rFonts w:cs="Times New Roman"/>
                <w:b/>
                <w:color w:val="FFFFFF"/>
                <w:sz w:val="20"/>
                <w:szCs w:val="20"/>
                <w:lang w:eastAsia="pt-BR"/>
              </w:rPr>
              <w:t>Meta</w:t>
            </w:r>
          </w:p>
        </w:tc>
        <w:tc>
          <w:tcPr>
            <w:tcW w:w="995" w:type="dxa"/>
            <w:shd w:val="clear" w:color="auto" w:fill="262626" w:themeFill="text1" w:themeFillTint="D9"/>
            <w:vAlign w:val="center"/>
          </w:tcPr>
          <w:p w:rsidR="004E3FE1" w:rsidRPr="004E3FE1" w:rsidRDefault="004E3FE1" w:rsidP="004E3FE1">
            <w:pPr>
              <w:spacing w:after="0" w:line="240" w:lineRule="auto"/>
              <w:ind w:firstLine="0"/>
              <w:jc w:val="center"/>
              <w:rPr>
                <w:rFonts w:cs="Times New Roman"/>
                <w:b/>
                <w:color w:val="FFFFFF"/>
                <w:sz w:val="20"/>
                <w:szCs w:val="20"/>
                <w:lang w:eastAsia="pt-BR"/>
              </w:rPr>
            </w:pPr>
            <w:r w:rsidRPr="004E3FE1">
              <w:rPr>
                <w:rFonts w:cs="Times New Roman"/>
                <w:b/>
                <w:color w:val="FFFFFF"/>
                <w:sz w:val="20"/>
                <w:szCs w:val="20"/>
                <w:lang w:eastAsia="pt-BR"/>
              </w:rPr>
              <w:t>Ano</w:t>
            </w:r>
          </w:p>
        </w:tc>
        <w:tc>
          <w:tcPr>
            <w:tcW w:w="852" w:type="dxa"/>
            <w:shd w:val="clear" w:color="auto" w:fill="404040" w:themeFill="text1" w:themeFillTint="BF"/>
            <w:vAlign w:val="center"/>
          </w:tcPr>
          <w:p w:rsidR="004E3FE1" w:rsidRPr="004E3FE1" w:rsidRDefault="004E3FE1" w:rsidP="004E3FE1">
            <w:pPr>
              <w:spacing w:after="0" w:line="240" w:lineRule="auto"/>
              <w:ind w:firstLine="0"/>
              <w:jc w:val="center"/>
              <w:rPr>
                <w:rFonts w:cs="Times New Roman"/>
                <w:b/>
                <w:color w:val="FFFFFF"/>
                <w:sz w:val="20"/>
                <w:szCs w:val="20"/>
                <w:lang w:eastAsia="pt-BR"/>
              </w:rPr>
            </w:pPr>
            <w:r w:rsidRPr="004E3FE1">
              <w:rPr>
                <w:rFonts w:cs="Times New Roman"/>
                <w:b/>
                <w:color w:val="FFFFFF"/>
                <w:sz w:val="20"/>
                <w:szCs w:val="20"/>
                <w:lang w:eastAsia="pt-BR"/>
              </w:rPr>
              <w:t>(i)</w:t>
            </w:r>
          </w:p>
        </w:tc>
        <w:tc>
          <w:tcPr>
            <w:tcW w:w="853" w:type="dxa"/>
            <w:shd w:val="clear" w:color="auto" w:fill="262626" w:themeFill="text1" w:themeFillTint="D9"/>
            <w:vAlign w:val="center"/>
          </w:tcPr>
          <w:p w:rsidR="004E3FE1" w:rsidRPr="004E3FE1" w:rsidRDefault="004E3FE1" w:rsidP="004E3FE1">
            <w:pPr>
              <w:spacing w:after="0" w:line="240" w:lineRule="auto"/>
              <w:ind w:firstLine="0"/>
              <w:jc w:val="center"/>
              <w:rPr>
                <w:rFonts w:cs="Times New Roman"/>
                <w:b/>
                <w:color w:val="FFFFFF"/>
                <w:sz w:val="20"/>
                <w:szCs w:val="20"/>
                <w:lang w:eastAsia="pt-BR"/>
              </w:rPr>
            </w:pPr>
            <w:r w:rsidRPr="004E3FE1">
              <w:rPr>
                <w:rFonts w:cs="Times New Roman"/>
                <w:b/>
                <w:color w:val="FFFFFF"/>
                <w:sz w:val="20"/>
                <w:szCs w:val="20"/>
                <w:lang w:eastAsia="pt-BR"/>
              </w:rPr>
              <w:t>(</w:t>
            </w:r>
            <w:proofErr w:type="spellStart"/>
            <w:r w:rsidRPr="004E3FE1">
              <w:rPr>
                <w:rFonts w:cs="Times New Roman"/>
                <w:b/>
                <w:color w:val="FFFFFF"/>
                <w:sz w:val="20"/>
                <w:szCs w:val="20"/>
                <w:lang w:eastAsia="pt-BR"/>
              </w:rPr>
              <w:t>ii</w:t>
            </w:r>
            <w:proofErr w:type="spellEnd"/>
            <w:r w:rsidRPr="004E3FE1">
              <w:rPr>
                <w:rFonts w:cs="Times New Roman"/>
                <w:b/>
                <w:color w:val="FFFFFF"/>
                <w:sz w:val="20"/>
                <w:szCs w:val="20"/>
                <w:lang w:eastAsia="pt-BR"/>
              </w:rPr>
              <w:t>)</w:t>
            </w:r>
          </w:p>
        </w:tc>
        <w:tc>
          <w:tcPr>
            <w:tcW w:w="702" w:type="dxa"/>
            <w:shd w:val="clear" w:color="auto" w:fill="404040" w:themeFill="text1" w:themeFillTint="BF"/>
            <w:vAlign w:val="center"/>
          </w:tcPr>
          <w:p w:rsidR="004E3FE1" w:rsidRPr="004E3FE1" w:rsidRDefault="004E3FE1" w:rsidP="004E3FE1">
            <w:pPr>
              <w:spacing w:after="0" w:line="240" w:lineRule="auto"/>
              <w:ind w:firstLine="0"/>
              <w:jc w:val="center"/>
              <w:rPr>
                <w:rFonts w:cs="Times New Roman"/>
                <w:b/>
                <w:color w:val="FFFFFF"/>
                <w:sz w:val="20"/>
                <w:szCs w:val="20"/>
                <w:lang w:eastAsia="pt-BR"/>
              </w:rPr>
            </w:pPr>
            <w:r w:rsidRPr="004E3FE1">
              <w:rPr>
                <w:rFonts w:cs="Times New Roman"/>
                <w:b/>
                <w:color w:val="FFFFFF"/>
                <w:sz w:val="20"/>
                <w:szCs w:val="20"/>
                <w:lang w:eastAsia="pt-BR"/>
              </w:rPr>
              <w:t>(</w:t>
            </w:r>
            <w:proofErr w:type="spellStart"/>
            <w:r w:rsidRPr="004E3FE1">
              <w:rPr>
                <w:rFonts w:cs="Times New Roman"/>
                <w:b/>
                <w:color w:val="FFFFFF"/>
                <w:sz w:val="20"/>
                <w:szCs w:val="20"/>
                <w:lang w:eastAsia="pt-BR"/>
              </w:rPr>
              <w:t>iii</w:t>
            </w:r>
            <w:proofErr w:type="spellEnd"/>
            <w:r w:rsidRPr="004E3FE1">
              <w:rPr>
                <w:rFonts w:cs="Times New Roman"/>
                <w:b/>
                <w:color w:val="FFFFFF"/>
                <w:sz w:val="20"/>
                <w:szCs w:val="20"/>
                <w:lang w:eastAsia="pt-BR"/>
              </w:rPr>
              <w:t>)</w:t>
            </w:r>
          </w:p>
        </w:tc>
        <w:tc>
          <w:tcPr>
            <w:tcW w:w="1160" w:type="dxa"/>
            <w:shd w:val="clear" w:color="auto" w:fill="262626" w:themeFill="text1" w:themeFillTint="D9"/>
            <w:vAlign w:val="center"/>
          </w:tcPr>
          <w:p w:rsidR="004E3FE1" w:rsidRPr="004E3FE1" w:rsidRDefault="004E3FE1" w:rsidP="004E3FE1">
            <w:pPr>
              <w:spacing w:after="0" w:line="240" w:lineRule="auto"/>
              <w:ind w:firstLine="0"/>
              <w:jc w:val="center"/>
              <w:rPr>
                <w:rFonts w:cs="Times New Roman"/>
                <w:b/>
                <w:color w:val="FFFFFF"/>
                <w:sz w:val="20"/>
                <w:szCs w:val="20"/>
                <w:lang w:eastAsia="pt-BR"/>
              </w:rPr>
            </w:pPr>
            <w:r w:rsidRPr="004E3FE1">
              <w:rPr>
                <w:rFonts w:cs="Times New Roman"/>
                <w:b/>
                <w:color w:val="FFFFFF"/>
                <w:sz w:val="20"/>
                <w:szCs w:val="20"/>
                <w:lang w:eastAsia="pt-BR"/>
              </w:rPr>
              <w:t>GAG(S)</w:t>
            </w:r>
          </w:p>
        </w:tc>
      </w:tr>
      <w:tr w:rsidR="001B7485" w:rsidRPr="004E3FE1" w:rsidTr="001B7485">
        <w:trPr>
          <w:trHeight w:val="628"/>
        </w:trPr>
        <w:tc>
          <w:tcPr>
            <w:tcW w:w="3805" w:type="dxa"/>
            <w:shd w:val="clear" w:color="auto" w:fill="404040"/>
            <w:vAlign w:val="center"/>
          </w:tcPr>
          <w:p w:rsidR="004E3FE1" w:rsidRPr="004E3FE1" w:rsidRDefault="004E3FE1" w:rsidP="004E3FE1">
            <w:pPr>
              <w:spacing w:after="0" w:line="276" w:lineRule="auto"/>
              <w:ind w:firstLine="0"/>
              <w:rPr>
                <w:rFonts w:cs="Times New Roman"/>
                <w:color w:val="FFFFFF"/>
                <w:sz w:val="20"/>
                <w:szCs w:val="20"/>
                <w:lang w:val="en-US" w:eastAsia="pt-BR"/>
              </w:rPr>
            </w:pPr>
            <w:r w:rsidRPr="004E3FE1">
              <w:rPr>
                <w:rFonts w:cs="Times New Roman"/>
                <w:color w:val="FFFFFF"/>
                <w:sz w:val="20"/>
                <w:szCs w:val="20"/>
                <w:lang w:val="en-US"/>
              </w:rPr>
              <w:t xml:space="preserve">The Legend of Zelda: Breath of the Wild </w:t>
            </w:r>
          </w:p>
        </w:tc>
        <w:tc>
          <w:tcPr>
            <w:tcW w:w="85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97</w:t>
            </w:r>
          </w:p>
        </w:tc>
        <w:tc>
          <w:tcPr>
            <w:tcW w:w="995" w:type="dxa"/>
            <w:shd w:val="clear" w:color="auto" w:fill="F2F2F2"/>
            <w:vAlign w:val="center"/>
          </w:tcPr>
          <w:p w:rsidR="004E3FE1" w:rsidRPr="004E3FE1" w:rsidRDefault="00592D47" w:rsidP="004E3FE1">
            <w:pPr>
              <w:spacing w:after="0" w:line="240" w:lineRule="auto"/>
              <w:ind w:firstLine="0"/>
              <w:jc w:val="center"/>
              <w:rPr>
                <w:rFonts w:cs="Times New Roman"/>
                <w:color w:val="000000"/>
                <w:sz w:val="20"/>
                <w:szCs w:val="20"/>
                <w:lang w:eastAsia="pt-BR"/>
              </w:rPr>
            </w:pPr>
            <w:r>
              <w:rPr>
                <w:rFonts w:cs="Times New Roman"/>
                <w:sz w:val="20"/>
                <w:szCs w:val="20"/>
              </w:rPr>
              <w:t>2020</w:t>
            </w:r>
          </w:p>
        </w:tc>
        <w:tc>
          <w:tcPr>
            <w:tcW w:w="85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13</w:t>
            </w:r>
          </w:p>
        </w:tc>
        <w:tc>
          <w:tcPr>
            <w:tcW w:w="853"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13</w:t>
            </w:r>
          </w:p>
        </w:tc>
        <w:tc>
          <w:tcPr>
            <w:tcW w:w="70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w:t>
            </w:r>
          </w:p>
        </w:tc>
        <w:tc>
          <w:tcPr>
            <w:tcW w:w="1160" w:type="dxa"/>
            <w:shd w:val="clear" w:color="auto" w:fill="F2F2F2"/>
            <w:vAlign w:val="center"/>
          </w:tcPr>
          <w:p w:rsidR="004E3FE1" w:rsidRPr="004E3FE1" w:rsidRDefault="004E3FE1" w:rsidP="004E3FE1">
            <w:pPr>
              <w:spacing w:after="0" w:line="240" w:lineRule="auto"/>
              <w:ind w:firstLine="0"/>
              <w:jc w:val="center"/>
              <w:rPr>
                <w:rFonts w:cs="Times New Roman"/>
                <w:b/>
                <w:color w:val="000000"/>
                <w:sz w:val="18"/>
                <w:szCs w:val="18"/>
                <w:lang w:eastAsia="pt-BR"/>
              </w:rPr>
            </w:pPr>
            <w:r w:rsidRPr="004E3FE1">
              <w:rPr>
                <w:rFonts w:cs="Times New Roman"/>
                <w:b/>
                <w:color w:val="000000"/>
                <w:sz w:val="18"/>
                <w:szCs w:val="18"/>
                <w:lang w:eastAsia="pt-BR"/>
              </w:rPr>
              <w:t>42</w:t>
            </w:r>
          </w:p>
        </w:tc>
      </w:tr>
      <w:tr w:rsidR="001B7485" w:rsidRPr="004E3FE1" w:rsidTr="001B7485">
        <w:trPr>
          <w:trHeight w:val="628"/>
        </w:trPr>
        <w:tc>
          <w:tcPr>
            <w:tcW w:w="3805" w:type="dxa"/>
            <w:shd w:val="clear" w:color="auto" w:fill="262626"/>
            <w:vAlign w:val="center"/>
          </w:tcPr>
          <w:p w:rsidR="004E3FE1" w:rsidRPr="004E3FE1" w:rsidRDefault="004E3FE1" w:rsidP="004E3FE1">
            <w:pPr>
              <w:spacing w:after="0" w:line="276" w:lineRule="auto"/>
              <w:ind w:firstLine="0"/>
              <w:rPr>
                <w:rFonts w:cs="Times New Roman"/>
                <w:color w:val="FFFFFF"/>
                <w:sz w:val="20"/>
                <w:szCs w:val="20"/>
                <w:lang w:eastAsia="pt-BR"/>
              </w:rPr>
            </w:pPr>
            <w:proofErr w:type="spellStart"/>
            <w:r w:rsidRPr="004E3FE1">
              <w:rPr>
                <w:rFonts w:cs="Times New Roman"/>
                <w:color w:val="FFFFFF"/>
                <w:sz w:val="20"/>
                <w:szCs w:val="20"/>
              </w:rPr>
              <w:t>Super</w:t>
            </w:r>
            <w:proofErr w:type="spellEnd"/>
            <w:r w:rsidRPr="004E3FE1">
              <w:rPr>
                <w:rFonts w:cs="Times New Roman"/>
                <w:color w:val="FFFFFF"/>
                <w:sz w:val="20"/>
                <w:szCs w:val="20"/>
              </w:rPr>
              <w:t xml:space="preserve"> Mario </w:t>
            </w:r>
            <w:proofErr w:type="spellStart"/>
            <w:r w:rsidRPr="004E3FE1">
              <w:rPr>
                <w:rFonts w:cs="Times New Roman"/>
                <w:color w:val="FFFFFF"/>
                <w:sz w:val="20"/>
                <w:szCs w:val="20"/>
              </w:rPr>
              <w:t>Odyssey</w:t>
            </w:r>
            <w:proofErr w:type="spellEnd"/>
            <w:r w:rsidRPr="004E3FE1">
              <w:rPr>
                <w:rFonts w:cs="Times New Roman"/>
                <w:color w:val="FFFFFF"/>
                <w:sz w:val="20"/>
                <w:szCs w:val="20"/>
              </w:rPr>
              <w:t xml:space="preserve"> </w:t>
            </w:r>
          </w:p>
        </w:tc>
        <w:tc>
          <w:tcPr>
            <w:tcW w:w="85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97</w:t>
            </w:r>
          </w:p>
        </w:tc>
        <w:tc>
          <w:tcPr>
            <w:tcW w:w="995" w:type="dxa"/>
            <w:shd w:val="clear" w:color="auto" w:fill="D9D9D9"/>
            <w:vAlign w:val="center"/>
          </w:tcPr>
          <w:p w:rsidR="004E3FE1" w:rsidRPr="004E3FE1" w:rsidRDefault="00592D47" w:rsidP="004E3FE1">
            <w:pPr>
              <w:spacing w:after="0" w:line="240" w:lineRule="auto"/>
              <w:ind w:firstLine="0"/>
              <w:jc w:val="center"/>
              <w:rPr>
                <w:rFonts w:cs="Times New Roman"/>
                <w:color w:val="000000"/>
                <w:sz w:val="20"/>
                <w:szCs w:val="20"/>
                <w:lang w:eastAsia="pt-BR"/>
              </w:rPr>
            </w:pPr>
            <w:r>
              <w:rPr>
                <w:rFonts w:cs="Times New Roman"/>
                <w:sz w:val="20"/>
                <w:szCs w:val="20"/>
              </w:rPr>
              <w:t>2020</w:t>
            </w:r>
          </w:p>
        </w:tc>
        <w:tc>
          <w:tcPr>
            <w:tcW w:w="85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13</w:t>
            </w:r>
          </w:p>
        </w:tc>
        <w:tc>
          <w:tcPr>
            <w:tcW w:w="853"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12</w:t>
            </w:r>
          </w:p>
        </w:tc>
        <w:tc>
          <w:tcPr>
            <w:tcW w:w="70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w:t>
            </w:r>
          </w:p>
        </w:tc>
        <w:tc>
          <w:tcPr>
            <w:tcW w:w="1160" w:type="dxa"/>
            <w:shd w:val="clear" w:color="auto" w:fill="D9D9D9"/>
            <w:vAlign w:val="center"/>
          </w:tcPr>
          <w:p w:rsidR="004E3FE1" w:rsidRPr="004E3FE1" w:rsidRDefault="004E3FE1" w:rsidP="004E3FE1">
            <w:pPr>
              <w:spacing w:after="0" w:line="240" w:lineRule="auto"/>
              <w:ind w:firstLine="0"/>
              <w:jc w:val="center"/>
              <w:rPr>
                <w:rFonts w:cs="Times New Roman"/>
                <w:b/>
                <w:color w:val="000000"/>
                <w:sz w:val="18"/>
                <w:szCs w:val="18"/>
                <w:lang w:eastAsia="pt-BR"/>
              </w:rPr>
            </w:pPr>
            <w:r w:rsidRPr="004E3FE1">
              <w:rPr>
                <w:rFonts w:cs="Times New Roman"/>
                <w:b/>
                <w:color w:val="000000"/>
                <w:sz w:val="18"/>
                <w:szCs w:val="18"/>
                <w:lang w:eastAsia="pt-BR"/>
              </w:rPr>
              <w:t>40</w:t>
            </w:r>
          </w:p>
        </w:tc>
      </w:tr>
      <w:tr w:rsidR="001B7485" w:rsidRPr="004E3FE1" w:rsidTr="001B7485">
        <w:trPr>
          <w:trHeight w:val="628"/>
        </w:trPr>
        <w:tc>
          <w:tcPr>
            <w:tcW w:w="3805" w:type="dxa"/>
            <w:shd w:val="clear" w:color="auto" w:fill="404040"/>
            <w:vAlign w:val="center"/>
          </w:tcPr>
          <w:p w:rsidR="004E3FE1" w:rsidRPr="004E3FE1" w:rsidRDefault="004E3FE1" w:rsidP="004E3FE1">
            <w:pPr>
              <w:spacing w:after="0" w:line="276" w:lineRule="auto"/>
              <w:ind w:firstLine="0"/>
              <w:rPr>
                <w:rFonts w:cs="Times New Roman"/>
                <w:color w:val="FFFFFF"/>
                <w:sz w:val="20"/>
                <w:szCs w:val="20"/>
                <w:lang w:eastAsia="pt-BR"/>
              </w:rPr>
            </w:pPr>
            <w:proofErr w:type="spellStart"/>
            <w:r w:rsidRPr="004E3FE1">
              <w:rPr>
                <w:rFonts w:cs="Times New Roman"/>
                <w:color w:val="FFFFFF"/>
                <w:sz w:val="20"/>
                <w:szCs w:val="20"/>
              </w:rPr>
              <w:t>Red</w:t>
            </w:r>
            <w:proofErr w:type="spellEnd"/>
            <w:r w:rsidRPr="004E3FE1">
              <w:rPr>
                <w:rFonts w:cs="Times New Roman"/>
                <w:color w:val="FFFFFF"/>
                <w:sz w:val="20"/>
                <w:szCs w:val="20"/>
              </w:rPr>
              <w:t xml:space="preserve"> </w:t>
            </w:r>
            <w:proofErr w:type="spellStart"/>
            <w:r w:rsidRPr="004E3FE1">
              <w:rPr>
                <w:rFonts w:cs="Times New Roman"/>
                <w:color w:val="FFFFFF"/>
                <w:sz w:val="20"/>
                <w:szCs w:val="20"/>
              </w:rPr>
              <w:t>Dead</w:t>
            </w:r>
            <w:proofErr w:type="spellEnd"/>
            <w:r w:rsidRPr="004E3FE1">
              <w:rPr>
                <w:rFonts w:cs="Times New Roman"/>
                <w:color w:val="FFFFFF"/>
                <w:sz w:val="20"/>
                <w:szCs w:val="20"/>
              </w:rPr>
              <w:t xml:space="preserve"> </w:t>
            </w:r>
            <w:proofErr w:type="spellStart"/>
            <w:r w:rsidRPr="004E3FE1">
              <w:rPr>
                <w:rFonts w:cs="Times New Roman"/>
                <w:color w:val="FFFFFF"/>
                <w:sz w:val="20"/>
                <w:szCs w:val="20"/>
              </w:rPr>
              <w:t>Redemption</w:t>
            </w:r>
            <w:proofErr w:type="spellEnd"/>
            <w:r w:rsidRPr="004E3FE1">
              <w:rPr>
                <w:rFonts w:cs="Times New Roman"/>
                <w:color w:val="FFFFFF"/>
                <w:sz w:val="20"/>
                <w:szCs w:val="20"/>
              </w:rPr>
              <w:t xml:space="preserve"> II </w:t>
            </w:r>
          </w:p>
        </w:tc>
        <w:tc>
          <w:tcPr>
            <w:tcW w:w="85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97</w:t>
            </w:r>
          </w:p>
        </w:tc>
        <w:tc>
          <w:tcPr>
            <w:tcW w:w="995"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2018</w:t>
            </w:r>
          </w:p>
        </w:tc>
        <w:tc>
          <w:tcPr>
            <w:tcW w:w="85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11</w:t>
            </w:r>
          </w:p>
        </w:tc>
        <w:tc>
          <w:tcPr>
            <w:tcW w:w="853"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16</w:t>
            </w:r>
          </w:p>
        </w:tc>
        <w:tc>
          <w:tcPr>
            <w:tcW w:w="70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0</w:t>
            </w:r>
          </w:p>
        </w:tc>
        <w:tc>
          <w:tcPr>
            <w:tcW w:w="1160" w:type="dxa"/>
            <w:shd w:val="clear" w:color="auto" w:fill="F2F2F2"/>
            <w:vAlign w:val="center"/>
          </w:tcPr>
          <w:p w:rsidR="004E3FE1" w:rsidRPr="004E3FE1" w:rsidRDefault="004E3FE1" w:rsidP="004E3FE1">
            <w:pPr>
              <w:spacing w:after="0" w:line="240" w:lineRule="auto"/>
              <w:ind w:firstLine="0"/>
              <w:jc w:val="center"/>
              <w:rPr>
                <w:rFonts w:cs="Times New Roman"/>
                <w:b/>
                <w:color w:val="000000"/>
                <w:sz w:val="18"/>
                <w:szCs w:val="18"/>
                <w:lang w:eastAsia="pt-BR"/>
              </w:rPr>
            </w:pPr>
            <w:r w:rsidRPr="004E3FE1">
              <w:rPr>
                <w:rFonts w:cs="Times New Roman"/>
                <w:b/>
                <w:color w:val="000000"/>
                <w:sz w:val="18"/>
                <w:szCs w:val="18"/>
                <w:lang w:eastAsia="pt-BR"/>
              </w:rPr>
              <w:t>46</w:t>
            </w:r>
          </w:p>
        </w:tc>
      </w:tr>
      <w:tr w:rsidR="001B7485" w:rsidRPr="004E3FE1" w:rsidTr="001B7485">
        <w:trPr>
          <w:trHeight w:val="628"/>
        </w:trPr>
        <w:tc>
          <w:tcPr>
            <w:tcW w:w="3805" w:type="dxa"/>
            <w:shd w:val="clear" w:color="auto" w:fill="262626"/>
            <w:vAlign w:val="center"/>
          </w:tcPr>
          <w:p w:rsidR="004E3FE1" w:rsidRPr="004E3FE1" w:rsidRDefault="004E3FE1" w:rsidP="004E3FE1">
            <w:pPr>
              <w:spacing w:after="0" w:line="276" w:lineRule="auto"/>
              <w:ind w:firstLine="0"/>
              <w:rPr>
                <w:rFonts w:cs="Times New Roman"/>
                <w:color w:val="FFFFFF"/>
                <w:sz w:val="20"/>
                <w:szCs w:val="20"/>
                <w:lang w:eastAsia="pt-BR"/>
              </w:rPr>
            </w:pPr>
            <w:r w:rsidRPr="004E3FE1">
              <w:rPr>
                <w:rFonts w:cs="Times New Roman"/>
                <w:color w:val="FFFFFF"/>
                <w:sz w:val="20"/>
                <w:szCs w:val="20"/>
              </w:rPr>
              <w:t xml:space="preserve">Grand </w:t>
            </w:r>
            <w:proofErr w:type="spellStart"/>
            <w:r w:rsidRPr="004E3FE1">
              <w:rPr>
                <w:rFonts w:cs="Times New Roman"/>
                <w:color w:val="FFFFFF"/>
                <w:sz w:val="20"/>
                <w:szCs w:val="20"/>
              </w:rPr>
              <w:t>Theft</w:t>
            </w:r>
            <w:proofErr w:type="spellEnd"/>
            <w:r w:rsidRPr="004E3FE1">
              <w:rPr>
                <w:rFonts w:cs="Times New Roman"/>
                <w:color w:val="FFFFFF"/>
                <w:sz w:val="20"/>
                <w:szCs w:val="20"/>
              </w:rPr>
              <w:t xml:space="preserve"> Auto V </w:t>
            </w:r>
          </w:p>
        </w:tc>
        <w:tc>
          <w:tcPr>
            <w:tcW w:w="85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96</w:t>
            </w:r>
          </w:p>
        </w:tc>
        <w:tc>
          <w:tcPr>
            <w:tcW w:w="995"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2015</w:t>
            </w:r>
          </w:p>
        </w:tc>
        <w:tc>
          <w:tcPr>
            <w:tcW w:w="85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13</w:t>
            </w:r>
          </w:p>
        </w:tc>
        <w:tc>
          <w:tcPr>
            <w:tcW w:w="853"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14</w:t>
            </w:r>
          </w:p>
        </w:tc>
        <w:tc>
          <w:tcPr>
            <w:tcW w:w="70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w:t>
            </w:r>
          </w:p>
        </w:tc>
        <w:tc>
          <w:tcPr>
            <w:tcW w:w="1160" w:type="dxa"/>
            <w:shd w:val="clear" w:color="auto" w:fill="D9D9D9"/>
            <w:vAlign w:val="center"/>
          </w:tcPr>
          <w:p w:rsidR="004E3FE1" w:rsidRPr="004E3FE1" w:rsidRDefault="004E3FE1" w:rsidP="004E3FE1">
            <w:pPr>
              <w:spacing w:after="0" w:line="240" w:lineRule="auto"/>
              <w:ind w:firstLine="0"/>
              <w:jc w:val="center"/>
              <w:rPr>
                <w:rFonts w:cs="Times New Roman"/>
                <w:b/>
                <w:color w:val="000000"/>
                <w:sz w:val="18"/>
                <w:szCs w:val="18"/>
                <w:lang w:eastAsia="pt-BR"/>
              </w:rPr>
            </w:pPr>
            <w:r w:rsidRPr="004E3FE1">
              <w:rPr>
                <w:rFonts w:cs="Times New Roman"/>
                <w:b/>
                <w:color w:val="000000"/>
                <w:sz w:val="18"/>
                <w:szCs w:val="18"/>
                <w:lang w:eastAsia="pt-BR"/>
              </w:rPr>
              <w:t>44</w:t>
            </w:r>
          </w:p>
        </w:tc>
      </w:tr>
      <w:tr w:rsidR="001B7485" w:rsidRPr="004E3FE1" w:rsidTr="001B7485">
        <w:trPr>
          <w:trHeight w:val="628"/>
        </w:trPr>
        <w:tc>
          <w:tcPr>
            <w:tcW w:w="3805" w:type="dxa"/>
            <w:shd w:val="clear" w:color="auto" w:fill="404040"/>
            <w:vAlign w:val="center"/>
          </w:tcPr>
          <w:p w:rsidR="004E3FE1" w:rsidRPr="004E3FE1" w:rsidRDefault="004E3FE1" w:rsidP="004E3FE1">
            <w:pPr>
              <w:spacing w:after="0" w:line="276" w:lineRule="auto"/>
              <w:ind w:firstLine="0"/>
              <w:rPr>
                <w:rFonts w:cs="Times New Roman"/>
                <w:color w:val="FFFFFF"/>
                <w:sz w:val="20"/>
                <w:szCs w:val="20"/>
                <w:lang w:val="en-US" w:eastAsia="pt-BR"/>
              </w:rPr>
            </w:pPr>
            <w:r w:rsidRPr="004E3FE1">
              <w:rPr>
                <w:rFonts w:cs="Times New Roman"/>
                <w:color w:val="FFFFFF"/>
                <w:sz w:val="20"/>
                <w:szCs w:val="20"/>
                <w:lang w:val="en-US"/>
              </w:rPr>
              <w:t xml:space="preserve">Metal Gear Solid V: The Phantom Pain </w:t>
            </w:r>
          </w:p>
        </w:tc>
        <w:tc>
          <w:tcPr>
            <w:tcW w:w="85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95</w:t>
            </w:r>
          </w:p>
        </w:tc>
        <w:tc>
          <w:tcPr>
            <w:tcW w:w="995"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2015</w:t>
            </w:r>
          </w:p>
        </w:tc>
        <w:tc>
          <w:tcPr>
            <w:tcW w:w="85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12</w:t>
            </w:r>
          </w:p>
        </w:tc>
        <w:tc>
          <w:tcPr>
            <w:tcW w:w="853"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12</w:t>
            </w:r>
          </w:p>
        </w:tc>
        <w:tc>
          <w:tcPr>
            <w:tcW w:w="70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0</w:t>
            </w:r>
          </w:p>
        </w:tc>
        <w:tc>
          <w:tcPr>
            <w:tcW w:w="1160" w:type="dxa"/>
            <w:shd w:val="clear" w:color="auto" w:fill="F2F2F2"/>
            <w:vAlign w:val="center"/>
          </w:tcPr>
          <w:p w:rsidR="004E3FE1" w:rsidRPr="004E3FE1" w:rsidRDefault="004E3FE1" w:rsidP="004E3FE1">
            <w:pPr>
              <w:spacing w:after="0" w:line="240" w:lineRule="auto"/>
              <w:ind w:firstLine="0"/>
              <w:jc w:val="center"/>
              <w:rPr>
                <w:rFonts w:cs="Times New Roman"/>
                <w:b/>
                <w:color w:val="000000"/>
                <w:sz w:val="18"/>
                <w:szCs w:val="18"/>
                <w:lang w:eastAsia="pt-BR"/>
              </w:rPr>
            </w:pPr>
            <w:r w:rsidRPr="004E3FE1">
              <w:rPr>
                <w:rFonts w:cs="Times New Roman"/>
                <w:b/>
                <w:color w:val="000000"/>
                <w:sz w:val="18"/>
                <w:szCs w:val="18"/>
                <w:lang w:eastAsia="pt-BR"/>
              </w:rPr>
              <w:t>36</w:t>
            </w:r>
          </w:p>
        </w:tc>
      </w:tr>
      <w:tr w:rsidR="001B7485" w:rsidRPr="004E3FE1" w:rsidTr="001B7485">
        <w:trPr>
          <w:trHeight w:val="628"/>
        </w:trPr>
        <w:tc>
          <w:tcPr>
            <w:tcW w:w="3805" w:type="dxa"/>
            <w:shd w:val="clear" w:color="auto" w:fill="262626"/>
            <w:vAlign w:val="center"/>
          </w:tcPr>
          <w:p w:rsidR="004E3FE1" w:rsidRPr="004E3FE1" w:rsidRDefault="004E3FE1" w:rsidP="004E3FE1">
            <w:pPr>
              <w:spacing w:after="0" w:line="276" w:lineRule="auto"/>
              <w:ind w:firstLine="0"/>
              <w:rPr>
                <w:rFonts w:cs="Times New Roman"/>
                <w:color w:val="FFFFFF"/>
                <w:sz w:val="20"/>
                <w:szCs w:val="20"/>
                <w:lang w:eastAsia="pt-BR"/>
              </w:rPr>
            </w:pPr>
            <w:proofErr w:type="spellStart"/>
            <w:r w:rsidRPr="004E3FE1">
              <w:rPr>
                <w:rFonts w:cs="Times New Roman"/>
                <w:color w:val="FFFFFF"/>
                <w:sz w:val="20"/>
                <w:szCs w:val="20"/>
              </w:rPr>
              <w:t>God</w:t>
            </w:r>
            <w:proofErr w:type="spellEnd"/>
            <w:r w:rsidRPr="004E3FE1">
              <w:rPr>
                <w:rFonts w:cs="Times New Roman"/>
                <w:color w:val="FFFFFF"/>
                <w:sz w:val="20"/>
                <w:szCs w:val="20"/>
              </w:rPr>
              <w:t xml:space="preserve"> </w:t>
            </w:r>
            <w:proofErr w:type="spellStart"/>
            <w:r w:rsidRPr="004E3FE1">
              <w:rPr>
                <w:rFonts w:cs="Times New Roman"/>
                <w:color w:val="FFFFFF"/>
                <w:sz w:val="20"/>
                <w:szCs w:val="20"/>
              </w:rPr>
              <w:t>of</w:t>
            </w:r>
            <w:proofErr w:type="spellEnd"/>
            <w:r w:rsidRPr="004E3FE1">
              <w:rPr>
                <w:rFonts w:cs="Times New Roman"/>
                <w:color w:val="FFFFFF"/>
                <w:sz w:val="20"/>
                <w:szCs w:val="20"/>
              </w:rPr>
              <w:t xml:space="preserve"> War IV </w:t>
            </w:r>
          </w:p>
        </w:tc>
        <w:tc>
          <w:tcPr>
            <w:tcW w:w="85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94</w:t>
            </w:r>
          </w:p>
        </w:tc>
        <w:tc>
          <w:tcPr>
            <w:tcW w:w="995"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2018</w:t>
            </w:r>
          </w:p>
        </w:tc>
        <w:tc>
          <w:tcPr>
            <w:tcW w:w="85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14</w:t>
            </w:r>
          </w:p>
        </w:tc>
        <w:tc>
          <w:tcPr>
            <w:tcW w:w="853"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19</w:t>
            </w:r>
          </w:p>
        </w:tc>
        <w:tc>
          <w:tcPr>
            <w:tcW w:w="70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4</w:t>
            </w:r>
          </w:p>
        </w:tc>
        <w:tc>
          <w:tcPr>
            <w:tcW w:w="1160" w:type="dxa"/>
            <w:shd w:val="clear" w:color="auto" w:fill="D9D9D9"/>
            <w:vAlign w:val="center"/>
          </w:tcPr>
          <w:p w:rsidR="004E3FE1" w:rsidRPr="004E3FE1" w:rsidRDefault="004E3FE1" w:rsidP="004E3FE1">
            <w:pPr>
              <w:spacing w:after="0" w:line="240" w:lineRule="auto"/>
              <w:ind w:firstLine="0"/>
              <w:jc w:val="center"/>
              <w:rPr>
                <w:rFonts w:cs="Times New Roman"/>
                <w:b/>
                <w:color w:val="000000"/>
                <w:sz w:val="18"/>
                <w:szCs w:val="18"/>
                <w:lang w:eastAsia="pt-BR"/>
              </w:rPr>
            </w:pPr>
            <w:r w:rsidRPr="004E3FE1">
              <w:rPr>
                <w:rFonts w:cs="Times New Roman"/>
                <w:b/>
                <w:color w:val="000000"/>
                <w:sz w:val="18"/>
                <w:szCs w:val="18"/>
                <w:lang w:eastAsia="pt-BR"/>
              </w:rPr>
              <w:t>64</w:t>
            </w:r>
          </w:p>
        </w:tc>
      </w:tr>
      <w:tr w:rsidR="001B7485" w:rsidRPr="004E3FE1" w:rsidTr="001B7485">
        <w:trPr>
          <w:trHeight w:val="628"/>
        </w:trPr>
        <w:tc>
          <w:tcPr>
            <w:tcW w:w="3805" w:type="dxa"/>
            <w:shd w:val="clear" w:color="auto" w:fill="404040"/>
            <w:vAlign w:val="center"/>
          </w:tcPr>
          <w:p w:rsidR="004E3FE1" w:rsidRPr="004E3FE1" w:rsidRDefault="004E3FE1" w:rsidP="004E3FE1">
            <w:pPr>
              <w:spacing w:after="0" w:line="276" w:lineRule="auto"/>
              <w:ind w:firstLine="0"/>
              <w:rPr>
                <w:rFonts w:cs="Times New Roman"/>
                <w:color w:val="FFFFFF"/>
                <w:sz w:val="20"/>
                <w:szCs w:val="20"/>
                <w:lang w:eastAsia="pt-BR"/>
              </w:rPr>
            </w:pPr>
            <w:r w:rsidRPr="004E3FE1">
              <w:rPr>
                <w:rFonts w:cs="Times New Roman"/>
                <w:color w:val="FFFFFF"/>
                <w:sz w:val="20"/>
                <w:szCs w:val="20"/>
              </w:rPr>
              <w:t xml:space="preserve">Celeste </w:t>
            </w:r>
          </w:p>
        </w:tc>
        <w:tc>
          <w:tcPr>
            <w:tcW w:w="85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94</w:t>
            </w:r>
          </w:p>
        </w:tc>
        <w:tc>
          <w:tcPr>
            <w:tcW w:w="995"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2018</w:t>
            </w:r>
          </w:p>
        </w:tc>
        <w:tc>
          <w:tcPr>
            <w:tcW w:w="85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15</w:t>
            </w:r>
          </w:p>
        </w:tc>
        <w:tc>
          <w:tcPr>
            <w:tcW w:w="853"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14</w:t>
            </w:r>
          </w:p>
        </w:tc>
        <w:tc>
          <w:tcPr>
            <w:tcW w:w="70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2</w:t>
            </w:r>
          </w:p>
        </w:tc>
        <w:tc>
          <w:tcPr>
            <w:tcW w:w="1160" w:type="dxa"/>
            <w:shd w:val="clear" w:color="auto" w:fill="F2F2F2"/>
            <w:vAlign w:val="center"/>
          </w:tcPr>
          <w:p w:rsidR="004E3FE1" w:rsidRPr="004E3FE1" w:rsidRDefault="004E3FE1" w:rsidP="004E3FE1">
            <w:pPr>
              <w:spacing w:after="0" w:line="240" w:lineRule="auto"/>
              <w:ind w:firstLine="0"/>
              <w:jc w:val="center"/>
              <w:rPr>
                <w:rFonts w:cs="Times New Roman"/>
                <w:b/>
                <w:color w:val="000000"/>
                <w:sz w:val="18"/>
                <w:szCs w:val="18"/>
                <w:lang w:eastAsia="pt-BR"/>
              </w:rPr>
            </w:pPr>
            <w:r w:rsidRPr="004E3FE1">
              <w:rPr>
                <w:rFonts w:cs="Times New Roman"/>
                <w:b/>
                <w:color w:val="000000"/>
                <w:sz w:val="18"/>
                <w:szCs w:val="18"/>
                <w:lang w:eastAsia="pt-BR"/>
              </w:rPr>
              <w:t>49</w:t>
            </w:r>
          </w:p>
        </w:tc>
      </w:tr>
      <w:tr w:rsidR="001B7485" w:rsidRPr="004E3FE1" w:rsidTr="001B7485">
        <w:trPr>
          <w:trHeight w:val="628"/>
        </w:trPr>
        <w:tc>
          <w:tcPr>
            <w:tcW w:w="3805" w:type="dxa"/>
            <w:shd w:val="clear" w:color="auto" w:fill="262626"/>
            <w:vAlign w:val="center"/>
          </w:tcPr>
          <w:p w:rsidR="004E3FE1" w:rsidRPr="004E3FE1" w:rsidRDefault="004E3FE1" w:rsidP="004E3FE1">
            <w:pPr>
              <w:spacing w:after="0" w:line="276" w:lineRule="auto"/>
              <w:ind w:firstLine="0"/>
              <w:rPr>
                <w:rFonts w:cs="Times New Roman"/>
                <w:iCs/>
                <w:color w:val="FFFFFF"/>
                <w:sz w:val="20"/>
                <w:szCs w:val="20"/>
                <w:lang w:val="en-US" w:eastAsia="pt-BR"/>
              </w:rPr>
            </w:pPr>
            <w:r w:rsidRPr="004E3FE1">
              <w:rPr>
                <w:rFonts w:cs="Times New Roman"/>
                <w:color w:val="FFFFFF"/>
                <w:sz w:val="20"/>
                <w:szCs w:val="20"/>
                <w:lang w:val="en-US"/>
              </w:rPr>
              <w:t xml:space="preserve">The </w:t>
            </w:r>
            <w:proofErr w:type="spellStart"/>
            <w:r w:rsidRPr="004E3FE1">
              <w:rPr>
                <w:rFonts w:cs="Times New Roman"/>
                <w:color w:val="FFFFFF"/>
                <w:sz w:val="20"/>
                <w:szCs w:val="20"/>
                <w:lang w:val="en-US"/>
              </w:rPr>
              <w:t>Witcher</w:t>
            </w:r>
            <w:proofErr w:type="spellEnd"/>
            <w:r w:rsidRPr="004E3FE1">
              <w:rPr>
                <w:rFonts w:cs="Times New Roman"/>
                <w:color w:val="FFFFFF"/>
                <w:sz w:val="20"/>
                <w:szCs w:val="20"/>
                <w:lang w:val="en-US"/>
              </w:rPr>
              <w:t xml:space="preserve"> III: Wild Hunt </w:t>
            </w:r>
          </w:p>
        </w:tc>
        <w:tc>
          <w:tcPr>
            <w:tcW w:w="85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93</w:t>
            </w:r>
          </w:p>
        </w:tc>
        <w:tc>
          <w:tcPr>
            <w:tcW w:w="995"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2015</w:t>
            </w:r>
          </w:p>
        </w:tc>
        <w:tc>
          <w:tcPr>
            <w:tcW w:w="85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11</w:t>
            </w:r>
          </w:p>
        </w:tc>
        <w:tc>
          <w:tcPr>
            <w:tcW w:w="853"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19</w:t>
            </w:r>
          </w:p>
        </w:tc>
        <w:tc>
          <w:tcPr>
            <w:tcW w:w="70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w:t>
            </w:r>
          </w:p>
        </w:tc>
        <w:tc>
          <w:tcPr>
            <w:tcW w:w="1160" w:type="dxa"/>
            <w:shd w:val="clear" w:color="auto" w:fill="D9D9D9"/>
            <w:vAlign w:val="center"/>
          </w:tcPr>
          <w:p w:rsidR="004E3FE1" w:rsidRPr="004E3FE1" w:rsidRDefault="004E3FE1" w:rsidP="004E3FE1">
            <w:pPr>
              <w:spacing w:after="0" w:line="240" w:lineRule="auto"/>
              <w:ind w:firstLine="0"/>
              <w:jc w:val="center"/>
              <w:rPr>
                <w:rFonts w:cs="Times New Roman"/>
                <w:b/>
                <w:color w:val="000000"/>
                <w:sz w:val="18"/>
                <w:szCs w:val="18"/>
                <w:lang w:eastAsia="pt-BR"/>
              </w:rPr>
            </w:pPr>
            <w:r w:rsidRPr="004E3FE1">
              <w:rPr>
                <w:rFonts w:cs="Times New Roman"/>
                <w:b/>
                <w:color w:val="000000"/>
                <w:sz w:val="18"/>
                <w:szCs w:val="18"/>
                <w:lang w:eastAsia="pt-BR"/>
              </w:rPr>
              <w:t>52</w:t>
            </w:r>
          </w:p>
        </w:tc>
      </w:tr>
      <w:tr w:rsidR="001B7485" w:rsidRPr="004E3FE1" w:rsidTr="001B7485">
        <w:trPr>
          <w:trHeight w:val="628"/>
        </w:trPr>
        <w:tc>
          <w:tcPr>
            <w:tcW w:w="3805" w:type="dxa"/>
            <w:shd w:val="clear" w:color="auto" w:fill="404040"/>
            <w:vAlign w:val="center"/>
          </w:tcPr>
          <w:p w:rsidR="004E3FE1" w:rsidRPr="004E3FE1" w:rsidRDefault="004E3FE1" w:rsidP="004E3FE1">
            <w:pPr>
              <w:spacing w:after="0" w:line="276" w:lineRule="auto"/>
              <w:ind w:firstLine="0"/>
              <w:rPr>
                <w:rFonts w:cs="Times New Roman"/>
                <w:color w:val="FFFFFF"/>
                <w:sz w:val="20"/>
                <w:szCs w:val="20"/>
                <w:lang w:val="en-US" w:eastAsia="pt-BR"/>
              </w:rPr>
            </w:pPr>
            <w:r w:rsidRPr="004E3FE1">
              <w:rPr>
                <w:rFonts w:cs="Times New Roman"/>
                <w:color w:val="FFFFFF"/>
                <w:sz w:val="20"/>
                <w:szCs w:val="20"/>
                <w:lang w:val="en-US"/>
              </w:rPr>
              <w:t xml:space="preserve">Uncharted IV: A Thief's End </w:t>
            </w:r>
          </w:p>
        </w:tc>
        <w:tc>
          <w:tcPr>
            <w:tcW w:w="85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93</w:t>
            </w:r>
          </w:p>
        </w:tc>
        <w:tc>
          <w:tcPr>
            <w:tcW w:w="995"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2016</w:t>
            </w:r>
          </w:p>
        </w:tc>
        <w:tc>
          <w:tcPr>
            <w:tcW w:w="85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16</w:t>
            </w:r>
          </w:p>
        </w:tc>
        <w:tc>
          <w:tcPr>
            <w:tcW w:w="853"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17</w:t>
            </w:r>
          </w:p>
        </w:tc>
        <w:tc>
          <w:tcPr>
            <w:tcW w:w="702" w:type="dxa"/>
            <w:shd w:val="clear" w:color="auto" w:fill="F2F2F2"/>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2</w:t>
            </w:r>
          </w:p>
        </w:tc>
        <w:tc>
          <w:tcPr>
            <w:tcW w:w="1160" w:type="dxa"/>
            <w:shd w:val="clear" w:color="auto" w:fill="F2F2F2"/>
            <w:vAlign w:val="center"/>
          </w:tcPr>
          <w:p w:rsidR="004E3FE1" w:rsidRPr="004E3FE1" w:rsidRDefault="004E3FE1" w:rsidP="004E3FE1">
            <w:pPr>
              <w:spacing w:after="0" w:line="240" w:lineRule="auto"/>
              <w:ind w:firstLine="0"/>
              <w:jc w:val="center"/>
              <w:rPr>
                <w:rFonts w:cs="Times New Roman"/>
                <w:b/>
                <w:color w:val="000000"/>
                <w:sz w:val="18"/>
                <w:szCs w:val="18"/>
                <w:lang w:eastAsia="pt-BR"/>
              </w:rPr>
            </w:pPr>
            <w:r w:rsidRPr="004E3FE1">
              <w:rPr>
                <w:rFonts w:cs="Times New Roman"/>
                <w:b/>
                <w:color w:val="000000"/>
                <w:sz w:val="18"/>
                <w:szCs w:val="18"/>
                <w:lang w:eastAsia="pt-BR"/>
              </w:rPr>
              <w:t>56</w:t>
            </w:r>
          </w:p>
        </w:tc>
      </w:tr>
      <w:tr w:rsidR="001B7485" w:rsidRPr="004E3FE1" w:rsidTr="001B7485">
        <w:trPr>
          <w:trHeight w:val="628"/>
        </w:trPr>
        <w:tc>
          <w:tcPr>
            <w:tcW w:w="3805" w:type="dxa"/>
            <w:shd w:val="clear" w:color="auto" w:fill="262626"/>
            <w:vAlign w:val="center"/>
          </w:tcPr>
          <w:p w:rsidR="004E3FE1" w:rsidRPr="004E3FE1" w:rsidRDefault="004E3FE1" w:rsidP="004E3FE1">
            <w:pPr>
              <w:spacing w:after="0" w:line="276" w:lineRule="auto"/>
              <w:ind w:firstLine="0"/>
              <w:rPr>
                <w:rFonts w:cs="Times New Roman"/>
                <w:iCs/>
                <w:color w:val="FFFFFF"/>
                <w:sz w:val="20"/>
                <w:szCs w:val="20"/>
                <w:lang w:eastAsia="pt-BR"/>
              </w:rPr>
            </w:pPr>
            <w:proofErr w:type="spellStart"/>
            <w:r w:rsidRPr="004E3FE1">
              <w:rPr>
                <w:rFonts w:cs="Times New Roman"/>
                <w:color w:val="FFFFFF"/>
                <w:sz w:val="20"/>
                <w:szCs w:val="20"/>
              </w:rPr>
              <w:t>Inside</w:t>
            </w:r>
            <w:proofErr w:type="spellEnd"/>
          </w:p>
        </w:tc>
        <w:tc>
          <w:tcPr>
            <w:tcW w:w="85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93</w:t>
            </w:r>
          </w:p>
        </w:tc>
        <w:tc>
          <w:tcPr>
            <w:tcW w:w="995"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20"/>
                <w:szCs w:val="20"/>
                <w:lang w:eastAsia="pt-BR"/>
              </w:rPr>
            </w:pPr>
            <w:r w:rsidRPr="004E3FE1">
              <w:rPr>
                <w:rFonts w:cs="Times New Roman"/>
                <w:sz w:val="20"/>
                <w:szCs w:val="20"/>
              </w:rPr>
              <w:t>2016</w:t>
            </w:r>
          </w:p>
        </w:tc>
        <w:tc>
          <w:tcPr>
            <w:tcW w:w="85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8</w:t>
            </w:r>
          </w:p>
        </w:tc>
        <w:tc>
          <w:tcPr>
            <w:tcW w:w="853"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3</w:t>
            </w:r>
          </w:p>
        </w:tc>
        <w:tc>
          <w:tcPr>
            <w:tcW w:w="702" w:type="dxa"/>
            <w:shd w:val="clear" w:color="auto" w:fill="D9D9D9"/>
            <w:vAlign w:val="center"/>
          </w:tcPr>
          <w:p w:rsidR="004E3FE1" w:rsidRPr="004E3FE1" w:rsidRDefault="004E3FE1" w:rsidP="004E3FE1">
            <w:pPr>
              <w:spacing w:after="0" w:line="240" w:lineRule="auto"/>
              <w:ind w:firstLine="0"/>
              <w:jc w:val="center"/>
              <w:rPr>
                <w:rFonts w:cs="Times New Roman"/>
                <w:color w:val="000000"/>
                <w:sz w:val="18"/>
                <w:szCs w:val="18"/>
                <w:lang w:eastAsia="pt-BR"/>
              </w:rPr>
            </w:pPr>
            <w:r w:rsidRPr="004E3FE1">
              <w:rPr>
                <w:rFonts w:cs="Times New Roman"/>
                <w:color w:val="000000"/>
                <w:sz w:val="18"/>
                <w:szCs w:val="18"/>
                <w:lang w:eastAsia="pt-BR"/>
              </w:rPr>
              <w:t>0</w:t>
            </w:r>
          </w:p>
        </w:tc>
        <w:tc>
          <w:tcPr>
            <w:tcW w:w="1160" w:type="dxa"/>
            <w:shd w:val="clear" w:color="auto" w:fill="D9D9D9"/>
            <w:vAlign w:val="center"/>
          </w:tcPr>
          <w:p w:rsidR="004E3FE1" w:rsidRPr="004E3FE1" w:rsidRDefault="004E3FE1" w:rsidP="004E3FE1">
            <w:pPr>
              <w:spacing w:after="0" w:line="240" w:lineRule="auto"/>
              <w:ind w:firstLine="0"/>
              <w:jc w:val="center"/>
              <w:rPr>
                <w:rFonts w:cs="Times New Roman"/>
                <w:b/>
                <w:color w:val="000000"/>
                <w:sz w:val="18"/>
                <w:szCs w:val="18"/>
                <w:lang w:eastAsia="pt-BR"/>
              </w:rPr>
            </w:pPr>
            <w:r w:rsidRPr="004E3FE1">
              <w:rPr>
                <w:rFonts w:cs="Times New Roman"/>
                <w:b/>
                <w:color w:val="000000"/>
                <w:sz w:val="18"/>
                <w:szCs w:val="18"/>
                <w:lang w:eastAsia="pt-BR"/>
              </w:rPr>
              <w:t>14</w:t>
            </w:r>
          </w:p>
        </w:tc>
      </w:tr>
    </w:tbl>
    <w:p w:rsidR="004E3FE1" w:rsidRPr="004E3FE1" w:rsidRDefault="004E3FE1" w:rsidP="004E3FE1">
      <w:pPr>
        <w:spacing w:before="140" w:after="300"/>
        <w:ind w:firstLine="0"/>
        <w:rPr>
          <w:rFonts w:eastAsia="Calibri" w:cs="Times New Roman"/>
          <w:color w:val="595959"/>
          <w:sz w:val="20"/>
          <w:szCs w:val="20"/>
          <w:lang w:val="pt-BR" w:eastAsia="pt-BR"/>
        </w:rPr>
      </w:pPr>
      <w:r w:rsidRPr="004E3FE1">
        <w:rPr>
          <w:rFonts w:eastAsia="Calibri" w:cs="Times New Roman"/>
          <w:color w:val="595959"/>
          <w:sz w:val="20"/>
          <w:szCs w:val="20"/>
          <w:lang w:val="pt-BR" w:eastAsia="pt-BR"/>
        </w:rPr>
        <w:t>Fonte: Elaborado pelo Autor (2021)</w:t>
      </w:r>
    </w:p>
    <w:p w:rsidR="00820010" w:rsidRPr="00A2023E" w:rsidRDefault="00491231">
      <w:pPr>
        <w:pStyle w:val="Topico"/>
        <w:rPr>
          <w:b/>
          <w:lang w:val="pt-BR"/>
        </w:rPr>
      </w:pPr>
      <w:r w:rsidRPr="00A2023E">
        <w:rPr>
          <w:b/>
          <w:lang w:val="pt-BR"/>
        </w:rPr>
        <w:t>RESULTADOS</w:t>
      </w:r>
      <w:r w:rsidR="002C7B1D">
        <w:rPr>
          <w:b/>
          <w:lang w:val="pt-BR"/>
        </w:rPr>
        <w:t xml:space="preserve"> E DISCUSSÃO</w:t>
      </w:r>
    </w:p>
    <w:p w:rsidR="00820010" w:rsidRDefault="00BE04D0" w:rsidP="00BE04D0">
      <w:pPr>
        <w:jc w:val="both"/>
        <w:rPr>
          <w:lang w:val="pt-BR"/>
        </w:rPr>
      </w:pPr>
      <w:r w:rsidRPr="00BE04D0">
        <w:rPr>
          <w:lang w:val="pt-BR"/>
        </w:rPr>
        <w:t xml:space="preserve">Os dados coletados permitem realizar diversas inferências relevantes: a média geral do GAG Score para a amostra analisada foi de 44,3. Considerando a escala de valores previamente estabelecida, cujo score máximo possível é 219, observa-se uma adesão média de apenas 20% das heurísticas de acessibilidade nos jogos avaliados. Embora a amostra seja </w:t>
      </w:r>
      <w:r w:rsidRPr="00BE04D0">
        <w:rPr>
          <w:lang w:val="pt-BR"/>
        </w:rPr>
        <w:lastRenderedPageBreak/>
        <w:t xml:space="preserve">limitada e não existam estudos comparativos suficientes para discussões mais abrangentes, esse percentual indica um nível relativamente baixo de acessibilidade nos produtos analisados. Mesmo o jogo digital com melhor desempenho na avaliação, </w:t>
      </w:r>
      <w:proofErr w:type="spellStart"/>
      <w:r w:rsidRPr="00BE04D0">
        <w:rPr>
          <w:lang w:val="pt-BR"/>
        </w:rPr>
        <w:t>God</w:t>
      </w:r>
      <w:proofErr w:type="spellEnd"/>
      <w:r w:rsidRPr="00BE04D0">
        <w:rPr>
          <w:lang w:val="pt-BR"/>
        </w:rPr>
        <w:t xml:space="preserve"> </w:t>
      </w:r>
      <w:proofErr w:type="spellStart"/>
      <w:r w:rsidRPr="00BE04D0">
        <w:rPr>
          <w:lang w:val="pt-BR"/>
        </w:rPr>
        <w:t>of</w:t>
      </w:r>
      <w:proofErr w:type="spellEnd"/>
      <w:r w:rsidRPr="00BE04D0">
        <w:rPr>
          <w:lang w:val="pt-BR"/>
        </w:rPr>
        <w:t xml:space="preserve"> War IV, desenvolvido pelo SIE Santa Monica Studio, alcançou um GAG Score de 64, correspondente a apenas 29% do total possível. A Figura </w:t>
      </w:r>
      <w:r w:rsidR="001D5C04">
        <w:rPr>
          <w:lang w:val="pt-BR"/>
        </w:rPr>
        <w:t>1</w:t>
      </w:r>
      <w:r w:rsidRPr="00BE04D0">
        <w:rPr>
          <w:lang w:val="pt-BR"/>
        </w:rPr>
        <w:t xml:space="preserve"> ilustra algumas telas que exemplificam os recursos de acessi</w:t>
      </w:r>
      <w:r>
        <w:rPr>
          <w:lang w:val="pt-BR"/>
        </w:rPr>
        <w:t>bilidade presentes neste título</w:t>
      </w:r>
      <w:r w:rsidR="00491231" w:rsidRPr="00BE04D0">
        <w:rPr>
          <w:lang w:val="pt-BR"/>
        </w:rPr>
        <w:t>.</w:t>
      </w:r>
    </w:p>
    <w:p w:rsidR="00F85DF4" w:rsidRPr="00F85DF4" w:rsidRDefault="00F85DF4" w:rsidP="00F85DF4">
      <w:pPr>
        <w:keepNext/>
        <w:spacing w:before="240" w:after="200" w:line="240" w:lineRule="auto"/>
        <w:ind w:left="567" w:right="276" w:firstLine="0"/>
        <w:jc w:val="center"/>
        <w:rPr>
          <w:rFonts w:eastAsia="Calibri" w:cs="Times New Roman"/>
          <w:iCs/>
          <w:color w:val="595959"/>
          <w:sz w:val="22"/>
          <w:lang w:val="pt-BR" w:eastAsia="pt-BR"/>
        </w:rPr>
      </w:pPr>
      <w:bookmarkStart w:id="2" w:name="_Toc131949598"/>
      <w:r w:rsidRPr="00F85DF4">
        <w:rPr>
          <w:rFonts w:eastAsia="Calibri" w:cs="Times New Roman"/>
          <w:iCs/>
          <w:color w:val="595959"/>
          <w:sz w:val="22"/>
          <w:lang w:val="pt-BR" w:eastAsia="pt-BR"/>
        </w:rPr>
        <w:t xml:space="preserve">Figura </w:t>
      </w:r>
      <w:r w:rsidRPr="00F85DF4">
        <w:rPr>
          <w:rFonts w:eastAsia="Calibri" w:cs="Times New Roman"/>
          <w:iCs/>
          <w:color w:val="595959"/>
          <w:sz w:val="22"/>
          <w:lang w:val="pt-BR" w:eastAsia="pt-BR"/>
        </w:rPr>
        <w:fldChar w:fldCharType="begin"/>
      </w:r>
      <w:r w:rsidRPr="00F85DF4">
        <w:rPr>
          <w:rFonts w:eastAsia="Calibri" w:cs="Times New Roman"/>
          <w:iCs/>
          <w:color w:val="595959"/>
          <w:sz w:val="22"/>
          <w:lang w:val="pt-BR" w:eastAsia="pt-BR"/>
        </w:rPr>
        <w:instrText xml:space="preserve"> SEQ Figura \* ARABIC </w:instrText>
      </w:r>
      <w:r w:rsidRPr="00F85DF4">
        <w:rPr>
          <w:rFonts w:eastAsia="Calibri" w:cs="Times New Roman"/>
          <w:iCs/>
          <w:color w:val="595959"/>
          <w:sz w:val="22"/>
          <w:lang w:val="pt-BR" w:eastAsia="pt-BR"/>
        </w:rPr>
        <w:fldChar w:fldCharType="separate"/>
      </w:r>
      <w:r>
        <w:rPr>
          <w:rFonts w:eastAsia="Calibri" w:cs="Times New Roman"/>
          <w:iCs/>
          <w:noProof/>
          <w:color w:val="595959"/>
          <w:sz w:val="22"/>
          <w:lang w:val="pt-BR" w:eastAsia="pt-BR"/>
        </w:rPr>
        <w:t>1</w:t>
      </w:r>
      <w:r w:rsidRPr="00F85DF4">
        <w:rPr>
          <w:rFonts w:eastAsia="Calibri" w:cs="Times New Roman"/>
          <w:iCs/>
          <w:color w:val="595959"/>
          <w:sz w:val="22"/>
          <w:lang w:val="pt-BR" w:eastAsia="pt-BR"/>
        </w:rPr>
        <w:fldChar w:fldCharType="end"/>
      </w:r>
      <w:r w:rsidRPr="00F85DF4">
        <w:rPr>
          <w:rFonts w:eastAsia="Calibri" w:cs="Times New Roman"/>
          <w:iCs/>
          <w:color w:val="595959"/>
          <w:sz w:val="22"/>
          <w:lang w:val="pt-BR" w:eastAsia="pt-BR"/>
        </w:rPr>
        <w:t xml:space="preserve"> – Telas com Recursos de Acessibilidade em </w:t>
      </w:r>
      <w:proofErr w:type="spellStart"/>
      <w:r w:rsidRPr="00F85DF4">
        <w:rPr>
          <w:rFonts w:eastAsia="Calibri" w:cs="Times New Roman"/>
          <w:iCs/>
          <w:color w:val="595959"/>
          <w:sz w:val="22"/>
          <w:lang w:val="pt-BR" w:eastAsia="pt-BR"/>
        </w:rPr>
        <w:t>God</w:t>
      </w:r>
      <w:proofErr w:type="spellEnd"/>
      <w:r w:rsidRPr="00F85DF4">
        <w:rPr>
          <w:rFonts w:eastAsia="Calibri" w:cs="Times New Roman"/>
          <w:iCs/>
          <w:color w:val="595959"/>
          <w:sz w:val="22"/>
          <w:lang w:val="pt-BR" w:eastAsia="pt-BR"/>
        </w:rPr>
        <w:t xml:space="preserve"> </w:t>
      </w:r>
      <w:proofErr w:type="spellStart"/>
      <w:r w:rsidRPr="00F85DF4">
        <w:rPr>
          <w:rFonts w:eastAsia="Calibri" w:cs="Times New Roman"/>
          <w:iCs/>
          <w:color w:val="595959"/>
          <w:sz w:val="22"/>
          <w:lang w:val="pt-BR" w:eastAsia="pt-BR"/>
        </w:rPr>
        <w:t>of</w:t>
      </w:r>
      <w:proofErr w:type="spellEnd"/>
      <w:r w:rsidRPr="00F85DF4">
        <w:rPr>
          <w:rFonts w:eastAsia="Calibri" w:cs="Times New Roman"/>
          <w:iCs/>
          <w:color w:val="595959"/>
          <w:sz w:val="22"/>
          <w:lang w:val="pt-BR" w:eastAsia="pt-BR"/>
        </w:rPr>
        <w:t xml:space="preserve"> War.</w:t>
      </w:r>
      <w:bookmarkEnd w:id="2"/>
    </w:p>
    <w:p w:rsidR="00F85DF4" w:rsidRPr="00F85DF4" w:rsidRDefault="00F85DF4" w:rsidP="00A3482C">
      <w:pPr>
        <w:spacing w:before="200" w:after="300"/>
        <w:ind w:firstLine="0"/>
        <w:jc w:val="center"/>
        <w:rPr>
          <w:rFonts w:eastAsia="Calibri" w:cs="Times New Roman"/>
          <w:color w:val="595959"/>
          <w:sz w:val="20"/>
          <w:szCs w:val="20"/>
          <w:lang w:val="pt-BR" w:eastAsia="pt-BR"/>
        </w:rPr>
      </w:pPr>
      <w:r w:rsidRPr="00F85DF4">
        <w:rPr>
          <w:rFonts w:eastAsia="Calibri" w:cs="Times New Roman"/>
          <w:noProof/>
          <w:szCs w:val="24"/>
          <w:lang w:val="pt-BR" w:eastAsia="pt-BR"/>
        </w:rPr>
        <w:drawing>
          <wp:inline distT="0" distB="0" distL="0" distR="0" wp14:anchorId="648615DC" wp14:editId="07017B15">
            <wp:extent cx="5842807" cy="3286578"/>
            <wp:effectExtent l="0" t="0" r="571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TV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2807" cy="3286578"/>
                    </a:xfrm>
                    <a:prstGeom prst="rect">
                      <a:avLst/>
                    </a:prstGeom>
                  </pic:spPr>
                </pic:pic>
              </a:graphicData>
            </a:graphic>
          </wp:inline>
        </w:drawing>
      </w:r>
      <w:r w:rsidR="00A3482C" w:rsidRPr="00A3482C">
        <w:rPr>
          <w:rFonts w:eastAsia="Calibri" w:cs="Times New Roman"/>
          <w:i/>
          <w:color w:val="595959"/>
          <w:sz w:val="10"/>
          <w:szCs w:val="10"/>
          <w:lang w:val="pt-BR" w:eastAsia="pt-BR"/>
        </w:rPr>
        <w:br/>
      </w:r>
      <w:r w:rsidRPr="00F85DF4">
        <w:rPr>
          <w:rFonts w:eastAsia="Calibri" w:cs="Times New Roman"/>
          <w:i/>
          <w:color w:val="595959"/>
          <w:sz w:val="20"/>
          <w:szCs w:val="20"/>
          <w:lang w:val="pt-BR" w:eastAsia="pt-BR"/>
        </w:rPr>
        <w:t>Fonte: SIE Santa Monica (2018)</w:t>
      </w:r>
    </w:p>
    <w:p w:rsidR="00BE04D0" w:rsidRPr="00BE04D0" w:rsidRDefault="00BE04D0" w:rsidP="00BE04D0">
      <w:pPr>
        <w:jc w:val="both"/>
        <w:rPr>
          <w:lang w:val="pt-BR"/>
        </w:rPr>
      </w:pPr>
      <w:r w:rsidRPr="00BE04D0">
        <w:rPr>
          <w:lang w:val="pt-BR"/>
        </w:rPr>
        <w:t>As médias de heurísticas adotadas por categoria foram as seguintes: (i) básicas, 12,6 (45%); (</w:t>
      </w:r>
      <w:proofErr w:type="spellStart"/>
      <w:r w:rsidRPr="00BE04D0">
        <w:rPr>
          <w:lang w:val="pt-BR"/>
        </w:rPr>
        <w:t>ii</w:t>
      </w:r>
      <w:proofErr w:type="spellEnd"/>
      <w:r w:rsidRPr="00BE04D0">
        <w:rPr>
          <w:lang w:val="pt-BR"/>
        </w:rPr>
        <w:t>) intermediárias, 13,9 (23,5%); e (</w:t>
      </w:r>
      <w:proofErr w:type="spellStart"/>
      <w:r w:rsidRPr="00BE04D0">
        <w:rPr>
          <w:lang w:val="pt-BR"/>
        </w:rPr>
        <w:t>iii</w:t>
      </w:r>
      <w:proofErr w:type="spellEnd"/>
      <w:r w:rsidRPr="00BE04D0">
        <w:rPr>
          <w:lang w:val="pt-BR"/>
        </w:rPr>
        <w:t>) avançadas, 1,2 (4,4%). Embora a média absoluta das heurísticas intermediárias tenha sido superior, o percentual de adoção em relação ao total de heurísticas de cada grupo indica que as heurísticas básicas são as mais implementadas. Tal padrão sugere que essas heurísticas são preferidas por apresentarem menor complexidade de implementação e por serem, em linhas gerais, inerentes ao design dos jogos digitais enquanto artefatos (GAG, 2020).</w:t>
      </w:r>
    </w:p>
    <w:p w:rsidR="00BE04D0" w:rsidRDefault="00BE04D0" w:rsidP="00BE04D0">
      <w:pPr>
        <w:jc w:val="both"/>
        <w:rPr>
          <w:lang w:val="pt-BR"/>
        </w:rPr>
      </w:pPr>
      <w:r w:rsidRPr="00BE04D0">
        <w:rPr>
          <w:lang w:val="pt-BR"/>
        </w:rPr>
        <w:t xml:space="preserve">No que tange às heurísticas específicas para jogos multijogador (2.15, 2.26, 4.11, 4.12, 4.13, 5.3 e 6.12), não houve impacto no score final, uma vez que nenhuma dessas heurísticas foi identificada nos produtos analisados que possuem componentes multijogador, nomeadamente </w:t>
      </w:r>
      <w:proofErr w:type="spellStart"/>
      <w:r w:rsidRPr="00BE04D0">
        <w:rPr>
          <w:lang w:val="pt-BR"/>
        </w:rPr>
        <w:t>Red</w:t>
      </w:r>
      <w:proofErr w:type="spellEnd"/>
      <w:r w:rsidRPr="00BE04D0">
        <w:rPr>
          <w:lang w:val="pt-BR"/>
        </w:rPr>
        <w:t xml:space="preserve"> </w:t>
      </w:r>
      <w:proofErr w:type="spellStart"/>
      <w:r w:rsidRPr="00BE04D0">
        <w:rPr>
          <w:lang w:val="pt-BR"/>
        </w:rPr>
        <w:t>Dead</w:t>
      </w:r>
      <w:proofErr w:type="spellEnd"/>
      <w:r w:rsidRPr="00BE04D0">
        <w:rPr>
          <w:lang w:val="pt-BR"/>
        </w:rPr>
        <w:t xml:space="preserve"> </w:t>
      </w:r>
      <w:proofErr w:type="spellStart"/>
      <w:r w:rsidRPr="00BE04D0">
        <w:rPr>
          <w:lang w:val="pt-BR"/>
        </w:rPr>
        <w:t>Redemption</w:t>
      </w:r>
      <w:proofErr w:type="spellEnd"/>
      <w:r w:rsidRPr="00BE04D0">
        <w:rPr>
          <w:lang w:val="pt-BR"/>
        </w:rPr>
        <w:t xml:space="preserve"> II e Grand </w:t>
      </w:r>
      <w:proofErr w:type="spellStart"/>
      <w:r w:rsidRPr="00BE04D0">
        <w:rPr>
          <w:lang w:val="pt-BR"/>
        </w:rPr>
        <w:t>Theft</w:t>
      </w:r>
      <w:proofErr w:type="spellEnd"/>
      <w:r w:rsidRPr="00BE04D0">
        <w:rPr>
          <w:lang w:val="pt-BR"/>
        </w:rPr>
        <w:t xml:space="preserve"> Auto V, da Rockstar, e Metal Gear </w:t>
      </w:r>
      <w:proofErr w:type="spellStart"/>
      <w:r w:rsidRPr="00BE04D0">
        <w:rPr>
          <w:lang w:val="pt-BR"/>
        </w:rPr>
        <w:lastRenderedPageBreak/>
        <w:t>Solid</w:t>
      </w:r>
      <w:proofErr w:type="spellEnd"/>
      <w:r w:rsidRPr="00BE04D0">
        <w:rPr>
          <w:lang w:val="pt-BR"/>
        </w:rPr>
        <w:t xml:space="preserve"> V, da Konami. Destaca-se, ainda, que dentre os dez jogos avaliados, apenas </w:t>
      </w:r>
      <w:proofErr w:type="spellStart"/>
      <w:r w:rsidRPr="00BE04D0">
        <w:rPr>
          <w:lang w:val="pt-BR"/>
        </w:rPr>
        <w:t>Inside</w:t>
      </w:r>
      <w:proofErr w:type="spellEnd"/>
      <w:r w:rsidRPr="00BE04D0">
        <w:rPr>
          <w:lang w:val="pt-BR"/>
        </w:rPr>
        <w:t xml:space="preserve">, da </w:t>
      </w:r>
      <w:proofErr w:type="spellStart"/>
      <w:r w:rsidRPr="00BE04D0">
        <w:rPr>
          <w:lang w:val="pt-BR"/>
        </w:rPr>
        <w:t>Playdead</w:t>
      </w:r>
      <w:proofErr w:type="spellEnd"/>
      <w:r w:rsidRPr="00BE04D0">
        <w:rPr>
          <w:lang w:val="pt-BR"/>
        </w:rPr>
        <w:t xml:space="preserve">, e Celeste, da Matt </w:t>
      </w:r>
      <w:proofErr w:type="spellStart"/>
      <w:r w:rsidRPr="00BE04D0">
        <w:rPr>
          <w:lang w:val="pt-BR"/>
        </w:rPr>
        <w:t>Makes</w:t>
      </w:r>
      <w:proofErr w:type="spellEnd"/>
      <w:r w:rsidRPr="00BE04D0">
        <w:rPr>
          <w:lang w:val="pt-BR"/>
        </w:rPr>
        <w:t xml:space="preserve"> Games, são considerados jogos independentes (</w:t>
      </w:r>
      <w:proofErr w:type="spellStart"/>
      <w:r w:rsidRPr="00BE04D0">
        <w:rPr>
          <w:lang w:val="pt-BR"/>
        </w:rPr>
        <w:t>indies</w:t>
      </w:r>
      <w:proofErr w:type="spellEnd"/>
      <w:r w:rsidRPr="00BE04D0">
        <w:rPr>
          <w:lang w:val="pt-BR"/>
        </w:rPr>
        <w:t xml:space="preserve">), enquanto os demais oito são títulos produzidos por grandes desenvolvedoras e publicados por estúdios de porte significativo na indústria. Apesar de possuir investimento relativamente menor, Celeste apresentou desempenho superior a cinco jogos de grande orçamento. A Figura </w:t>
      </w:r>
      <w:r w:rsidR="001D5C04">
        <w:rPr>
          <w:lang w:val="pt-BR"/>
        </w:rPr>
        <w:t>2</w:t>
      </w:r>
      <w:r w:rsidRPr="00BE04D0">
        <w:rPr>
          <w:lang w:val="pt-BR"/>
        </w:rPr>
        <w:t xml:space="preserve"> exemplifica alguns recursos de acessibilidade presentes neste título.</w:t>
      </w:r>
    </w:p>
    <w:p w:rsidR="001D5C04" w:rsidRPr="00F85DF4" w:rsidRDefault="001D5C04" w:rsidP="001D5C04">
      <w:pPr>
        <w:keepNext/>
        <w:spacing w:before="240" w:after="200" w:line="240" w:lineRule="auto"/>
        <w:ind w:left="567" w:right="276" w:firstLine="0"/>
        <w:jc w:val="center"/>
        <w:rPr>
          <w:rFonts w:eastAsia="Calibri" w:cs="Times New Roman"/>
          <w:iCs/>
          <w:color w:val="595959"/>
          <w:sz w:val="22"/>
          <w:lang w:val="pt-BR" w:eastAsia="pt-BR"/>
        </w:rPr>
      </w:pPr>
      <w:bookmarkStart w:id="3" w:name="_Toc131949599"/>
      <w:r w:rsidRPr="00F85DF4">
        <w:rPr>
          <w:rFonts w:eastAsia="Calibri" w:cs="Times New Roman"/>
          <w:iCs/>
          <w:color w:val="595959"/>
          <w:sz w:val="22"/>
          <w:lang w:val="pt-BR" w:eastAsia="pt-BR"/>
        </w:rPr>
        <w:t xml:space="preserve">Figura </w:t>
      </w:r>
      <w:r w:rsidRPr="00F85DF4">
        <w:rPr>
          <w:rFonts w:eastAsia="Calibri" w:cs="Times New Roman"/>
          <w:iCs/>
          <w:color w:val="595959"/>
          <w:sz w:val="22"/>
          <w:lang w:val="pt-BR" w:eastAsia="pt-BR"/>
        </w:rPr>
        <w:fldChar w:fldCharType="begin"/>
      </w:r>
      <w:r w:rsidRPr="00F85DF4">
        <w:rPr>
          <w:rFonts w:eastAsia="Calibri" w:cs="Times New Roman"/>
          <w:iCs/>
          <w:color w:val="595959"/>
          <w:sz w:val="22"/>
          <w:lang w:val="pt-BR" w:eastAsia="pt-BR"/>
        </w:rPr>
        <w:instrText xml:space="preserve"> SEQ Figura \* ARABIC </w:instrText>
      </w:r>
      <w:r w:rsidRPr="00F85DF4">
        <w:rPr>
          <w:rFonts w:eastAsia="Calibri" w:cs="Times New Roman"/>
          <w:iCs/>
          <w:color w:val="595959"/>
          <w:sz w:val="22"/>
          <w:lang w:val="pt-BR" w:eastAsia="pt-BR"/>
        </w:rPr>
        <w:fldChar w:fldCharType="separate"/>
      </w:r>
      <w:r>
        <w:rPr>
          <w:rFonts w:eastAsia="Calibri" w:cs="Times New Roman"/>
          <w:iCs/>
          <w:noProof/>
          <w:color w:val="595959"/>
          <w:sz w:val="22"/>
          <w:lang w:val="pt-BR" w:eastAsia="pt-BR"/>
        </w:rPr>
        <w:t>2</w:t>
      </w:r>
      <w:r w:rsidRPr="00F85DF4">
        <w:rPr>
          <w:rFonts w:eastAsia="Calibri" w:cs="Times New Roman"/>
          <w:iCs/>
          <w:color w:val="595959"/>
          <w:sz w:val="22"/>
          <w:lang w:val="pt-BR" w:eastAsia="pt-BR"/>
        </w:rPr>
        <w:fldChar w:fldCharType="end"/>
      </w:r>
      <w:r w:rsidRPr="00F85DF4">
        <w:rPr>
          <w:rFonts w:eastAsia="Calibri" w:cs="Times New Roman"/>
          <w:iCs/>
          <w:color w:val="595959"/>
          <w:sz w:val="22"/>
          <w:lang w:val="pt-BR" w:eastAsia="pt-BR"/>
        </w:rPr>
        <w:t xml:space="preserve"> – Telas com Recursos de Acessibilidade em Celeste.</w:t>
      </w:r>
      <w:bookmarkEnd w:id="3"/>
    </w:p>
    <w:p w:rsidR="001D5C04" w:rsidRPr="00F85DF4" w:rsidRDefault="001D5C04" w:rsidP="001D5C04">
      <w:pPr>
        <w:spacing w:after="300"/>
        <w:ind w:firstLine="0"/>
        <w:jc w:val="center"/>
        <w:rPr>
          <w:rFonts w:eastAsia="Calibri" w:cs="Times New Roman"/>
          <w:i/>
          <w:color w:val="595959"/>
          <w:sz w:val="20"/>
          <w:szCs w:val="20"/>
          <w:lang w:val="pt-BR" w:eastAsia="pt-BR"/>
        </w:rPr>
      </w:pPr>
      <w:r w:rsidRPr="00F85DF4">
        <w:rPr>
          <w:rFonts w:eastAsia="Calibri" w:cs="Times New Roman"/>
          <w:noProof/>
          <w:szCs w:val="24"/>
          <w:lang w:val="pt-BR" w:eastAsia="pt-BR"/>
        </w:rPr>
        <w:drawing>
          <wp:inline distT="0" distB="0" distL="0" distR="0" wp14:anchorId="45168FAA" wp14:editId="0D925177">
            <wp:extent cx="5842805" cy="3286578"/>
            <wp:effectExtent l="0" t="0" r="571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TV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42805" cy="3286578"/>
                    </a:xfrm>
                    <a:prstGeom prst="rect">
                      <a:avLst/>
                    </a:prstGeom>
                  </pic:spPr>
                </pic:pic>
              </a:graphicData>
            </a:graphic>
          </wp:inline>
        </w:drawing>
      </w:r>
      <w:r w:rsidRPr="00A3482C">
        <w:rPr>
          <w:rFonts w:eastAsia="Calibri" w:cs="Times New Roman"/>
          <w:i/>
          <w:color w:val="595959"/>
          <w:sz w:val="10"/>
          <w:szCs w:val="10"/>
          <w:lang w:val="pt-BR" w:eastAsia="pt-BR"/>
        </w:rPr>
        <w:t xml:space="preserve"> </w:t>
      </w:r>
      <w:r w:rsidRPr="00A3482C">
        <w:rPr>
          <w:rFonts w:eastAsia="Calibri" w:cs="Times New Roman"/>
          <w:i/>
          <w:color w:val="595959"/>
          <w:sz w:val="10"/>
          <w:szCs w:val="10"/>
          <w:lang w:val="pt-BR" w:eastAsia="pt-BR"/>
        </w:rPr>
        <w:br/>
      </w:r>
      <w:r w:rsidRPr="00F85DF4">
        <w:rPr>
          <w:rFonts w:eastAsia="Calibri" w:cs="Times New Roman"/>
          <w:i/>
          <w:color w:val="595959"/>
          <w:sz w:val="20"/>
          <w:szCs w:val="20"/>
          <w:lang w:val="pt-BR" w:eastAsia="pt-BR"/>
        </w:rPr>
        <w:t xml:space="preserve">Fonte: </w:t>
      </w:r>
      <w:r>
        <w:rPr>
          <w:rFonts w:eastAsia="Calibri" w:cs="Times New Roman"/>
          <w:i/>
          <w:color w:val="595959"/>
          <w:sz w:val="20"/>
          <w:szCs w:val="20"/>
          <w:lang w:val="pt-BR" w:eastAsia="pt-BR"/>
        </w:rPr>
        <w:t xml:space="preserve">Matt </w:t>
      </w:r>
      <w:proofErr w:type="spellStart"/>
      <w:r>
        <w:rPr>
          <w:rFonts w:eastAsia="Calibri" w:cs="Times New Roman"/>
          <w:i/>
          <w:color w:val="595959"/>
          <w:sz w:val="20"/>
          <w:szCs w:val="20"/>
          <w:lang w:val="pt-BR" w:eastAsia="pt-BR"/>
        </w:rPr>
        <w:t>Makes</w:t>
      </w:r>
      <w:proofErr w:type="spellEnd"/>
      <w:r>
        <w:rPr>
          <w:rFonts w:eastAsia="Calibri" w:cs="Times New Roman"/>
          <w:i/>
          <w:color w:val="595959"/>
          <w:sz w:val="20"/>
          <w:szCs w:val="20"/>
          <w:lang w:val="pt-BR" w:eastAsia="pt-BR"/>
        </w:rPr>
        <w:t xml:space="preserve"> Games</w:t>
      </w:r>
      <w:r w:rsidRPr="00F85DF4">
        <w:rPr>
          <w:rFonts w:eastAsia="Calibri" w:cs="Times New Roman"/>
          <w:i/>
          <w:color w:val="595959"/>
          <w:sz w:val="20"/>
          <w:szCs w:val="20"/>
          <w:lang w:val="pt-BR" w:eastAsia="pt-BR"/>
        </w:rPr>
        <w:t xml:space="preserve"> (2018)</w:t>
      </w:r>
    </w:p>
    <w:p w:rsidR="00BE04D0" w:rsidRPr="00BE04D0" w:rsidRDefault="00BE04D0" w:rsidP="00BE04D0">
      <w:pPr>
        <w:jc w:val="both"/>
        <w:rPr>
          <w:lang w:val="pt-BR"/>
        </w:rPr>
      </w:pPr>
      <w:r w:rsidRPr="00BE04D0">
        <w:rPr>
          <w:lang w:val="pt-BR"/>
        </w:rPr>
        <w:t>Para fins de apresentação e referência, as heurísticas disponíveis em seu formato original não apresentam uma sequência numérica que permita citações diretas. Por esse motivo, para a organização deste documento, adotou-se a ordenação das subcategorias conforme a sequência apresentada no site da GAG, a saber: (i) motor; (</w:t>
      </w:r>
      <w:proofErr w:type="spellStart"/>
      <w:r w:rsidRPr="00BE04D0">
        <w:rPr>
          <w:lang w:val="pt-BR"/>
        </w:rPr>
        <w:t>ii</w:t>
      </w:r>
      <w:proofErr w:type="spellEnd"/>
      <w:r w:rsidRPr="00BE04D0">
        <w:rPr>
          <w:lang w:val="pt-BR"/>
        </w:rPr>
        <w:t>) cognitivo; (</w:t>
      </w:r>
      <w:proofErr w:type="spellStart"/>
      <w:r w:rsidRPr="00BE04D0">
        <w:rPr>
          <w:lang w:val="pt-BR"/>
        </w:rPr>
        <w:t>iii</w:t>
      </w:r>
      <w:proofErr w:type="spellEnd"/>
      <w:r w:rsidRPr="00BE04D0">
        <w:rPr>
          <w:lang w:val="pt-BR"/>
        </w:rPr>
        <w:t>) visão; (</w:t>
      </w:r>
      <w:proofErr w:type="spellStart"/>
      <w:r w:rsidRPr="00BE04D0">
        <w:rPr>
          <w:lang w:val="pt-BR"/>
        </w:rPr>
        <w:t>iv</w:t>
      </w:r>
      <w:proofErr w:type="spellEnd"/>
      <w:r w:rsidRPr="00BE04D0">
        <w:rPr>
          <w:lang w:val="pt-BR"/>
        </w:rPr>
        <w:t>) auditivo; (v) fala; e (vi) geral. Optou-se por inverter a classificação original, que utiliza como categorias o nível de complexidade das heurísticas, com o objetivo de facilitar a referência em relação à</w:t>
      </w:r>
      <w:r w:rsidR="00E56DAC">
        <w:rPr>
          <w:lang w:val="pt-BR"/>
        </w:rPr>
        <w:t>s deficiências correspondentes.</w:t>
      </w:r>
    </w:p>
    <w:p w:rsidR="00BE04D0" w:rsidRDefault="00BE04D0" w:rsidP="00BE04D0">
      <w:pPr>
        <w:jc w:val="both"/>
        <w:rPr>
          <w:lang w:val="pt-BR"/>
        </w:rPr>
      </w:pPr>
      <w:r w:rsidRPr="00BE04D0">
        <w:rPr>
          <w:lang w:val="pt-BR"/>
        </w:rPr>
        <w:t xml:space="preserve">A seguir, apresenta-se a síntese de cada subcategoria, indicando as heurísticas (H.) e o número de vezes em que foram adotadas (n.), seguidas de conclusões e inferências a partir desses dados. A Tabela 1 exibe os dados referentes à subcategoria (i) motor. Nesta, as </w:t>
      </w:r>
      <w:r w:rsidRPr="00BE04D0">
        <w:rPr>
          <w:lang w:val="pt-BR"/>
        </w:rPr>
        <w:lastRenderedPageBreak/>
        <w:t>heurísticas mais atendidas foram a 1.2 (9 vezes) e a 1.1 (8 vezes), enquanto várias heurísticas, como 1.5, 1.7 e 1.19, não foram atendidas em nenhum dos produtos avaliados.</w:t>
      </w:r>
    </w:p>
    <w:p w:rsidR="000F44DE" w:rsidRPr="000F44DE" w:rsidRDefault="000F44DE" w:rsidP="000F44DE">
      <w:pPr>
        <w:spacing w:after="200" w:line="240" w:lineRule="auto"/>
        <w:ind w:firstLine="0"/>
        <w:rPr>
          <w:rFonts w:eastAsia="Calibri" w:cs="Times New Roman"/>
          <w:iCs/>
          <w:color w:val="595959"/>
          <w:sz w:val="22"/>
          <w:lang w:val="pt-BR" w:eastAsia="pt-BR"/>
        </w:rPr>
      </w:pPr>
      <w:bookmarkStart w:id="4" w:name="_Toc131792571"/>
      <w:r w:rsidRPr="000F44DE">
        <w:rPr>
          <w:rFonts w:eastAsia="Calibri" w:cs="Times New Roman"/>
          <w:iCs/>
          <w:color w:val="595959"/>
          <w:sz w:val="22"/>
          <w:lang w:val="pt-BR" w:eastAsia="pt-BR"/>
        </w:rPr>
        <w:t xml:space="preserve">Tabela </w:t>
      </w:r>
      <w:r w:rsidRPr="000F44DE">
        <w:rPr>
          <w:rFonts w:eastAsia="Calibri" w:cs="Times New Roman"/>
          <w:iCs/>
          <w:color w:val="595959"/>
          <w:sz w:val="22"/>
          <w:lang w:val="pt-BR" w:eastAsia="pt-BR"/>
        </w:rPr>
        <w:fldChar w:fldCharType="begin"/>
      </w:r>
      <w:r w:rsidRPr="000F44DE">
        <w:rPr>
          <w:rFonts w:eastAsia="Calibri" w:cs="Times New Roman"/>
          <w:iCs/>
          <w:color w:val="595959"/>
          <w:sz w:val="22"/>
          <w:lang w:val="pt-BR" w:eastAsia="pt-BR"/>
        </w:rPr>
        <w:instrText xml:space="preserve"> SEQ Tabela \* ARABIC </w:instrText>
      </w:r>
      <w:r w:rsidRPr="000F44DE">
        <w:rPr>
          <w:rFonts w:eastAsia="Calibri" w:cs="Times New Roman"/>
          <w:iCs/>
          <w:color w:val="595959"/>
          <w:sz w:val="22"/>
          <w:lang w:val="pt-BR" w:eastAsia="pt-BR"/>
        </w:rPr>
        <w:fldChar w:fldCharType="separate"/>
      </w:r>
      <w:r w:rsidR="00FA6444">
        <w:rPr>
          <w:rFonts w:eastAsia="Calibri" w:cs="Times New Roman"/>
          <w:iCs/>
          <w:noProof/>
          <w:color w:val="595959"/>
          <w:sz w:val="22"/>
          <w:lang w:val="pt-BR" w:eastAsia="pt-BR"/>
        </w:rPr>
        <w:t>1</w:t>
      </w:r>
      <w:r w:rsidRPr="000F44DE">
        <w:rPr>
          <w:rFonts w:eastAsia="Calibri" w:cs="Times New Roman"/>
          <w:iCs/>
          <w:color w:val="595959"/>
          <w:sz w:val="22"/>
          <w:lang w:val="pt-BR" w:eastAsia="pt-BR"/>
        </w:rPr>
        <w:fldChar w:fldCharType="end"/>
      </w:r>
      <w:r w:rsidRPr="000F44DE">
        <w:rPr>
          <w:rFonts w:eastAsia="Calibri" w:cs="Times New Roman"/>
          <w:iCs/>
          <w:color w:val="595959"/>
          <w:sz w:val="22"/>
          <w:lang w:val="pt-BR" w:eastAsia="pt-BR"/>
        </w:rPr>
        <w:t xml:space="preserve"> – Dados da Subcategoria (i) Motor</w:t>
      </w:r>
      <w:bookmarkEnd w:id="4"/>
    </w:p>
    <w:tbl>
      <w:tblPr>
        <w:tblW w:w="9000" w:type="dxa"/>
        <w:tblBorders>
          <w:top w:val="single" w:sz="2" w:space="0" w:color="7F7F7F"/>
          <w:bottom w:val="single" w:sz="2" w:space="0" w:color="7F7F7F"/>
          <w:insideH w:val="single" w:sz="2" w:space="0" w:color="7F7F7F"/>
          <w:insideV w:val="single" w:sz="2" w:space="0" w:color="7F7F7F"/>
        </w:tblBorders>
        <w:tblLayout w:type="fixed"/>
        <w:tblLook w:val="0600" w:firstRow="0" w:lastRow="0" w:firstColumn="0" w:lastColumn="0" w:noHBand="1" w:noVBand="1"/>
      </w:tblPr>
      <w:tblGrid>
        <w:gridCol w:w="900"/>
        <w:gridCol w:w="900"/>
        <w:gridCol w:w="900"/>
        <w:gridCol w:w="900"/>
        <w:gridCol w:w="900"/>
        <w:gridCol w:w="900"/>
        <w:gridCol w:w="900"/>
        <w:gridCol w:w="900"/>
        <w:gridCol w:w="900"/>
        <w:gridCol w:w="900"/>
      </w:tblGrid>
      <w:tr w:rsidR="000F44DE" w:rsidRPr="000F44DE" w:rsidTr="000F44DE">
        <w:tc>
          <w:tcPr>
            <w:tcW w:w="900"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0"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0"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0"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0"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0"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0"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0"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0"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0"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r>
      <w:tr w:rsidR="000F44DE" w:rsidRPr="000F44DE" w:rsidTr="000F44DE">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1.1</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8</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1.5</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1.9</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1.13</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5</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1.17</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2</w:t>
            </w:r>
          </w:p>
        </w:tc>
      </w:tr>
      <w:tr w:rsidR="000F44DE" w:rsidRPr="000F44DE" w:rsidTr="000F44DE">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1.2</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9</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1.6</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2</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1.10</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3</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1.14</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1.18</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r>
      <w:tr w:rsidR="000F44DE" w:rsidRPr="000F44DE" w:rsidTr="000F44DE">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1.3</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7</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1.7</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1.11</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1.15</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1.19</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r>
      <w:tr w:rsidR="000F44DE" w:rsidRPr="000F44DE" w:rsidTr="000F44DE">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1.4</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3</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1.8</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1.12</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3</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1.16</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w:t>
            </w:r>
          </w:p>
        </w:tc>
        <w:tc>
          <w:tcPr>
            <w:tcW w:w="900"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w:t>
            </w:r>
          </w:p>
        </w:tc>
      </w:tr>
    </w:tbl>
    <w:p w:rsidR="000F44DE" w:rsidRPr="000F44DE" w:rsidRDefault="000F44DE" w:rsidP="000F44DE">
      <w:pPr>
        <w:spacing w:before="140" w:after="300"/>
        <w:ind w:firstLine="0"/>
        <w:rPr>
          <w:rFonts w:eastAsia="Calibri" w:cs="Times New Roman"/>
          <w:i/>
          <w:color w:val="595959"/>
          <w:sz w:val="20"/>
          <w:szCs w:val="20"/>
          <w:lang w:val="pt-BR" w:eastAsia="pt-BR"/>
        </w:rPr>
      </w:pPr>
      <w:r w:rsidRPr="000F44DE">
        <w:rPr>
          <w:rFonts w:eastAsia="Calibri" w:cs="Times New Roman"/>
          <w:i/>
          <w:color w:val="595959"/>
          <w:sz w:val="20"/>
          <w:szCs w:val="20"/>
          <w:lang w:val="pt-BR" w:eastAsia="pt-BR"/>
        </w:rPr>
        <w:t>Fonte: Elaborada pelo Autor (2021)</w:t>
      </w:r>
    </w:p>
    <w:p w:rsidR="000F44DE" w:rsidRDefault="002C7B1D" w:rsidP="002C7B1D">
      <w:pPr>
        <w:jc w:val="both"/>
        <w:rPr>
          <w:lang w:val="pt-BR"/>
        </w:rPr>
      </w:pPr>
      <w:r w:rsidRPr="002C7B1D">
        <w:rPr>
          <w:lang w:val="pt-BR"/>
        </w:rPr>
        <w:t xml:space="preserve">A heurística 1.2, que trata do uso do mesmo dispositivo de entrada para jogabilidade e interface, foi amplamente adotada; no entanto, nenhum dos produtos avaliados apresentou esquemas de controles simplificados compatíveis com tecnologias </w:t>
      </w:r>
      <w:proofErr w:type="spellStart"/>
      <w:r w:rsidRPr="002C7B1D">
        <w:rPr>
          <w:lang w:val="pt-BR"/>
        </w:rPr>
        <w:t>assistivas</w:t>
      </w:r>
      <w:proofErr w:type="spellEnd"/>
      <w:r w:rsidRPr="002C7B1D">
        <w:rPr>
          <w:lang w:val="pt-BR"/>
        </w:rPr>
        <w:t xml:space="preserve">, conforme a heurística 1.19. Os dados </w:t>
      </w:r>
      <w:r w:rsidR="00AF37CC">
        <w:rPr>
          <w:lang w:val="pt-BR"/>
        </w:rPr>
        <w:t>da</w:t>
      </w:r>
      <w:r w:rsidRPr="002C7B1D">
        <w:rPr>
          <w:lang w:val="pt-BR"/>
        </w:rPr>
        <w:t xml:space="preserve"> subcategoria (</w:t>
      </w:r>
      <w:proofErr w:type="spellStart"/>
      <w:r w:rsidRPr="002C7B1D">
        <w:rPr>
          <w:lang w:val="pt-BR"/>
        </w:rPr>
        <w:t>ii</w:t>
      </w:r>
      <w:proofErr w:type="spellEnd"/>
      <w:r w:rsidRPr="002C7B1D">
        <w:rPr>
          <w:lang w:val="pt-BR"/>
        </w:rPr>
        <w:t>) cognitivo</w:t>
      </w:r>
      <w:r w:rsidR="000F44DE">
        <w:rPr>
          <w:lang w:val="pt-BR"/>
        </w:rPr>
        <w:t xml:space="preserve"> estão condensados na Tabela 2.</w:t>
      </w:r>
    </w:p>
    <w:p w:rsidR="000F44DE" w:rsidRPr="000F44DE" w:rsidRDefault="000F44DE" w:rsidP="000F44DE">
      <w:pPr>
        <w:spacing w:after="200" w:line="240" w:lineRule="auto"/>
        <w:ind w:firstLine="0"/>
        <w:rPr>
          <w:rFonts w:eastAsia="Calibri" w:cs="Times New Roman"/>
          <w:iCs/>
          <w:color w:val="595959"/>
          <w:sz w:val="22"/>
          <w:lang w:val="pt-BR" w:eastAsia="pt-BR"/>
        </w:rPr>
      </w:pPr>
      <w:bookmarkStart w:id="5" w:name="_Toc131792572"/>
      <w:r w:rsidRPr="000F44DE">
        <w:rPr>
          <w:rFonts w:eastAsia="Calibri" w:cs="Times New Roman"/>
          <w:iCs/>
          <w:color w:val="595959"/>
          <w:sz w:val="22"/>
          <w:lang w:val="pt-BR" w:eastAsia="pt-BR"/>
        </w:rPr>
        <w:t xml:space="preserve">Tabela </w:t>
      </w:r>
      <w:r w:rsidRPr="000F44DE">
        <w:rPr>
          <w:rFonts w:eastAsia="Calibri" w:cs="Times New Roman"/>
          <w:iCs/>
          <w:color w:val="595959"/>
          <w:sz w:val="22"/>
          <w:lang w:val="pt-BR" w:eastAsia="pt-BR"/>
        </w:rPr>
        <w:fldChar w:fldCharType="begin"/>
      </w:r>
      <w:r w:rsidRPr="000F44DE">
        <w:rPr>
          <w:rFonts w:eastAsia="Calibri" w:cs="Times New Roman"/>
          <w:iCs/>
          <w:color w:val="595959"/>
          <w:sz w:val="22"/>
          <w:lang w:val="pt-BR" w:eastAsia="pt-BR"/>
        </w:rPr>
        <w:instrText xml:space="preserve"> SEQ Tabela \* ARABIC </w:instrText>
      </w:r>
      <w:r w:rsidRPr="000F44DE">
        <w:rPr>
          <w:rFonts w:eastAsia="Calibri" w:cs="Times New Roman"/>
          <w:iCs/>
          <w:color w:val="595959"/>
          <w:sz w:val="22"/>
          <w:lang w:val="pt-BR" w:eastAsia="pt-BR"/>
        </w:rPr>
        <w:fldChar w:fldCharType="separate"/>
      </w:r>
      <w:r w:rsidRPr="000F44DE">
        <w:rPr>
          <w:rFonts w:eastAsia="Calibri" w:cs="Times New Roman"/>
          <w:iCs/>
          <w:noProof/>
          <w:color w:val="595959"/>
          <w:sz w:val="22"/>
          <w:lang w:val="pt-BR" w:eastAsia="pt-BR"/>
        </w:rPr>
        <w:t>2</w:t>
      </w:r>
      <w:r w:rsidRPr="000F44DE">
        <w:rPr>
          <w:rFonts w:eastAsia="Calibri" w:cs="Times New Roman"/>
          <w:iCs/>
          <w:color w:val="595959"/>
          <w:sz w:val="22"/>
          <w:lang w:val="pt-BR" w:eastAsia="pt-BR"/>
        </w:rPr>
        <w:fldChar w:fldCharType="end"/>
      </w:r>
      <w:r w:rsidRPr="000F44DE">
        <w:rPr>
          <w:rFonts w:eastAsia="Calibri" w:cs="Times New Roman"/>
          <w:iCs/>
          <w:color w:val="595959"/>
          <w:sz w:val="22"/>
          <w:lang w:val="pt-BR" w:eastAsia="pt-BR"/>
        </w:rPr>
        <w:t xml:space="preserve"> – Dados da Subcategoria (</w:t>
      </w:r>
      <w:proofErr w:type="spellStart"/>
      <w:r w:rsidRPr="000F44DE">
        <w:rPr>
          <w:rFonts w:eastAsia="Calibri" w:cs="Times New Roman"/>
          <w:iCs/>
          <w:color w:val="595959"/>
          <w:sz w:val="22"/>
          <w:lang w:val="pt-BR" w:eastAsia="pt-BR"/>
        </w:rPr>
        <w:t>ii</w:t>
      </w:r>
      <w:proofErr w:type="spellEnd"/>
      <w:r w:rsidRPr="000F44DE">
        <w:rPr>
          <w:rFonts w:eastAsia="Calibri" w:cs="Times New Roman"/>
          <w:iCs/>
          <w:color w:val="595959"/>
          <w:sz w:val="22"/>
          <w:lang w:val="pt-BR" w:eastAsia="pt-BR"/>
        </w:rPr>
        <w:t>) Cognitivo</w:t>
      </w:r>
      <w:bookmarkEnd w:id="5"/>
    </w:p>
    <w:tbl>
      <w:tblPr>
        <w:tblW w:w="9025" w:type="dxa"/>
        <w:tblBorders>
          <w:top w:val="single" w:sz="2" w:space="0" w:color="7F7F7F"/>
          <w:bottom w:val="single" w:sz="2" w:space="0" w:color="7F7F7F"/>
          <w:insideH w:val="single" w:sz="2" w:space="0" w:color="7F7F7F"/>
          <w:insideV w:val="single" w:sz="2" w:space="0" w:color="7F7F7F"/>
        </w:tblBorders>
        <w:tblLayout w:type="fixed"/>
        <w:tblLook w:val="0600" w:firstRow="0" w:lastRow="0" w:firstColumn="0" w:lastColumn="0" w:noHBand="1" w:noVBand="1"/>
      </w:tblPr>
      <w:tblGrid>
        <w:gridCol w:w="902"/>
        <w:gridCol w:w="902"/>
        <w:gridCol w:w="902"/>
        <w:gridCol w:w="902"/>
        <w:gridCol w:w="902"/>
        <w:gridCol w:w="903"/>
        <w:gridCol w:w="903"/>
        <w:gridCol w:w="903"/>
        <w:gridCol w:w="903"/>
        <w:gridCol w:w="903"/>
      </w:tblGrid>
      <w:tr w:rsidR="000F44DE" w:rsidRPr="000F44DE" w:rsidTr="000F44DE">
        <w:tc>
          <w:tcPr>
            <w:tcW w:w="902"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2"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2"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2"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2"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3"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3"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3"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3"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3" w:type="dxa"/>
            <w:shd w:val="clear" w:color="auto" w:fill="F2F2F2" w:themeFill="background1" w:themeFillShade="F2"/>
            <w:tcMar>
              <w:top w:w="100" w:type="dxa"/>
              <w:left w:w="100" w:type="dxa"/>
              <w:bottom w:w="100" w:type="dxa"/>
              <w:right w:w="100" w:type="dxa"/>
            </w:tcMar>
          </w:tcPr>
          <w:p w:rsidR="000F44DE" w:rsidRPr="0055118D" w:rsidRDefault="000F44DE" w:rsidP="000F44D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r>
      <w:tr w:rsidR="000F44DE" w:rsidRPr="000F44DE" w:rsidTr="000F44DE">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2.1</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10</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2.7</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7</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2.13</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2</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2.19</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2.25</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r>
      <w:tr w:rsidR="000F44DE" w:rsidRPr="000F44DE" w:rsidTr="000F44DE">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2.2</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10</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2.8</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9</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2.14</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2.20</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4</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2.26</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r>
      <w:tr w:rsidR="000F44DE" w:rsidRPr="000F44DE" w:rsidTr="000F44DE">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2.3</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10</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2.9</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8</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2.15</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2.21</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2.27</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r>
      <w:tr w:rsidR="000F44DE" w:rsidRPr="000F44DE" w:rsidTr="000F44DE">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2.4</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6</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2.10</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2</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2.16</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3</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2.22</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w:t>
            </w:r>
          </w:p>
        </w:tc>
      </w:tr>
      <w:tr w:rsidR="000F44DE" w:rsidRPr="000F44DE" w:rsidTr="000F44DE">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2.5</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2.11</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2.17</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8</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2.23</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w:t>
            </w:r>
          </w:p>
        </w:tc>
      </w:tr>
      <w:tr w:rsidR="000F44DE" w:rsidRPr="000F44DE" w:rsidTr="000F44DE">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2.6</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6</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2.12</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7</w:t>
            </w:r>
          </w:p>
        </w:tc>
        <w:tc>
          <w:tcPr>
            <w:tcW w:w="902"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2.18</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7</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2.24</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w:t>
            </w:r>
          </w:p>
        </w:tc>
        <w:tc>
          <w:tcPr>
            <w:tcW w:w="903" w:type="dxa"/>
            <w:shd w:val="clear" w:color="auto" w:fill="auto"/>
            <w:tcMar>
              <w:top w:w="100" w:type="dxa"/>
              <w:left w:w="100" w:type="dxa"/>
              <w:bottom w:w="100" w:type="dxa"/>
              <w:right w:w="100" w:type="dxa"/>
            </w:tcMar>
          </w:tcPr>
          <w:p w:rsidR="000F44DE" w:rsidRPr="0055118D" w:rsidRDefault="000F44DE" w:rsidP="000F44D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w:t>
            </w:r>
          </w:p>
        </w:tc>
      </w:tr>
    </w:tbl>
    <w:p w:rsidR="000F44DE" w:rsidRPr="000F44DE" w:rsidRDefault="000F44DE" w:rsidP="000F44DE">
      <w:pPr>
        <w:spacing w:before="140" w:after="300"/>
        <w:ind w:firstLine="0"/>
        <w:rPr>
          <w:rFonts w:eastAsia="Calibri" w:cs="Times New Roman"/>
          <w:i/>
          <w:color w:val="595959"/>
          <w:sz w:val="20"/>
          <w:szCs w:val="20"/>
          <w:lang w:val="pt-BR" w:eastAsia="pt-BR"/>
        </w:rPr>
      </w:pPr>
      <w:r w:rsidRPr="000F44DE">
        <w:rPr>
          <w:rFonts w:eastAsia="Calibri" w:cs="Times New Roman"/>
          <w:i/>
          <w:color w:val="595959"/>
          <w:sz w:val="20"/>
          <w:szCs w:val="20"/>
          <w:lang w:val="pt-BR" w:eastAsia="pt-BR"/>
        </w:rPr>
        <w:t>Fonte: Elaborada pelo Autor (2021)</w:t>
      </w:r>
    </w:p>
    <w:p w:rsidR="002C7B1D" w:rsidRPr="002C7B1D" w:rsidRDefault="002C7B1D" w:rsidP="002C7B1D">
      <w:pPr>
        <w:jc w:val="both"/>
        <w:rPr>
          <w:lang w:val="pt-BR"/>
        </w:rPr>
      </w:pPr>
      <w:r w:rsidRPr="002C7B1D">
        <w:rPr>
          <w:lang w:val="pt-BR"/>
        </w:rPr>
        <w:t>As heurísticas mais atendidas nessa categoria foram 2.1, 2.2 e 2.3, cada uma com 10 ocorrências, enquanto várias outras, como 2.5, 2.14 e 2.21, não foram detectadas em nenhum dos jogos analisados. Destacam-se a utilização de linguagem simples e clara (2.2) e a formatação simples de texto (2.3), que favorecem o acesso ao conteúdo textual e visual, reduzindo a carga cognitiva—práticas comuns no design de interfaces para jogos digitais. Em contrapartida, a possibilidade de repetição de instruções e eventos narrativos (2.25) não foi implementada, recurso que poderia facilitar a compreensão dos usuários.</w:t>
      </w:r>
    </w:p>
    <w:p w:rsidR="002C7B1D" w:rsidRPr="002C7B1D" w:rsidRDefault="002C7B1D" w:rsidP="002C7B1D">
      <w:pPr>
        <w:jc w:val="both"/>
        <w:rPr>
          <w:lang w:val="pt-BR"/>
        </w:rPr>
      </w:pPr>
      <w:r w:rsidRPr="002C7B1D">
        <w:rPr>
          <w:lang w:val="pt-BR"/>
        </w:rPr>
        <w:t>A Tabela 3 sintetiza os dados da subcategoria (</w:t>
      </w:r>
      <w:proofErr w:type="spellStart"/>
      <w:r w:rsidRPr="002C7B1D">
        <w:rPr>
          <w:lang w:val="pt-BR"/>
        </w:rPr>
        <w:t>iii</w:t>
      </w:r>
      <w:proofErr w:type="spellEnd"/>
      <w:r w:rsidRPr="002C7B1D">
        <w:rPr>
          <w:lang w:val="pt-BR"/>
        </w:rPr>
        <w:t xml:space="preserve">) visão, onde as heurísticas 3.4 e 3.13 foram as mais atendidas, com 8 e 6 ocorrências, respectivamente. Contudo, várias </w:t>
      </w:r>
      <w:r w:rsidRPr="002C7B1D">
        <w:rPr>
          <w:lang w:val="pt-BR"/>
        </w:rPr>
        <w:lastRenderedPageBreak/>
        <w:t>heurísticas (e.g., 3.2, 3.3 e 3.22) não foram observadas em nenhum produto. Especialmente relevante é a ausência de suporte a leitores de tela (3.25) e a áudio-descrição (3.29).</w:t>
      </w:r>
    </w:p>
    <w:p w:rsidR="00735C3E" w:rsidRPr="00735C3E" w:rsidRDefault="00735C3E" w:rsidP="00735C3E">
      <w:pPr>
        <w:spacing w:after="200" w:line="240" w:lineRule="auto"/>
        <w:ind w:firstLine="0"/>
        <w:rPr>
          <w:rFonts w:eastAsia="Calibri" w:cs="Times New Roman"/>
          <w:iCs/>
          <w:color w:val="595959"/>
          <w:sz w:val="22"/>
          <w:lang w:val="pt-BR" w:eastAsia="pt-BR"/>
        </w:rPr>
      </w:pPr>
      <w:bookmarkStart w:id="6" w:name="_Toc131792573"/>
      <w:r w:rsidRPr="00735C3E">
        <w:rPr>
          <w:rFonts w:eastAsia="Calibri" w:cs="Times New Roman"/>
          <w:iCs/>
          <w:color w:val="595959"/>
          <w:sz w:val="22"/>
          <w:lang w:val="pt-BR" w:eastAsia="pt-BR"/>
        </w:rPr>
        <w:t xml:space="preserve">Tabela </w:t>
      </w:r>
      <w:r w:rsidRPr="00735C3E">
        <w:rPr>
          <w:rFonts w:eastAsia="Calibri" w:cs="Times New Roman"/>
          <w:iCs/>
          <w:color w:val="595959"/>
          <w:sz w:val="22"/>
          <w:lang w:val="pt-BR" w:eastAsia="pt-BR"/>
        </w:rPr>
        <w:fldChar w:fldCharType="begin"/>
      </w:r>
      <w:r w:rsidRPr="00735C3E">
        <w:rPr>
          <w:rFonts w:eastAsia="Calibri" w:cs="Times New Roman"/>
          <w:iCs/>
          <w:color w:val="595959"/>
          <w:sz w:val="22"/>
          <w:lang w:val="pt-BR" w:eastAsia="pt-BR"/>
        </w:rPr>
        <w:instrText xml:space="preserve"> SEQ Tabela \* ARABIC </w:instrText>
      </w:r>
      <w:r w:rsidRPr="00735C3E">
        <w:rPr>
          <w:rFonts w:eastAsia="Calibri" w:cs="Times New Roman"/>
          <w:iCs/>
          <w:color w:val="595959"/>
          <w:sz w:val="22"/>
          <w:lang w:val="pt-BR" w:eastAsia="pt-BR"/>
        </w:rPr>
        <w:fldChar w:fldCharType="separate"/>
      </w:r>
      <w:r w:rsidR="00FA6444">
        <w:rPr>
          <w:rFonts w:eastAsia="Calibri" w:cs="Times New Roman"/>
          <w:iCs/>
          <w:noProof/>
          <w:color w:val="595959"/>
          <w:sz w:val="22"/>
          <w:lang w:val="pt-BR" w:eastAsia="pt-BR"/>
        </w:rPr>
        <w:t>3</w:t>
      </w:r>
      <w:r w:rsidRPr="00735C3E">
        <w:rPr>
          <w:rFonts w:eastAsia="Calibri" w:cs="Times New Roman"/>
          <w:iCs/>
          <w:color w:val="595959"/>
          <w:sz w:val="22"/>
          <w:lang w:val="pt-BR" w:eastAsia="pt-BR"/>
        </w:rPr>
        <w:fldChar w:fldCharType="end"/>
      </w:r>
      <w:r w:rsidRPr="00735C3E">
        <w:rPr>
          <w:rFonts w:eastAsia="Calibri" w:cs="Times New Roman"/>
          <w:iCs/>
          <w:color w:val="595959"/>
          <w:sz w:val="22"/>
          <w:lang w:val="pt-BR" w:eastAsia="pt-BR"/>
        </w:rPr>
        <w:t xml:space="preserve"> – Dados da Subcategoria (</w:t>
      </w:r>
      <w:proofErr w:type="spellStart"/>
      <w:r w:rsidRPr="00735C3E">
        <w:rPr>
          <w:rFonts w:eastAsia="Calibri" w:cs="Times New Roman"/>
          <w:iCs/>
          <w:color w:val="595959"/>
          <w:sz w:val="22"/>
          <w:lang w:val="pt-BR" w:eastAsia="pt-BR"/>
        </w:rPr>
        <w:t>iii</w:t>
      </w:r>
      <w:proofErr w:type="spellEnd"/>
      <w:r w:rsidRPr="00735C3E">
        <w:rPr>
          <w:rFonts w:eastAsia="Calibri" w:cs="Times New Roman"/>
          <w:iCs/>
          <w:color w:val="595959"/>
          <w:sz w:val="22"/>
          <w:lang w:val="pt-BR" w:eastAsia="pt-BR"/>
        </w:rPr>
        <w:t>) Visão</w:t>
      </w:r>
      <w:bookmarkEnd w:id="6"/>
    </w:p>
    <w:tbl>
      <w:tblPr>
        <w:tblW w:w="9025" w:type="dxa"/>
        <w:tblBorders>
          <w:top w:val="single" w:sz="2" w:space="0" w:color="7F7F7F"/>
          <w:bottom w:val="single" w:sz="2" w:space="0" w:color="7F7F7F"/>
          <w:insideH w:val="single" w:sz="2" w:space="0" w:color="7F7F7F"/>
          <w:insideV w:val="single" w:sz="2" w:space="0" w:color="7F7F7F"/>
        </w:tblBorders>
        <w:tblLayout w:type="fixed"/>
        <w:tblLook w:val="0600" w:firstRow="0" w:lastRow="0" w:firstColumn="0" w:lastColumn="0" w:noHBand="1" w:noVBand="1"/>
      </w:tblPr>
      <w:tblGrid>
        <w:gridCol w:w="902"/>
        <w:gridCol w:w="902"/>
        <w:gridCol w:w="902"/>
        <w:gridCol w:w="902"/>
        <w:gridCol w:w="902"/>
        <w:gridCol w:w="903"/>
        <w:gridCol w:w="903"/>
        <w:gridCol w:w="903"/>
        <w:gridCol w:w="903"/>
        <w:gridCol w:w="903"/>
      </w:tblGrid>
      <w:tr w:rsidR="00735C3E" w:rsidRPr="00735C3E" w:rsidTr="00735C3E">
        <w:tc>
          <w:tcPr>
            <w:tcW w:w="902" w:type="dxa"/>
            <w:shd w:val="clear" w:color="auto" w:fill="F2F2F2" w:themeFill="background1" w:themeFillShade="F2"/>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2" w:type="dxa"/>
            <w:shd w:val="clear" w:color="auto" w:fill="F2F2F2" w:themeFill="background1" w:themeFillShade="F2"/>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2" w:type="dxa"/>
            <w:shd w:val="clear" w:color="auto" w:fill="F2F2F2" w:themeFill="background1" w:themeFillShade="F2"/>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2" w:type="dxa"/>
            <w:shd w:val="clear" w:color="auto" w:fill="F2F2F2" w:themeFill="background1" w:themeFillShade="F2"/>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2" w:type="dxa"/>
            <w:shd w:val="clear" w:color="auto" w:fill="F2F2F2" w:themeFill="background1" w:themeFillShade="F2"/>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3" w:type="dxa"/>
            <w:shd w:val="clear" w:color="auto" w:fill="F2F2F2" w:themeFill="background1" w:themeFillShade="F2"/>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3" w:type="dxa"/>
            <w:shd w:val="clear" w:color="auto" w:fill="F2F2F2" w:themeFill="background1" w:themeFillShade="F2"/>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3" w:type="dxa"/>
            <w:shd w:val="clear" w:color="auto" w:fill="F2F2F2" w:themeFill="background1" w:themeFillShade="F2"/>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03" w:type="dxa"/>
            <w:shd w:val="clear" w:color="auto" w:fill="F2F2F2" w:themeFill="background1" w:themeFillShade="F2"/>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03" w:type="dxa"/>
            <w:shd w:val="clear" w:color="auto" w:fill="F2F2F2" w:themeFill="background1" w:themeFillShade="F2"/>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r>
      <w:tr w:rsidR="00735C3E" w:rsidRPr="00735C3E" w:rsidTr="00735C3E">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3.1</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2</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3.7</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3.13</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6</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3.19</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3.25</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2</w:t>
            </w:r>
          </w:p>
        </w:tc>
      </w:tr>
      <w:tr w:rsidR="00735C3E" w:rsidRPr="00735C3E" w:rsidTr="00735C3E">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3.2</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3.8</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3</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3.14</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3.20</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3.26</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r>
      <w:tr w:rsidR="00735C3E" w:rsidRPr="00735C3E" w:rsidTr="00735C3E">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3.3</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3.9</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2</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3.15</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3.21</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3.27</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w:t>
            </w:r>
          </w:p>
        </w:tc>
      </w:tr>
      <w:tr w:rsidR="00735C3E" w:rsidRPr="00735C3E" w:rsidTr="00735C3E">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3.4</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8</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3.10</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3</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3.16</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3.22</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3.28</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w:t>
            </w:r>
          </w:p>
        </w:tc>
      </w:tr>
      <w:tr w:rsidR="00735C3E" w:rsidRPr="00735C3E" w:rsidTr="00735C3E">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3.5</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3.11</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3.17</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3.23</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3.29</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r>
      <w:tr w:rsidR="00735C3E" w:rsidRPr="00735C3E" w:rsidTr="00735C3E">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3.6</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5</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3.12</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2" w:type="dxa"/>
            <w:shd w:val="clear" w:color="auto" w:fill="auto"/>
            <w:tcMar>
              <w:top w:w="100" w:type="dxa"/>
              <w:left w:w="100" w:type="dxa"/>
              <w:bottom w:w="100" w:type="dxa"/>
              <w:right w:w="100" w:type="dxa"/>
            </w:tcMar>
          </w:tcPr>
          <w:p w:rsidR="00735C3E" w:rsidRPr="0055118D" w:rsidRDefault="00735C3E" w:rsidP="00735C3E">
            <w:pPr>
              <w:widowControl w:val="0"/>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3.18</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3.24</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5</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w:t>
            </w:r>
          </w:p>
        </w:tc>
        <w:tc>
          <w:tcPr>
            <w:tcW w:w="903" w:type="dxa"/>
            <w:shd w:val="clear" w:color="auto" w:fill="auto"/>
            <w:tcMar>
              <w:top w:w="100" w:type="dxa"/>
              <w:left w:w="100" w:type="dxa"/>
              <w:bottom w:w="100" w:type="dxa"/>
              <w:right w:w="100" w:type="dxa"/>
            </w:tcMar>
          </w:tcPr>
          <w:p w:rsidR="00735C3E" w:rsidRPr="0055118D" w:rsidRDefault="00735C3E" w:rsidP="00735C3E">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w:t>
            </w:r>
          </w:p>
        </w:tc>
      </w:tr>
    </w:tbl>
    <w:p w:rsidR="00735C3E" w:rsidRPr="00735C3E" w:rsidRDefault="00735C3E" w:rsidP="00735C3E">
      <w:pPr>
        <w:spacing w:before="140" w:after="300"/>
        <w:ind w:firstLine="0"/>
        <w:rPr>
          <w:rFonts w:eastAsia="Calibri" w:cs="Times New Roman"/>
          <w:i/>
          <w:color w:val="595959"/>
          <w:sz w:val="20"/>
          <w:szCs w:val="20"/>
          <w:lang w:val="pt-BR" w:eastAsia="pt-BR"/>
        </w:rPr>
      </w:pPr>
      <w:r w:rsidRPr="00735C3E">
        <w:rPr>
          <w:rFonts w:eastAsia="Calibri" w:cs="Times New Roman"/>
          <w:i/>
          <w:color w:val="595959"/>
          <w:sz w:val="20"/>
          <w:szCs w:val="20"/>
          <w:lang w:val="pt-BR" w:eastAsia="pt-BR"/>
        </w:rPr>
        <w:t>Fonte: Elaborada pelo Autor (2021)</w:t>
      </w:r>
    </w:p>
    <w:p w:rsidR="00FA6444" w:rsidRDefault="002C7B1D" w:rsidP="002C7B1D">
      <w:pPr>
        <w:jc w:val="both"/>
        <w:rPr>
          <w:lang w:val="pt-BR"/>
        </w:rPr>
      </w:pPr>
      <w:r w:rsidRPr="002C7B1D">
        <w:rPr>
          <w:lang w:val="pt-BR"/>
        </w:rPr>
        <w:t>Na subcategoria (</w:t>
      </w:r>
      <w:proofErr w:type="spellStart"/>
      <w:r w:rsidRPr="002C7B1D">
        <w:rPr>
          <w:lang w:val="pt-BR"/>
        </w:rPr>
        <w:t>iv</w:t>
      </w:r>
      <w:proofErr w:type="spellEnd"/>
      <w:r w:rsidRPr="002C7B1D">
        <w:rPr>
          <w:lang w:val="pt-BR"/>
        </w:rPr>
        <w:t xml:space="preserve">) audição, conforme apresentado na Tabela 4, as heurísticas 4.1, 4.4 e 4.6 foram as mais frequentes, </w:t>
      </w:r>
      <w:proofErr w:type="spellStart"/>
      <w:r w:rsidRPr="002C7B1D">
        <w:rPr>
          <w:lang w:val="pt-BR"/>
        </w:rPr>
        <w:t>respeivamente</w:t>
      </w:r>
      <w:proofErr w:type="spellEnd"/>
      <w:r w:rsidRPr="002C7B1D">
        <w:rPr>
          <w:lang w:val="pt-BR"/>
        </w:rPr>
        <w:t xml:space="preserve"> com 9, 7 e 7 ocorrências, enquanto diversas outras (e.g. 4.7, 4.8 e 4.17) não foram contempladas. As heurísticas 4.1 e 4.7 relacionadas ao uso de legendas para discursos importantes e secundários são amplamente adotadas. </w:t>
      </w:r>
    </w:p>
    <w:p w:rsidR="00FA6444" w:rsidRPr="00FA6444" w:rsidRDefault="00FA6444" w:rsidP="00FA6444">
      <w:pPr>
        <w:spacing w:after="200" w:line="240" w:lineRule="auto"/>
        <w:ind w:firstLine="0"/>
        <w:rPr>
          <w:rFonts w:eastAsia="Calibri" w:cs="Times New Roman"/>
          <w:iCs/>
          <w:color w:val="595959"/>
          <w:sz w:val="22"/>
          <w:lang w:val="pt-BR" w:eastAsia="pt-BR"/>
        </w:rPr>
      </w:pPr>
      <w:bookmarkStart w:id="7" w:name="_Toc131792574"/>
      <w:r w:rsidRPr="00FA6444">
        <w:rPr>
          <w:rFonts w:eastAsia="Calibri" w:cs="Times New Roman"/>
          <w:iCs/>
          <w:color w:val="595959"/>
          <w:sz w:val="22"/>
          <w:lang w:val="pt-BR" w:eastAsia="pt-BR"/>
        </w:rPr>
        <w:t xml:space="preserve">Tabela </w:t>
      </w:r>
      <w:r w:rsidRPr="00FA6444">
        <w:rPr>
          <w:rFonts w:eastAsia="Calibri" w:cs="Times New Roman"/>
          <w:iCs/>
          <w:color w:val="595959"/>
          <w:sz w:val="22"/>
          <w:lang w:val="pt-BR" w:eastAsia="pt-BR"/>
        </w:rPr>
        <w:fldChar w:fldCharType="begin"/>
      </w:r>
      <w:r w:rsidRPr="00FA6444">
        <w:rPr>
          <w:rFonts w:eastAsia="Calibri" w:cs="Times New Roman"/>
          <w:iCs/>
          <w:color w:val="595959"/>
          <w:sz w:val="22"/>
          <w:lang w:val="pt-BR" w:eastAsia="pt-BR"/>
        </w:rPr>
        <w:instrText xml:space="preserve"> SEQ Tabela \* ARABIC </w:instrText>
      </w:r>
      <w:r w:rsidRPr="00FA6444">
        <w:rPr>
          <w:rFonts w:eastAsia="Calibri" w:cs="Times New Roman"/>
          <w:iCs/>
          <w:color w:val="595959"/>
          <w:sz w:val="22"/>
          <w:lang w:val="pt-BR" w:eastAsia="pt-BR"/>
        </w:rPr>
        <w:fldChar w:fldCharType="separate"/>
      </w:r>
      <w:r w:rsidRPr="00FA6444">
        <w:rPr>
          <w:rFonts w:eastAsia="Calibri" w:cs="Times New Roman"/>
          <w:iCs/>
          <w:noProof/>
          <w:color w:val="595959"/>
          <w:sz w:val="22"/>
          <w:lang w:val="pt-BR" w:eastAsia="pt-BR"/>
        </w:rPr>
        <w:t>4</w:t>
      </w:r>
      <w:r w:rsidRPr="00FA6444">
        <w:rPr>
          <w:rFonts w:eastAsia="Calibri" w:cs="Times New Roman"/>
          <w:iCs/>
          <w:color w:val="595959"/>
          <w:sz w:val="22"/>
          <w:lang w:val="pt-BR" w:eastAsia="pt-BR"/>
        </w:rPr>
        <w:fldChar w:fldCharType="end"/>
      </w:r>
      <w:r w:rsidRPr="00FA6444">
        <w:rPr>
          <w:rFonts w:eastAsia="Calibri" w:cs="Times New Roman"/>
          <w:iCs/>
          <w:color w:val="595959"/>
          <w:sz w:val="22"/>
          <w:lang w:val="pt-BR" w:eastAsia="pt-BR"/>
        </w:rPr>
        <w:t xml:space="preserve"> – Dados da Subcategoria (</w:t>
      </w:r>
      <w:proofErr w:type="spellStart"/>
      <w:r w:rsidRPr="00FA6444">
        <w:rPr>
          <w:rFonts w:eastAsia="Calibri" w:cs="Times New Roman"/>
          <w:iCs/>
          <w:color w:val="595959"/>
          <w:sz w:val="22"/>
          <w:lang w:val="pt-BR" w:eastAsia="pt-BR"/>
        </w:rPr>
        <w:t>iv</w:t>
      </w:r>
      <w:proofErr w:type="spellEnd"/>
      <w:r w:rsidRPr="00FA6444">
        <w:rPr>
          <w:rFonts w:eastAsia="Calibri" w:cs="Times New Roman"/>
          <w:iCs/>
          <w:color w:val="595959"/>
          <w:sz w:val="22"/>
          <w:lang w:val="pt-BR" w:eastAsia="pt-BR"/>
        </w:rPr>
        <w:t>) Audição</w:t>
      </w:r>
      <w:bookmarkEnd w:id="7"/>
    </w:p>
    <w:tbl>
      <w:tblPr>
        <w:tblW w:w="9155" w:type="dxa"/>
        <w:tblBorders>
          <w:top w:val="single" w:sz="2" w:space="0" w:color="7F7F7F"/>
          <w:bottom w:val="single" w:sz="2" w:space="0" w:color="7F7F7F"/>
          <w:insideH w:val="single" w:sz="2" w:space="0" w:color="7F7F7F"/>
          <w:insideV w:val="single" w:sz="2" w:space="0" w:color="7F7F7F"/>
        </w:tblBorders>
        <w:tblLayout w:type="fixed"/>
        <w:tblLook w:val="0600" w:firstRow="0" w:lastRow="0" w:firstColumn="0" w:lastColumn="0" w:noHBand="1" w:noVBand="1"/>
      </w:tblPr>
      <w:tblGrid>
        <w:gridCol w:w="915"/>
        <w:gridCol w:w="915"/>
        <w:gridCol w:w="915"/>
        <w:gridCol w:w="915"/>
        <w:gridCol w:w="915"/>
        <w:gridCol w:w="916"/>
        <w:gridCol w:w="916"/>
        <w:gridCol w:w="916"/>
        <w:gridCol w:w="916"/>
        <w:gridCol w:w="916"/>
      </w:tblGrid>
      <w:tr w:rsidR="00FA6444" w:rsidRPr="00FA6444" w:rsidTr="00965132">
        <w:trPr>
          <w:trHeight w:val="243"/>
        </w:trPr>
        <w:tc>
          <w:tcPr>
            <w:tcW w:w="915" w:type="dxa"/>
            <w:shd w:val="clear" w:color="auto" w:fill="F2F2F2" w:themeFill="background1" w:themeFillShade="F2"/>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15" w:type="dxa"/>
            <w:shd w:val="clear" w:color="auto" w:fill="F2F2F2" w:themeFill="background1" w:themeFillShade="F2"/>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15" w:type="dxa"/>
            <w:shd w:val="clear" w:color="auto" w:fill="F2F2F2" w:themeFill="background1" w:themeFillShade="F2"/>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15" w:type="dxa"/>
            <w:shd w:val="clear" w:color="auto" w:fill="F2F2F2" w:themeFill="background1" w:themeFillShade="F2"/>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15" w:type="dxa"/>
            <w:shd w:val="clear" w:color="auto" w:fill="F2F2F2" w:themeFill="background1" w:themeFillShade="F2"/>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16" w:type="dxa"/>
            <w:shd w:val="clear" w:color="auto" w:fill="F2F2F2" w:themeFill="background1" w:themeFillShade="F2"/>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16" w:type="dxa"/>
            <w:shd w:val="clear" w:color="auto" w:fill="F2F2F2" w:themeFill="background1" w:themeFillShade="F2"/>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16" w:type="dxa"/>
            <w:shd w:val="clear" w:color="auto" w:fill="F2F2F2" w:themeFill="background1" w:themeFillShade="F2"/>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c>
          <w:tcPr>
            <w:tcW w:w="916" w:type="dxa"/>
            <w:shd w:val="clear" w:color="auto" w:fill="F2F2F2" w:themeFill="background1" w:themeFillShade="F2"/>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H.</w:t>
            </w:r>
          </w:p>
        </w:tc>
        <w:tc>
          <w:tcPr>
            <w:tcW w:w="916" w:type="dxa"/>
            <w:shd w:val="clear" w:color="auto" w:fill="F2F2F2" w:themeFill="background1" w:themeFillShade="F2"/>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b/>
                <w:i/>
                <w:color w:val="000000" w:themeColor="text1"/>
                <w:sz w:val="18"/>
                <w:szCs w:val="18"/>
                <w:lang w:val="pt-BR" w:eastAsia="pt-BR"/>
              </w:rPr>
            </w:pPr>
            <w:r w:rsidRPr="0055118D">
              <w:rPr>
                <w:rFonts w:eastAsia="Times New Roman" w:cs="Times New Roman"/>
                <w:b/>
                <w:i/>
                <w:color w:val="000000" w:themeColor="text1"/>
                <w:sz w:val="18"/>
                <w:szCs w:val="18"/>
                <w:lang w:val="pt-BR" w:eastAsia="pt-BR"/>
              </w:rPr>
              <w:t>n.</w:t>
            </w:r>
          </w:p>
        </w:tc>
      </w:tr>
      <w:tr w:rsidR="00FA6444" w:rsidRPr="00FA6444" w:rsidTr="00965132">
        <w:trPr>
          <w:trHeight w:val="262"/>
        </w:trPr>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4.1</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9</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4.5</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2</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4.9</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2</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4.13</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4.17</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r>
      <w:tr w:rsidR="00FA6444" w:rsidRPr="00FA6444" w:rsidTr="00965132">
        <w:trPr>
          <w:trHeight w:val="243"/>
        </w:trPr>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4.2</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6</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4.6</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7</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4.10</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1</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4.14</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w:t>
            </w:r>
          </w:p>
        </w:tc>
      </w:tr>
      <w:tr w:rsidR="00FA6444" w:rsidRPr="00FA6444" w:rsidTr="00965132">
        <w:trPr>
          <w:trHeight w:val="262"/>
        </w:trPr>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4.3</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4</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4.7</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4.11</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4.15</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3</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w:t>
            </w:r>
          </w:p>
        </w:tc>
      </w:tr>
      <w:tr w:rsidR="00FA6444" w:rsidRPr="00FA6444" w:rsidTr="00965132">
        <w:trPr>
          <w:trHeight w:val="262"/>
        </w:trPr>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4.4</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7</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4.8</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15"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4.12</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4.16</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0</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pBdr>
                <w:top w:val="nil"/>
                <w:left w:val="nil"/>
                <w:bottom w:val="nil"/>
                <w:right w:val="nil"/>
                <w:between w:val="nil"/>
              </w:pBdr>
              <w:spacing w:after="0" w:line="240" w:lineRule="auto"/>
              <w:ind w:firstLine="0"/>
              <w:jc w:val="center"/>
              <w:rPr>
                <w:rFonts w:eastAsia="Times New Roman" w:cs="Times New Roman"/>
                <w:b/>
                <w:sz w:val="18"/>
                <w:szCs w:val="18"/>
                <w:lang w:val="pt-BR" w:eastAsia="pt-BR"/>
              </w:rPr>
            </w:pPr>
            <w:r w:rsidRPr="0055118D">
              <w:rPr>
                <w:rFonts w:eastAsia="Times New Roman" w:cs="Times New Roman"/>
                <w:b/>
                <w:sz w:val="18"/>
                <w:szCs w:val="18"/>
                <w:lang w:val="pt-BR" w:eastAsia="pt-BR"/>
              </w:rPr>
              <w:t>---</w:t>
            </w:r>
          </w:p>
        </w:tc>
        <w:tc>
          <w:tcPr>
            <w:tcW w:w="916" w:type="dxa"/>
            <w:shd w:val="clear" w:color="auto" w:fill="auto"/>
            <w:tcMar>
              <w:top w:w="100" w:type="dxa"/>
              <w:left w:w="100" w:type="dxa"/>
              <w:bottom w:w="100" w:type="dxa"/>
              <w:right w:w="100" w:type="dxa"/>
            </w:tcMar>
          </w:tcPr>
          <w:p w:rsidR="00FA6444" w:rsidRPr="0055118D" w:rsidRDefault="00FA6444" w:rsidP="0055118D">
            <w:pPr>
              <w:widowControl w:val="0"/>
              <w:spacing w:after="0" w:line="240" w:lineRule="auto"/>
              <w:ind w:firstLine="0"/>
              <w:jc w:val="center"/>
              <w:rPr>
                <w:rFonts w:eastAsia="Times New Roman" w:cs="Times New Roman"/>
                <w:sz w:val="18"/>
                <w:szCs w:val="18"/>
                <w:lang w:val="pt-BR" w:eastAsia="pt-BR"/>
              </w:rPr>
            </w:pPr>
            <w:r w:rsidRPr="0055118D">
              <w:rPr>
                <w:rFonts w:eastAsia="Times New Roman" w:cs="Times New Roman"/>
                <w:sz w:val="18"/>
                <w:szCs w:val="18"/>
                <w:lang w:val="pt-BR" w:eastAsia="pt-BR"/>
              </w:rPr>
              <w:t>---</w:t>
            </w:r>
          </w:p>
        </w:tc>
      </w:tr>
    </w:tbl>
    <w:p w:rsidR="00FA6444" w:rsidRPr="00FA6444" w:rsidRDefault="00FA6444" w:rsidP="00FA6444">
      <w:pPr>
        <w:spacing w:before="140" w:after="300"/>
        <w:ind w:firstLine="0"/>
        <w:rPr>
          <w:rFonts w:eastAsia="Calibri" w:cs="Times New Roman"/>
          <w:i/>
          <w:color w:val="595959"/>
          <w:sz w:val="20"/>
          <w:szCs w:val="20"/>
          <w:lang w:val="pt-BR" w:eastAsia="pt-BR"/>
        </w:rPr>
      </w:pPr>
      <w:r w:rsidRPr="00FA6444">
        <w:rPr>
          <w:rFonts w:eastAsia="Calibri" w:cs="Times New Roman"/>
          <w:i/>
          <w:color w:val="595959"/>
          <w:sz w:val="20"/>
          <w:szCs w:val="20"/>
          <w:lang w:val="pt-BR" w:eastAsia="pt-BR"/>
        </w:rPr>
        <w:t>Fonte: Elaborada pelo Autor (2021)</w:t>
      </w:r>
    </w:p>
    <w:p w:rsidR="00FA6444" w:rsidRDefault="002C7B1D" w:rsidP="002C7B1D">
      <w:pPr>
        <w:jc w:val="both"/>
        <w:rPr>
          <w:lang w:val="pt-BR"/>
        </w:rPr>
      </w:pPr>
      <w:r w:rsidRPr="002C7B1D">
        <w:rPr>
          <w:lang w:val="pt-BR"/>
        </w:rPr>
        <w:t>Entretanto, observa-se que os idiomas disponibilizados frequentemente restringem-se a línguas como inglês, francês, alemão e japonês. O uso da linguagem de sinais (4.17), inexistente em todos os produtos, poderia representar um importante avanço tanto em termos de acessibilidade quanto de representatividade da comunidade surda.</w:t>
      </w:r>
      <w:r w:rsidR="00F07A14">
        <w:rPr>
          <w:lang w:val="pt-BR"/>
        </w:rPr>
        <w:t xml:space="preserve"> </w:t>
      </w:r>
      <w:r w:rsidRPr="002C7B1D">
        <w:rPr>
          <w:lang w:val="pt-BR"/>
        </w:rPr>
        <w:t xml:space="preserve">Nenhuma das heurísticas da subcategoria (v) fala/discurso (5.1 a 5.6) foi implementada nos jogos avaliados, possivelmente devido à ausência de interfaces baseadas nesses recursos. A Tabela 5 apresenta os dados da subcategoria (vi) geral, onde as heurísticas 6.4 e 6.11 foram as mais atendidas, com 10 ocorrências cada, seguidas da 6.10 com 8 ocorrências. </w:t>
      </w:r>
    </w:p>
    <w:p w:rsidR="00FA6444" w:rsidRPr="00FA6444" w:rsidRDefault="00FA6444" w:rsidP="00FA6444">
      <w:pPr>
        <w:spacing w:after="200" w:line="240" w:lineRule="auto"/>
        <w:ind w:firstLine="0"/>
        <w:rPr>
          <w:rFonts w:eastAsia="Calibri" w:cs="Times New Roman"/>
          <w:iCs/>
          <w:color w:val="595959"/>
          <w:sz w:val="22"/>
          <w:lang w:val="pt-BR" w:eastAsia="pt-BR"/>
        </w:rPr>
      </w:pPr>
      <w:bookmarkStart w:id="8" w:name="_Toc131792575"/>
      <w:r w:rsidRPr="00FA6444">
        <w:rPr>
          <w:rFonts w:eastAsia="Calibri" w:cs="Times New Roman"/>
          <w:iCs/>
          <w:color w:val="595959"/>
          <w:sz w:val="22"/>
          <w:lang w:val="pt-BR" w:eastAsia="pt-BR"/>
        </w:rPr>
        <w:lastRenderedPageBreak/>
        <w:t xml:space="preserve">Tabela </w:t>
      </w:r>
      <w:r w:rsidRPr="00FA6444">
        <w:rPr>
          <w:rFonts w:eastAsia="Calibri" w:cs="Times New Roman"/>
          <w:iCs/>
          <w:color w:val="595959"/>
          <w:sz w:val="22"/>
          <w:lang w:val="pt-BR" w:eastAsia="pt-BR"/>
        </w:rPr>
        <w:fldChar w:fldCharType="begin"/>
      </w:r>
      <w:r w:rsidRPr="00FA6444">
        <w:rPr>
          <w:rFonts w:eastAsia="Calibri" w:cs="Times New Roman"/>
          <w:iCs/>
          <w:color w:val="595959"/>
          <w:sz w:val="22"/>
          <w:lang w:val="pt-BR" w:eastAsia="pt-BR"/>
        </w:rPr>
        <w:instrText xml:space="preserve"> SEQ Tabela \* ARABIC </w:instrText>
      </w:r>
      <w:r w:rsidRPr="00FA6444">
        <w:rPr>
          <w:rFonts w:eastAsia="Calibri" w:cs="Times New Roman"/>
          <w:iCs/>
          <w:color w:val="595959"/>
          <w:sz w:val="22"/>
          <w:lang w:val="pt-BR" w:eastAsia="pt-BR"/>
        </w:rPr>
        <w:fldChar w:fldCharType="separate"/>
      </w:r>
      <w:r w:rsidRPr="00FA6444">
        <w:rPr>
          <w:rFonts w:eastAsia="Calibri" w:cs="Times New Roman"/>
          <w:iCs/>
          <w:noProof/>
          <w:color w:val="595959"/>
          <w:sz w:val="22"/>
          <w:lang w:val="pt-BR" w:eastAsia="pt-BR"/>
        </w:rPr>
        <w:t>5</w:t>
      </w:r>
      <w:r w:rsidRPr="00FA6444">
        <w:rPr>
          <w:rFonts w:eastAsia="Calibri" w:cs="Times New Roman"/>
          <w:iCs/>
          <w:color w:val="595959"/>
          <w:sz w:val="22"/>
          <w:lang w:val="pt-BR" w:eastAsia="pt-BR"/>
        </w:rPr>
        <w:fldChar w:fldCharType="end"/>
      </w:r>
      <w:r w:rsidRPr="00FA6444">
        <w:rPr>
          <w:rFonts w:eastAsia="Calibri" w:cs="Times New Roman"/>
          <w:iCs/>
          <w:color w:val="595959"/>
          <w:sz w:val="22"/>
          <w:lang w:val="pt-BR" w:eastAsia="pt-BR"/>
        </w:rPr>
        <w:t xml:space="preserve"> – Dados da Subcategoria (v) Geral</w:t>
      </w:r>
      <w:bookmarkEnd w:id="8"/>
    </w:p>
    <w:tbl>
      <w:tblPr>
        <w:tblW w:w="9025" w:type="dxa"/>
        <w:tblBorders>
          <w:top w:val="single" w:sz="2" w:space="0" w:color="auto"/>
          <w:bottom w:val="single" w:sz="2" w:space="0" w:color="auto"/>
          <w:insideH w:val="single" w:sz="2" w:space="0" w:color="auto"/>
          <w:insideV w:val="single" w:sz="2" w:space="0" w:color="auto"/>
        </w:tblBorders>
        <w:tblLayout w:type="fixed"/>
        <w:tblLook w:val="0600" w:firstRow="0" w:lastRow="0" w:firstColumn="0" w:lastColumn="0" w:noHBand="1" w:noVBand="1"/>
      </w:tblPr>
      <w:tblGrid>
        <w:gridCol w:w="902"/>
        <w:gridCol w:w="902"/>
        <w:gridCol w:w="902"/>
        <w:gridCol w:w="902"/>
        <w:gridCol w:w="902"/>
        <w:gridCol w:w="903"/>
        <w:gridCol w:w="903"/>
        <w:gridCol w:w="903"/>
        <w:gridCol w:w="903"/>
        <w:gridCol w:w="903"/>
      </w:tblGrid>
      <w:tr w:rsidR="00FA6444" w:rsidRPr="00FA6444" w:rsidTr="00FA6444">
        <w:tc>
          <w:tcPr>
            <w:tcW w:w="902" w:type="dxa"/>
            <w:shd w:val="clear" w:color="auto" w:fill="F2F2F2" w:themeFill="background1" w:themeFillShade="F2"/>
            <w:tcMar>
              <w:top w:w="100" w:type="dxa"/>
              <w:left w:w="100" w:type="dxa"/>
              <w:bottom w:w="100" w:type="dxa"/>
              <w:right w:w="100" w:type="dxa"/>
            </w:tcMar>
          </w:tcPr>
          <w:p w:rsidR="00FA6444" w:rsidRPr="00FA6444" w:rsidRDefault="00FA6444" w:rsidP="00FA6444">
            <w:pPr>
              <w:widowControl w:val="0"/>
              <w:spacing w:after="0" w:line="240" w:lineRule="auto"/>
              <w:ind w:firstLine="0"/>
              <w:jc w:val="center"/>
              <w:rPr>
                <w:rFonts w:eastAsia="Times New Roman" w:cs="Times New Roman"/>
                <w:b/>
                <w:i/>
                <w:color w:val="000000" w:themeColor="text1"/>
                <w:sz w:val="20"/>
                <w:szCs w:val="20"/>
                <w:lang w:val="pt-BR" w:eastAsia="pt-BR"/>
              </w:rPr>
            </w:pPr>
            <w:r w:rsidRPr="00FA6444">
              <w:rPr>
                <w:rFonts w:eastAsia="Times New Roman" w:cs="Times New Roman"/>
                <w:b/>
                <w:i/>
                <w:color w:val="000000" w:themeColor="text1"/>
                <w:sz w:val="20"/>
                <w:szCs w:val="20"/>
                <w:lang w:val="pt-BR" w:eastAsia="pt-BR"/>
              </w:rPr>
              <w:t>H.</w:t>
            </w:r>
          </w:p>
        </w:tc>
        <w:tc>
          <w:tcPr>
            <w:tcW w:w="902" w:type="dxa"/>
            <w:shd w:val="clear" w:color="auto" w:fill="F2F2F2" w:themeFill="background1" w:themeFillShade="F2"/>
            <w:tcMar>
              <w:top w:w="100" w:type="dxa"/>
              <w:left w:w="100" w:type="dxa"/>
              <w:bottom w:w="100" w:type="dxa"/>
              <w:right w:w="100" w:type="dxa"/>
            </w:tcMar>
          </w:tcPr>
          <w:p w:rsidR="00FA6444" w:rsidRPr="00FA6444" w:rsidRDefault="00FA6444" w:rsidP="00FA6444">
            <w:pPr>
              <w:widowControl w:val="0"/>
              <w:spacing w:after="0" w:line="240" w:lineRule="auto"/>
              <w:ind w:firstLine="0"/>
              <w:jc w:val="center"/>
              <w:rPr>
                <w:rFonts w:eastAsia="Times New Roman" w:cs="Times New Roman"/>
                <w:b/>
                <w:i/>
                <w:color w:val="000000" w:themeColor="text1"/>
                <w:sz w:val="20"/>
                <w:szCs w:val="20"/>
                <w:lang w:val="pt-BR" w:eastAsia="pt-BR"/>
              </w:rPr>
            </w:pPr>
            <w:r w:rsidRPr="00FA6444">
              <w:rPr>
                <w:rFonts w:eastAsia="Times New Roman" w:cs="Times New Roman"/>
                <w:b/>
                <w:i/>
                <w:color w:val="000000" w:themeColor="text1"/>
                <w:sz w:val="20"/>
                <w:szCs w:val="20"/>
                <w:lang w:val="pt-BR" w:eastAsia="pt-BR"/>
              </w:rPr>
              <w:t>n.</w:t>
            </w:r>
          </w:p>
        </w:tc>
        <w:tc>
          <w:tcPr>
            <w:tcW w:w="902" w:type="dxa"/>
            <w:shd w:val="clear" w:color="auto" w:fill="F2F2F2" w:themeFill="background1" w:themeFillShade="F2"/>
            <w:tcMar>
              <w:top w:w="100" w:type="dxa"/>
              <w:left w:w="100" w:type="dxa"/>
              <w:bottom w:w="100" w:type="dxa"/>
              <w:right w:w="100" w:type="dxa"/>
            </w:tcMar>
          </w:tcPr>
          <w:p w:rsidR="00FA6444" w:rsidRPr="00FA6444" w:rsidRDefault="00FA6444" w:rsidP="00FA6444">
            <w:pPr>
              <w:widowControl w:val="0"/>
              <w:spacing w:after="0" w:line="240" w:lineRule="auto"/>
              <w:ind w:firstLine="0"/>
              <w:jc w:val="center"/>
              <w:rPr>
                <w:rFonts w:eastAsia="Times New Roman" w:cs="Times New Roman"/>
                <w:b/>
                <w:i/>
                <w:color w:val="000000" w:themeColor="text1"/>
                <w:sz w:val="20"/>
                <w:szCs w:val="20"/>
                <w:lang w:val="pt-BR" w:eastAsia="pt-BR"/>
              </w:rPr>
            </w:pPr>
            <w:r w:rsidRPr="00FA6444">
              <w:rPr>
                <w:rFonts w:eastAsia="Times New Roman" w:cs="Times New Roman"/>
                <w:b/>
                <w:i/>
                <w:color w:val="000000" w:themeColor="text1"/>
                <w:sz w:val="20"/>
                <w:szCs w:val="20"/>
                <w:lang w:val="pt-BR" w:eastAsia="pt-BR"/>
              </w:rPr>
              <w:t>H.</w:t>
            </w:r>
          </w:p>
        </w:tc>
        <w:tc>
          <w:tcPr>
            <w:tcW w:w="902" w:type="dxa"/>
            <w:shd w:val="clear" w:color="auto" w:fill="F2F2F2" w:themeFill="background1" w:themeFillShade="F2"/>
            <w:tcMar>
              <w:top w:w="100" w:type="dxa"/>
              <w:left w:w="100" w:type="dxa"/>
              <w:bottom w:w="100" w:type="dxa"/>
              <w:right w:w="100" w:type="dxa"/>
            </w:tcMar>
          </w:tcPr>
          <w:p w:rsidR="00FA6444" w:rsidRPr="00FA6444" w:rsidRDefault="00FA6444" w:rsidP="00FA6444">
            <w:pPr>
              <w:widowControl w:val="0"/>
              <w:spacing w:after="0" w:line="240" w:lineRule="auto"/>
              <w:ind w:firstLine="0"/>
              <w:jc w:val="center"/>
              <w:rPr>
                <w:rFonts w:eastAsia="Times New Roman" w:cs="Times New Roman"/>
                <w:b/>
                <w:i/>
                <w:color w:val="000000" w:themeColor="text1"/>
                <w:sz w:val="20"/>
                <w:szCs w:val="20"/>
                <w:lang w:val="pt-BR" w:eastAsia="pt-BR"/>
              </w:rPr>
            </w:pPr>
            <w:r w:rsidRPr="00FA6444">
              <w:rPr>
                <w:rFonts w:eastAsia="Times New Roman" w:cs="Times New Roman"/>
                <w:b/>
                <w:i/>
                <w:color w:val="000000" w:themeColor="text1"/>
                <w:sz w:val="20"/>
                <w:szCs w:val="20"/>
                <w:lang w:val="pt-BR" w:eastAsia="pt-BR"/>
              </w:rPr>
              <w:t>n.</w:t>
            </w:r>
          </w:p>
        </w:tc>
        <w:tc>
          <w:tcPr>
            <w:tcW w:w="902" w:type="dxa"/>
            <w:shd w:val="clear" w:color="auto" w:fill="F2F2F2" w:themeFill="background1" w:themeFillShade="F2"/>
            <w:tcMar>
              <w:top w:w="100" w:type="dxa"/>
              <w:left w:w="100" w:type="dxa"/>
              <w:bottom w:w="100" w:type="dxa"/>
              <w:right w:w="100" w:type="dxa"/>
            </w:tcMar>
          </w:tcPr>
          <w:p w:rsidR="00FA6444" w:rsidRPr="00FA6444" w:rsidRDefault="00FA6444" w:rsidP="00FA6444">
            <w:pPr>
              <w:widowControl w:val="0"/>
              <w:spacing w:after="0" w:line="240" w:lineRule="auto"/>
              <w:ind w:firstLine="0"/>
              <w:jc w:val="center"/>
              <w:rPr>
                <w:rFonts w:eastAsia="Times New Roman" w:cs="Times New Roman"/>
                <w:b/>
                <w:i/>
                <w:color w:val="000000" w:themeColor="text1"/>
                <w:sz w:val="20"/>
                <w:szCs w:val="20"/>
                <w:lang w:val="pt-BR" w:eastAsia="pt-BR"/>
              </w:rPr>
            </w:pPr>
            <w:r w:rsidRPr="00FA6444">
              <w:rPr>
                <w:rFonts w:eastAsia="Times New Roman" w:cs="Times New Roman"/>
                <w:b/>
                <w:i/>
                <w:color w:val="000000" w:themeColor="text1"/>
                <w:sz w:val="20"/>
                <w:szCs w:val="20"/>
                <w:lang w:val="pt-BR" w:eastAsia="pt-BR"/>
              </w:rPr>
              <w:t>H.</w:t>
            </w:r>
          </w:p>
        </w:tc>
        <w:tc>
          <w:tcPr>
            <w:tcW w:w="903" w:type="dxa"/>
            <w:shd w:val="clear" w:color="auto" w:fill="F2F2F2" w:themeFill="background1" w:themeFillShade="F2"/>
            <w:tcMar>
              <w:top w:w="100" w:type="dxa"/>
              <w:left w:w="100" w:type="dxa"/>
              <w:bottom w:w="100" w:type="dxa"/>
              <w:right w:w="100" w:type="dxa"/>
            </w:tcMar>
          </w:tcPr>
          <w:p w:rsidR="00FA6444" w:rsidRPr="00FA6444" w:rsidRDefault="00FA6444" w:rsidP="00FA6444">
            <w:pPr>
              <w:widowControl w:val="0"/>
              <w:spacing w:after="0" w:line="240" w:lineRule="auto"/>
              <w:ind w:firstLine="0"/>
              <w:jc w:val="center"/>
              <w:rPr>
                <w:rFonts w:eastAsia="Times New Roman" w:cs="Times New Roman"/>
                <w:b/>
                <w:i/>
                <w:color w:val="000000" w:themeColor="text1"/>
                <w:sz w:val="20"/>
                <w:szCs w:val="20"/>
                <w:lang w:val="pt-BR" w:eastAsia="pt-BR"/>
              </w:rPr>
            </w:pPr>
            <w:r w:rsidRPr="00FA6444">
              <w:rPr>
                <w:rFonts w:eastAsia="Times New Roman" w:cs="Times New Roman"/>
                <w:b/>
                <w:i/>
                <w:color w:val="000000" w:themeColor="text1"/>
                <w:sz w:val="20"/>
                <w:szCs w:val="20"/>
                <w:lang w:val="pt-BR" w:eastAsia="pt-BR"/>
              </w:rPr>
              <w:t>n.</w:t>
            </w:r>
          </w:p>
        </w:tc>
        <w:tc>
          <w:tcPr>
            <w:tcW w:w="903" w:type="dxa"/>
            <w:shd w:val="clear" w:color="auto" w:fill="F2F2F2" w:themeFill="background1" w:themeFillShade="F2"/>
            <w:tcMar>
              <w:top w:w="100" w:type="dxa"/>
              <w:left w:w="100" w:type="dxa"/>
              <w:bottom w:w="100" w:type="dxa"/>
              <w:right w:w="100" w:type="dxa"/>
            </w:tcMar>
          </w:tcPr>
          <w:p w:rsidR="00FA6444" w:rsidRPr="00FA6444" w:rsidRDefault="00FA6444" w:rsidP="00FA6444">
            <w:pPr>
              <w:widowControl w:val="0"/>
              <w:spacing w:after="0" w:line="240" w:lineRule="auto"/>
              <w:ind w:firstLine="0"/>
              <w:jc w:val="center"/>
              <w:rPr>
                <w:rFonts w:eastAsia="Times New Roman" w:cs="Times New Roman"/>
                <w:b/>
                <w:i/>
                <w:color w:val="000000" w:themeColor="text1"/>
                <w:sz w:val="20"/>
                <w:szCs w:val="20"/>
                <w:lang w:val="pt-BR" w:eastAsia="pt-BR"/>
              </w:rPr>
            </w:pPr>
            <w:r w:rsidRPr="00FA6444">
              <w:rPr>
                <w:rFonts w:eastAsia="Times New Roman" w:cs="Times New Roman"/>
                <w:b/>
                <w:i/>
                <w:color w:val="000000" w:themeColor="text1"/>
                <w:sz w:val="20"/>
                <w:szCs w:val="20"/>
                <w:lang w:val="pt-BR" w:eastAsia="pt-BR"/>
              </w:rPr>
              <w:t>H.</w:t>
            </w:r>
          </w:p>
        </w:tc>
        <w:tc>
          <w:tcPr>
            <w:tcW w:w="903" w:type="dxa"/>
            <w:shd w:val="clear" w:color="auto" w:fill="F2F2F2" w:themeFill="background1" w:themeFillShade="F2"/>
            <w:tcMar>
              <w:top w:w="100" w:type="dxa"/>
              <w:left w:w="100" w:type="dxa"/>
              <w:bottom w:w="100" w:type="dxa"/>
              <w:right w:w="100" w:type="dxa"/>
            </w:tcMar>
          </w:tcPr>
          <w:p w:rsidR="00FA6444" w:rsidRPr="00FA6444" w:rsidRDefault="00FA6444" w:rsidP="00FA6444">
            <w:pPr>
              <w:widowControl w:val="0"/>
              <w:spacing w:after="0" w:line="240" w:lineRule="auto"/>
              <w:ind w:firstLine="0"/>
              <w:jc w:val="center"/>
              <w:rPr>
                <w:rFonts w:eastAsia="Times New Roman" w:cs="Times New Roman"/>
                <w:b/>
                <w:i/>
                <w:color w:val="000000" w:themeColor="text1"/>
                <w:sz w:val="20"/>
                <w:szCs w:val="20"/>
                <w:lang w:val="pt-BR" w:eastAsia="pt-BR"/>
              </w:rPr>
            </w:pPr>
            <w:r w:rsidRPr="00FA6444">
              <w:rPr>
                <w:rFonts w:eastAsia="Times New Roman" w:cs="Times New Roman"/>
                <w:b/>
                <w:i/>
                <w:color w:val="000000" w:themeColor="text1"/>
                <w:sz w:val="20"/>
                <w:szCs w:val="20"/>
                <w:lang w:val="pt-BR" w:eastAsia="pt-BR"/>
              </w:rPr>
              <w:t>n.</w:t>
            </w:r>
          </w:p>
        </w:tc>
        <w:tc>
          <w:tcPr>
            <w:tcW w:w="903" w:type="dxa"/>
            <w:shd w:val="clear" w:color="auto" w:fill="F2F2F2" w:themeFill="background1" w:themeFillShade="F2"/>
            <w:tcMar>
              <w:top w:w="100" w:type="dxa"/>
              <w:left w:w="100" w:type="dxa"/>
              <w:bottom w:w="100" w:type="dxa"/>
              <w:right w:w="100" w:type="dxa"/>
            </w:tcMar>
          </w:tcPr>
          <w:p w:rsidR="00FA6444" w:rsidRPr="00FA6444" w:rsidRDefault="00FA6444" w:rsidP="00FA6444">
            <w:pPr>
              <w:widowControl w:val="0"/>
              <w:spacing w:after="0" w:line="240" w:lineRule="auto"/>
              <w:ind w:firstLine="0"/>
              <w:jc w:val="center"/>
              <w:rPr>
                <w:rFonts w:eastAsia="Times New Roman" w:cs="Times New Roman"/>
                <w:b/>
                <w:i/>
                <w:color w:val="000000" w:themeColor="text1"/>
                <w:sz w:val="20"/>
                <w:szCs w:val="20"/>
                <w:lang w:val="pt-BR" w:eastAsia="pt-BR"/>
              </w:rPr>
            </w:pPr>
            <w:r w:rsidRPr="00FA6444">
              <w:rPr>
                <w:rFonts w:eastAsia="Times New Roman" w:cs="Times New Roman"/>
                <w:b/>
                <w:i/>
                <w:color w:val="000000" w:themeColor="text1"/>
                <w:sz w:val="20"/>
                <w:szCs w:val="20"/>
                <w:lang w:val="pt-BR" w:eastAsia="pt-BR"/>
              </w:rPr>
              <w:t>H.</w:t>
            </w:r>
          </w:p>
        </w:tc>
        <w:tc>
          <w:tcPr>
            <w:tcW w:w="903" w:type="dxa"/>
            <w:shd w:val="clear" w:color="auto" w:fill="F2F2F2" w:themeFill="background1" w:themeFillShade="F2"/>
            <w:tcMar>
              <w:top w:w="100" w:type="dxa"/>
              <w:left w:w="100" w:type="dxa"/>
              <w:bottom w:w="100" w:type="dxa"/>
              <w:right w:w="100" w:type="dxa"/>
            </w:tcMar>
          </w:tcPr>
          <w:p w:rsidR="00FA6444" w:rsidRPr="00FA6444" w:rsidRDefault="00FA6444" w:rsidP="00FA6444">
            <w:pPr>
              <w:widowControl w:val="0"/>
              <w:spacing w:after="0" w:line="240" w:lineRule="auto"/>
              <w:ind w:firstLine="0"/>
              <w:jc w:val="center"/>
              <w:rPr>
                <w:rFonts w:eastAsia="Times New Roman" w:cs="Times New Roman"/>
                <w:b/>
                <w:i/>
                <w:color w:val="000000" w:themeColor="text1"/>
                <w:sz w:val="20"/>
                <w:szCs w:val="20"/>
                <w:lang w:val="pt-BR" w:eastAsia="pt-BR"/>
              </w:rPr>
            </w:pPr>
            <w:r w:rsidRPr="00FA6444">
              <w:rPr>
                <w:rFonts w:eastAsia="Times New Roman" w:cs="Times New Roman"/>
                <w:b/>
                <w:i/>
                <w:color w:val="000000" w:themeColor="text1"/>
                <w:sz w:val="20"/>
                <w:szCs w:val="20"/>
                <w:lang w:val="pt-BR" w:eastAsia="pt-BR"/>
              </w:rPr>
              <w:t>n.</w:t>
            </w:r>
          </w:p>
        </w:tc>
      </w:tr>
      <w:tr w:rsidR="00FA6444" w:rsidRPr="00FA6444" w:rsidTr="007313CD">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6.1</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4</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6.5</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0</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6.9</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4</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6.13</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0</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w:t>
            </w:r>
          </w:p>
        </w:tc>
      </w:tr>
      <w:tr w:rsidR="00FA6444" w:rsidRPr="00FA6444" w:rsidTr="007313CD">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6.2</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0</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6.6</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3</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6.10</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8</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6.14</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0</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w:t>
            </w:r>
          </w:p>
        </w:tc>
      </w:tr>
      <w:tr w:rsidR="00FA6444" w:rsidRPr="00FA6444" w:rsidTr="007313CD">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6.3</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1</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6.7</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0</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6.11</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10</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6.15</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0</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w:t>
            </w:r>
          </w:p>
        </w:tc>
      </w:tr>
      <w:tr w:rsidR="00FA6444" w:rsidRPr="00FA6444" w:rsidTr="007313CD">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6.4</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10</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6.8</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0</w:t>
            </w:r>
          </w:p>
        </w:tc>
        <w:tc>
          <w:tcPr>
            <w:tcW w:w="902"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6.12</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0</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6.16</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0</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b/>
                <w:sz w:val="20"/>
                <w:szCs w:val="20"/>
                <w:lang w:val="pt-BR" w:eastAsia="pt-BR"/>
              </w:rPr>
            </w:pPr>
            <w:r w:rsidRPr="00FA6444">
              <w:rPr>
                <w:rFonts w:eastAsia="Times New Roman" w:cs="Times New Roman"/>
                <w:b/>
                <w:sz w:val="20"/>
                <w:szCs w:val="20"/>
                <w:lang w:val="pt-BR" w:eastAsia="pt-BR"/>
              </w:rPr>
              <w:t>---</w:t>
            </w:r>
          </w:p>
        </w:tc>
        <w:tc>
          <w:tcPr>
            <w:tcW w:w="903" w:type="dxa"/>
            <w:shd w:val="clear" w:color="auto" w:fill="auto"/>
            <w:tcMar>
              <w:top w:w="100" w:type="dxa"/>
              <w:left w:w="100" w:type="dxa"/>
              <w:bottom w:w="100" w:type="dxa"/>
              <w:right w:w="100" w:type="dxa"/>
            </w:tcMar>
          </w:tcPr>
          <w:p w:rsidR="00FA6444" w:rsidRPr="00FA6444" w:rsidRDefault="00FA6444" w:rsidP="00FA6444">
            <w:pPr>
              <w:widowControl w:val="0"/>
              <w:pBdr>
                <w:top w:val="nil"/>
                <w:left w:val="nil"/>
                <w:bottom w:val="nil"/>
                <w:right w:val="nil"/>
                <w:between w:val="nil"/>
              </w:pBdr>
              <w:spacing w:after="0" w:line="240" w:lineRule="auto"/>
              <w:ind w:firstLine="0"/>
              <w:jc w:val="center"/>
              <w:rPr>
                <w:rFonts w:eastAsia="Times New Roman" w:cs="Times New Roman"/>
                <w:sz w:val="20"/>
                <w:szCs w:val="20"/>
                <w:lang w:val="pt-BR" w:eastAsia="pt-BR"/>
              </w:rPr>
            </w:pPr>
            <w:r w:rsidRPr="00FA6444">
              <w:rPr>
                <w:rFonts w:eastAsia="Times New Roman" w:cs="Times New Roman"/>
                <w:sz w:val="20"/>
                <w:szCs w:val="20"/>
                <w:lang w:val="pt-BR" w:eastAsia="pt-BR"/>
              </w:rPr>
              <w:t>---</w:t>
            </w:r>
          </w:p>
        </w:tc>
      </w:tr>
    </w:tbl>
    <w:p w:rsidR="00FA6444" w:rsidRPr="00FA6444" w:rsidRDefault="00FA6444" w:rsidP="00FA6444">
      <w:pPr>
        <w:spacing w:before="140" w:after="300"/>
        <w:ind w:firstLine="0"/>
        <w:rPr>
          <w:rFonts w:eastAsia="Calibri" w:cs="Times New Roman"/>
          <w:i/>
          <w:color w:val="595959"/>
          <w:sz w:val="20"/>
          <w:szCs w:val="20"/>
          <w:lang w:val="pt-BR" w:eastAsia="pt-BR"/>
        </w:rPr>
      </w:pPr>
      <w:r w:rsidRPr="00FA6444">
        <w:rPr>
          <w:rFonts w:eastAsia="Calibri" w:cs="Times New Roman"/>
          <w:i/>
          <w:color w:val="595959"/>
          <w:sz w:val="20"/>
          <w:szCs w:val="20"/>
          <w:lang w:val="pt-BR" w:eastAsia="pt-BR"/>
        </w:rPr>
        <w:t>Fonte: Elaborada pelo Autor (2021)</w:t>
      </w:r>
    </w:p>
    <w:p w:rsidR="002C7B1D" w:rsidRPr="002C7B1D" w:rsidRDefault="002C7B1D" w:rsidP="002C7B1D">
      <w:pPr>
        <w:jc w:val="both"/>
        <w:rPr>
          <w:lang w:val="pt-BR"/>
        </w:rPr>
      </w:pPr>
      <w:r w:rsidRPr="002C7B1D">
        <w:rPr>
          <w:lang w:val="pt-BR"/>
        </w:rPr>
        <w:t>A heurística 6.4 refere-se ao salvamento das configurações do jogo, assim como o salvamento manual e automático (6.10 e 6.11). As heurísticas que sugerem a inclusão de pessoas com deficiência no processo de testes (6.7 e 6.13) não puderam ser verificadas.</w:t>
      </w:r>
    </w:p>
    <w:p w:rsidR="002C7B1D" w:rsidRPr="00BE04D0" w:rsidRDefault="002C7B1D" w:rsidP="002C7B1D">
      <w:pPr>
        <w:jc w:val="both"/>
        <w:rPr>
          <w:lang w:val="pt-BR"/>
        </w:rPr>
      </w:pPr>
      <w:r w:rsidRPr="002C7B1D">
        <w:rPr>
          <w:lang w:val="pt-BR"/>
        </w:rPr>
        <w:t>No total, 57 heurísticas (50%) não foram encontradas em nenhum dos produtos avaliados, e apenas 5 heurísticas (4,3%) estavam presentes em todos os jogos. A totalização das ocorrências das heurísticas distribuiu-se em 266 registros nas 114 heurísticas analisadas, segmentadas por subcategoria da seguinte forma: (i) motor, 44 ocorrências em 19 heurísticas; (</w:t>
      </w:r>
      <w:proofErr w:type="spellStart"/>
      <w:r w:rsidRPr="002C7B1D">
        <w:rPr>
          <w:lang w:val="pt-BR"/>
        </w:rPr>
        <w:t>ii</w:t>
      </w:r>
      <w:proofErr w:type="spellEnd"/>
      <w:r w:rsidRPr="002C7B1D">
        <w:rPr>
          <w:lang w:val="pt-BR"/>
        </w:rPr>
        <w:t>) cognitivo, 101 em 27 heurísticas; (</w:t>
      </w:r>
      <w:proofErr w:type="spellStart"/>
      <w:r w:rsidRPr="002C7B1D">
        <w:rPr>
          <w:lang w:val="pt-BR"/>
        </w:rPr>
        <w:t>iii</w:t>
      </w:r>
      <w:proofErr w:type="spellEnd"/>
      <w:r w:rsidRPr="002C7B1D">
        <w:rPr>
          <w:lang w:val="pt-BR"/>
        </w:rPr>
        <w:t>) visão, 40 em 29 heurísticas; (</w:t>
      </w:r>
      <w:proofErr w:type="spellStart"/>
      <w:r w:rsidRPr="002C7B1D">
        <w:rPr>
          <w:lang w:val="pt-BR"/>
        </w:rPr>
        <w:t>iv</w:t>
      </w:r>
      <w:proofErr w:type="spellEnd"/>
      <w:r w:rsidRPr="002C7B1D">
        <w:rPr>
          <w:lang w:val="pt-BR"/>
        </w:rPr>
        <w:t>) auditivo, 41 em 17 heurísticas; (v) fala, 0 em 6 heurísticas; e (vi) geral, 40 em 16 heurísticas.</w:t>
      </w:r>
    </w:p>
    <w:p w:rsidR="00BE04D0" w:rsidRPr="00DC5268" w:rsidRDefault="00BE04D0" w:rsidP="007313CD">
      <w:pPr>
        <w:pStyle w:val="FonteLegenda"/>
        <w:rPr>
          <w:lang w:val="pt-BR"/>
        </w:rPr>
      </w:pPr>
    </w:p>
    <w:p w:rsidR="00820010" w:rsidRPr="00A2023E" w:rsidRDefault="00491231">
      <w:pPr>
        <w:pStyle w:val="Topico"/>
        <w:rPr>
          <w:b/>
          <w:lang w:val="pt-BR"/>
        </w:rPr>
      </w:pPr>
      <w:r w:rsidRPr="00A2023E">
        <w:rPr>
          <w:b/>
          <w:lang w:val="pt-BR"/>
        </w:rPr>
        <w:t>CONSIDERAÇÕES FINAIS</w:t>
      </w:r>
    </w:p>
    <w:p w:rsidR="00820BF7" w:rsidRPr="00820BF7" w:rsidRDefault="00820BF7" w:rsidP="00ED5828">
      <w:pPr>
        <w:jc w:val="both"/>
        <w:rPr>
          <w:lang w:val="pt-BR"/>
        </w:rPr>
      </w:pPr>
      <w:r w:rsidRPr="00820BF7">
        <w:rPr>
          <w:lang w:val="pt-BR"/>
        </w:rPr>
        <w:t>A acessibilidade em jogos digitais ainda é pouco explorada e exige maior apli</w:t>
      </w:r>
      <w:r w:rsidR="00C40969">
        <w:rPr>
          <w:lang w:val="pt-BR"/>
        </w:rPr>
        <w:t xml:space="preserve">cabilidade nos produtos finais. </w:t>
      </w:r>
      <w:r w:rsidRPr="00820BF7">
        <w:rPr>
          <w:lang w:val="pt-BR"/>
        </w:rPr>
        <w:t>Na análise de dez jogos baseada nas heurísticas da GAG, observou-se o seguinte índice médio de ocorrências por categoria: (i) motor, 2,3; (</w:t>
      </w:r>
      <w:proofErr w:type="spellStart"/>
      <w:r w:rsidRPr="00820BF7">
        <w:rPr>
          <w:lang w:val="pt-BR"/>
        </w:rPr>
        <w:t>ii</w:t>
      </w:r>
      <w:proofErr w:type="spellEnd"/>
      <w:r w:rsidRPr="00820BF7">
        <w:rPr>
          <w:lang w:val="pt-BR"/>
        </w:rPr>
        <w:t>) cognitivo, 3,7; (</w:t>
      </w:r>
      <w:proofErr w:type="spellStart"/>
      <w:r w:rsidRPr="00820BF7">
        <w:rPr>
          <w:lang w:val="pt-BR"/>
        </w:rPr>
        <w:t>iii</w:t>
      </w:r>
      <w:proofErr w:type="spellEnd"/>
      <w:r w:rsidRPr="00820BF7">
        <w:rPr>
          <w:lang w:val="pt-BR"/>
        </w:rPr>
        <w:t>) visão, 1,3; (</w:t>
      </w:r>
      <w:proofErr w:type="spellStart"/>
      <w:r w:rsidRPr="00820BF7">
        <w:rPr>
          <w:lang w:val="pt-BR"/>
        </w:rPr>
        <w:t>iv</w:t>
      </w:r>
      <w:proofErr w:type="spellEnd"/>
      <w:r w:rsidRPr="00820BF7">
        <w:rPr>
          <w:lang w:val="pt-BR"/>
        </w:rPr>
        <w:t>) auditivo, 2,4; (v) fala, 0,0; e (vi) geral, 2,5, indicando a necessidade de reforço em aspectos cognitivos, visuais e de fala, embora a amostra seja pequena para conclusões definitivas.</w:t>
      </w:r>
      <w:r w:rsidR="00C40969">
        <w:rPr>
          <w:lang w:val="pt-BR"/>
        </w:rPr>
        <w:t xml:space="preserve"> </w:t>
      </w:r>
      <w:r w:rsidRPr="00820BF7">
        <w:rPr>
          <w:lang w:val="pt-BR"/>
        </w:rPr>
        <w:t xml:space="preserve">A avaliação heurística com base na GAG revelou que a lista é abrangente, mas apresenta duplicidade em algumas heurísticas, possivelmente justificadas pela aplicação em diferentes tipos de deficiência. Exemplos práticos, como o Modo Invencível de Celeste, poderiam ilustrar melhor certas heurísticas, enquanto a falta de diretrizes específicas para </w:t>
      </w:r>
      <w:proofErr w:type="spellStart"/>
      <w:r w:rsidRPr="00820BF7">
        <w:rPr>
          <w:lang w:val="pt-BR"/>
        </w:rPr>
        <w:t>fotossensibilidade</w:t>
      </w:r>
      <w:proofErr w:type="spellEnd"/>
      <w:r w:rsidRPr="00820BF7">
        <w:rPr>
          <w:lang w:val="pt-BR"/>
        </w:rPr>
        <w:t xml:space="preserve"> e adaptação para </w:t>
      </w:r>
      <w:proofErr w:type="spellStart"/>
      <w:r w:rsidRPr="00820BF7">
        <w:rPr>
          <w:lang w:val="pt-BR"/>
        </w:rPr>
        <w:t>discromatopsia</w:t>
      </w:r>
      <w:proofErr w:type="spellEnd"/>
      <w:r w:rsidRPr="00820BF7">
        <w:rPr>
          <w:lang w:val="pt-BR"/>
        </w:rPr>
        <w:t xml:space="preserve"> demonstra lacunas a serem preenchidas. A inclusão dessas propostas poderia contribuir para o aprimoramento e refinamento da GAG, tornando-a mais abrangente.</w:t>
      </w:r>
    </w:p>
    <w:p w:rsidR="00820BF7" w:rsidRPr="00820BF7" w:rsidRDefault="00820BF7" w:rsidP="00ED5828">
      <w:pPr>
        <w:jc w:val="both"/>
        <w:rPr>
          <w:lang w:val="pt-BR"/>
        </w:rPr>
      </w:pPr>
      <w:r w:rsidRPr="00820BF7">
        <w:rPr>
          <w:lang w:val="pt-BR"/>
        </w:rPr>
        <w:lastRenderedPageBreak/>
        <w:t>Heurísticas específicas para plataformas ou tipos de jogos, como as relacionadas a telas de toque, jogos 3D e multiplayer, não foram detectadas nesta amostra, mas seria adequado considerar essas categorias separadamente em estudos com amostras maiores para evitar vieses nas análises. Além disso, alguns aspectos de acessibilidade presentes em jogos avaliados não são contemplados pelas heurísticas atuais da GAG.</w:t>
      </w:r>
    </w:p>
    <w:p w:rsidR="00820010" w:rsidRDefault="00820BF7" w:rsidP="00ED5828">
      <w:pPr>
        <w:jc w:val="both"/>
        <w:rPr>
          <w:lang w:val="pt-BR"/>
        </w:rPr>
      </w:pPr>
      <w:r w:rsidRPr="00820BF7">
        <w:rPr>
          <w:lang w:val="pt-BR"/>
        </w:rPr>
        <w:t>Com uma média de aderência às heurísticas de apenas 20%, há um campo vasto para o desenvolvimento da acessibilidade nos jogos digitais, bem como a necessidade de metodologias ágeis de design que incorporem a acessibilidade como requisito. Para análises futuras, pretende-se ampliar a amostra de jogos para obter um retrato mais robusto da acessibilidade no meio</w:t>
      </w:r>
      <w:r w:rsidR="001D5C04">
        <w:rPr>
          <w:lang w:val="pt-BR"/>
        </w:rPr>
        <w:t>, e possíveis critérios de filtragem por plataforma e/ou gênero</w:t>
      </w:r>
      <w:r w:rsidRPr="00820BF7">
        <w:rPr>
          <w:lang w:val="pt-BR"/>
        </w:rPr>
        <w:t xml:space="preserve">. Também </w:t>
      </w:r>
      <w:r w:rsidR="001D5C04" w:rsidRPr="00820BF7">
        <w:rPr>
          <w:lang w:val="pt-BR"/>
        </w:rPr>
        <w:t>se sugere</w:t>
      </w:r>
      <w:r w:rsidRPr="00820BF7">
        <w:rPr>
          <w:lang w:val="pt-BR"/>
        </w:rPr>
        <w:t xml:space="preserve"> a criação de ferramentas específicas para facilitar a avaliação e o cálculo dos scores, já que o uso atual de planilhas eletrônicas, embora funcional, carece de interfaces otimizadas para esse propósito.</w:t>
      </w:r>
      <w:r w:rsidR="00F85621">
        <w:rPr>
          <w:lang w:val="pt-BR"/>
        </w:rPr>
        <w:t xml:space="preserve"> </w:t>
      </w:r>
      <w:r w:rsidRPr="00820BF7">
        <w:rPr>
          <w:lang w:val="pt-BR"/>
        </w:rPr>
        <w:t xml:space="preserve">Outra recomendação é a inclusão de um critério para avaliar o impacto da acessibilidade na jogabilidade, elemento central nos jogos digitais, que ainda não é detalhado suficientemente na GAG, podendo-se considerar experiências da APX nesse aspecto. Por fim, é esperado que o avanço da acessibilidade ultrapasse o campo acadêmico e seja incorporado mais amplamente nos produtos, com iniciativas como a da </w:t>
      </w:r>
      <w:proofErr w:type="spellStart"/>
      <w:r w:rsidRPr="00820BF7">
        <w:rPr>
          <w:lang w:val="pt-BR"/>
        </w:rPr>
        <w:t>Naughty</w:t>
      </w:r>
      <w:proofErr w:type="spellEnd"/>
      <w:r w:rsidRPr="00820BF7">
        <w:rPr>
          <w:lang w:val="pt-BR"/>
        </w:rPr>
        <w:t xml:space="preserve"> </w:t>
      </w:r>
      <w:proofErr w:type="spellStart"/>
      <w:r w:rsidRPr="00820BF7">
        <w:rPr>
          <w:lang w:val="pt-BR"/>
        </w:rPr>
        <w:t>Dog</w:t>
      </w:r>
      <w:proofErr w:type="spellEnd"/>
      <w:r w:rsidRPr="00820BF7">
        <w:rPr>
          <w:lang w:val="pt-BR"/>
        </w:rPr>
        <w:t xml:space="preserve"> em The Last </w:t>
      </w:r>
      <w:proofErr w:type="spellStart"/>
      <w:r w:rsidRPr="00820BF7">
        <w:rPr>
          <w:lang w:val="pt-BR"/>
        </w:rPr>
        <w:t>of</w:t>
      </w:r>
      <w:proofErr w:type="spellEnd"/>
      <w:r w:rsidRPr="00820BF7">
        <w:rPr>
          <w:lang w:val="pt-BR"/>
        </w:rPr>
        <w:t xml:space="preserve"> </w:t>
      </w:r>
      <w:proofErr w:type="spellStart"/>
      <w:r w:rsidRPr="00820BF7">
        <w:rPr>
          <w:lang w:val="pt-BR"/>
        </w:rPr>
        <w:t>Us</w:t>
      </w:r>
      <w:proofErr w:type="spellEnd"/>
      <w:r w:rsidRPr="00820BF7">
        <w:rPr>
          <w:lang w:val="pt-BR"/>
        </w:rPr>
        <w:t xml:space="preserve"> </w:t>
      </w:r>
      <w:proofErr w:type="spellStart"/>
      <w:r w:rsidRPr="00820BF7">
        <w:rPr>
          <w:lang w:val="pt-BR"/>
        </w:rPr>
        <w:t>Part</w:t>
      </w:r>
      <w:proofErr w:type="spellEnd"/>
      <w:r w:rsidRPr="00820BF7">
        <w:rPr>
          <w:lang w:val="pt-BR"/>
        </w:rPr>
        <w:t xml:space="preserve"> II servindo como motivação para que outras desenvolvedoras elevem os padrões, promovendo um acesso mais democrático aos jogos digitais.</w:t>
      </w:r>
    </w:p>
    <w:p w:rsidR="007313CD" w:rsidRDefault="007313CD">
      <w:pPr>
        <w:pStyle w:val="Topico"/>
        <w:rPr>
          <w:b/>
          <w:lang w:val="pt-BR"/>
        </w:rPr>
      </w:pPr>
    </w:p>
    <w:p w:rsidR="00820010" w:rsidRPr="00A2023E" w:rsidRDefault="00491231">
      <w:pPr>
        <w:pStyle w:val="Topico"/>
        <w:rPr>
          <w:b/>
          <w:lang w:val="pt-BR"/>
        </w:rPr>
      </w:pPr>
      <w:r w:rsidRPr="00A2023E">
        <w:rPr>
          <w:b/>
          <w:lang w:val="pt-BR"/>
        </w:rPr>
        <w:t>REFERÊNCIAS</w:t>
      </w:r>
    </w:p>
    <w:p w:rsidR="007313CD" w:rsidRDefault="007313CD" w:rsidP="007313CD">
      <w:pPr>
        <w:pStyle w:val="Referencia"/>
      </w:pPr>
      <w:r w:rsidRPr="007313CD">
        <w:rPr>
          <w:lang w:val="pt-BR"/>
        </w:rPr>
        <w:t xml:space="preserve">AGUADO-DELGADO, J. et al. </w:t>
      </w:r>
      <w:r w:rsidRPr="007313CD">
        <w:t>Accessibility in Digital Games: A Systematic Review. Applied Sciences, v. 10, n. 20, p. 1-20, 2020.</w:t>
      </w:r>
      <w:r w:rsidR="001B7485">
        <w:t xml:space="preserve"> </w:t>
      </w:r>
      <w:r w:rsidR="001B7485" w:rsidRPr="001B7485">
        <w:t>https://doi.org/10.1007/s10209-018-0628-2</w:t>
      </w:r>
    </w:p>
    <w:p w:rsidR="00A34DA4" w:rsidRDefault="00A34DA4" w:rsidP="007313CD">
      <w:pPr>
        <w:pStyle w:val="Referencia"/>
      </w:pPr>
    </w:p>
    <w:p w:rsidR="00A34DA4" w:rsidRPr="007313CD" w:rsidRDefault="00A34DA4" w:rsidP="007313CD">
      <w:pPr>
        <w:pStyle w:val="Referencia"/>
      </w:pPr>
      <w:r>
        <w:t xml:space="preserve">ABLEGAMERS. </w:t>
      </w:r>
      <w:r>
        <w:rPr>
          <w:rStyle w:val="nfase"/>
        </w:rPr>
        <w:t>Accessible Player Experiences (APX) Design Patterns</w:t>
      </w:r>
      <w:r>
        <w:t xml:space="preserve">. </w:t>
      </w:r>
      <w:proofErr w:type="spellStart"/>
      <w:r>
        <w:t>AbleGamers</w:t>
      </w:r>
      <w:proofErr w:type="spellEnd"/>
      <w:r>
        <w:t xml:space="preserve"> Foundation, 2025.</w:t>
      </w:r>
    </w:p>
    <w:p w:rsidR="007313CD" w:rsidRPr="007313CD" w:rsidRDefault="007313CD" w:rsidP="007313CD">
      <w:pPr>
        <w:pStyle w:val="Referencia"/>
      </w:pPr>
    </w:p>
    <w:p w:rsidR="007313CD" w:rsidRPr="007313CD" w:rsidRDefault="007313CD" w:rsidP="007313CD">
      <w:pPr>
        <w:pStyle w:val="Referencia"/>
      </w:pPr>
      <w:r w:rsidRPr="007313CD">
        <w:t>ARCHAMBAULT, D.; DUPIRE, J. Accessible Gaming and Mainstreaming Accessibility Research. In: ICCHP 2018: Computers Helping People with Special Needs.</w:t>
      </w:r>
      <w:r w:rsidR="008506FC">
        <w:t xml:space="preserve"> Cham: Springer, 2018. p. 15–22. </w:t>
      </w:r>
      <w:r w:rsidR="008506FC" w:rsidRPr="008506FC">
        <w:t>https://doi.org/10.1007/978-3-319-94277-3</w:t>
      </w:r>
    </w:p>
    <w:p w:rsidR="007313CD" w:rsidRPr="007313CD" w:rsidRDefault="007313CD" w:rsidP="00171816">
      <w:pPr>
        <w:pStyle w:val="Referencia"/>
        <w:ind w:left="0" w:firstLine="0"/>
      </w:pPr>
    </w:p>
    <w:p w:rsidR="007313CD" w:rsidRPr="007313CD" w:rsidRDefault="007313CD" w:rsidP="007313CD">
      <w:pPr>
        <w:pStyle w:val="Referencia"/>
      </w:pPr>
      <w:r w:rsidRPr="007313CD">
        <w:t>BEESTON, R. et al. Understanding the Motivations of Disabled Players. In: CHI PLAY ’21: Proceedings of the Annual Symposium on Computer-Human Interaction in Play, 2021. p. 1–12.</w:t>
      </w:r>
      <w:r w:rsidR="008506FC">
        <w:t xml:space="preserve"> </w:t>
      </w:r>
      <w:r w:rsidR="008506FC" w:rsidRPr="008506FC">
        <w:t>https://doi.org/10.1145/3450337</w:t>
      </w:r>
    </w:p>
    <w:p w:rsidR="007313CD" w:rsidRPr="007313CD" w:rsidRDefault="007313CD" w:rsidP="007313CD">
      <w:pPr>
        <w:pStyle w:val="Referencia"/>
      </w:pPr>
    </w:p>
    <w:p w:rsidR="007313CD" w:rsidRPr="007313CD" w:rsidRDefault="007313CD" w:rsidP="007313CD">
      <w:pPr>
        <w:pStyle w:val="Referencia"/>
      </w:pPr>
      <w:r w:rsidRPr="007313CD">
        <w:lastRenderedPageBreak/>
        <w:t>BIERRE, K. et al. Game Not Over: Accessibility Issues in Video Games. In: Proceedings of the 3rd International Conference on Universal Access in Human-Computer Interaction, 2005. p. 22–27.</w:t>
      </w:r>
    </w:p>
    <w:p w:rsidR="007313CD" w:rsidRPr="007313CD" w:rsidRDefault="007313CD" w:rsidP="007313CD">
      <w:pPr>
        <w:pStyle w:val="Referencia"/>
      </w:pPr>
    </w:p>
    <w:p w:rsidR="007313CD" w:rsidRPr="007313CD" w:rsidRDefault="007313CD" w:rsidP="007313CD">
      <w:pPr>
        <w:pStyle w:val="Referencia"/>
      </w:pPr>
      <w:r w:rsidRPr="007313CD">
        <w:t>CAIRNS, P. et al. Towards a Vocabulary for Accessibility in Games. In: CHI PLAY ’19: Proceedings of the Annual Symposium on Computer-Human Interaction in Play, 2019a. p. 61–73.</w:t>
      </w:r>
      <w:r w:rsidR="0065590D">
        <w:t xml:space="preserve"> </w:t>
      </w:r>
      <w:r w:rsidR="0065590D" w:rsidRPr="0065590D">
        <w:t>https://doi.org/10.1145/3311350</w:t>
      </w:r>
    </w:p>
    <w:p w:rsidR="007313CD" w:rsidRPr="007313CD" w:rsidRDefault="007313CD" w:rsidP="007313CD">
      <w:pPr>
        <w:pStyle w:val="Referencia"/>
      </w:pPr>
    </w:p>
    <w:p w:rsidR="007313CD" w:rsidRDefault="007313CD" w:rsidP="007313CD">
      <w:pPr>
        <w:pStyle w:val="Referencia"/>
      </w:pPr>
      <w:r w:rsidRPr="007313CD">
        <w:t>CAIRNS, P. et al. The Value of Accessible Digital Games. In: CHI PLAY ’19: Proceedings of the Annual Symposium on Computer-Human Interaction in Play, 2019b. p. 1–12.</w:t>
      </w:r>
      <w:r w:rsidR="0065590D" w:rsidRPr="0065590D">
        <w:t xml:space="preserve"> https://doi.org/10.1145/3311350</w:t>
      </w:r>
      <w:r w:rsidR="0065590D">
        <w:t xml:space="preserve"> </w:t>
      </w:r>
    </w:p>
    <w:p w:rsidR="00A130A5" w:rsidRDefault="00A130A5" w:rsidP="007313CD">
      <w:pPr>
        <w:pStyle w:val="Referencia"/>
      </w:pPr>
    </w:p>
    <w:p w:rsidR="00A130A5" w:rsidRPr="00A130A5" w:rsidRDefault="00A130A5" w:rsidP="00A130A5">
      <w:pPr>
        <w:pStyle w:val="Referencia"/>
        <w:rPr>
          <w:lang w:val="pt-BR"/>
        </w:rPr>
      </w:pPr>
      <w:r w:rsidRPr="00A130A5">
        <w:rPr>
          <w:lang w:val="pt-BR"/>
        </w:rPr>
        <w:t xml:space="preserve">COSTA, D. L. User Experience </w:t>
      </w:r>
      <w:proofErr w:type="spellStart"/>
      <w:r w:rsidRPr="00A130A5">
        <w:rPr>
          <w:lang w:val="pt-BR"/>
        </w:rPr>
        <w:t>and</w:t>
      </w:r>
      <w:proofErr w:type="spellEnd"/>
      <w:r w:rsidRPr="00A130A5">
        <w:rPr>
          <w:lang w:val="pt-BR"/>
        </w:rPr>
        <w:t xml:space="preserve"> Interface Design for Games // </w:t>
      </w:r>
      <w:proofErr w:type="gramStart"/>
      <w:r w:rsidRPr="00A130A5">
        <w:rPr>
          <w:lang w:val="pt-BR"/>
        </w:rPr>
        <w:t>UXIG :</w:t>
      </w:r>
      <w:proofErr w:type="gramEnd"/>
      <w:r w:rsidRPr="00A130A5">
        <w:rPr>
          <w:lang w:val="pt-BR"/>
        </w:rPr>
        <w:t xml:space="preserve"> metodologia para o design de interface de jogos digitais com requisitos de acessibilidade baseada na Design </w:t>
      </w:r>
      <w:proofErr w:type="spellStart"/>
      <w:r w:rsidRPr="00A130A5">
        <w:rPr>
          <w:lang w:val="pt-BR"/>
        </w:rPr>
        <w:t>Thinking</w:t>
      </w:r>
      <w:proofErr w:type="spellEnd"/>
      <w:r w:rsidRPr="00A130A5">
        <w:rPr>
          <w:lang w:val="pt-BR"/>
        </w:rPr>
        <w:t xml:space="preserve"> Canvas. 2023. 322 f. Tese (Doutorado em Design) - Centro de Artes e Comunicação, Programa de Pós-Graduação em Design, Universidade Federal de Pernambuco, 2023.</w:t>
      </w:r>
    </w:p>
    <w:p w:rsidR="007313CD" w:rsidRPr="007313CD" w:rsidRDefault="007313CD" w:rsidP="0055118D">
      <w:pPr>
        <w:pStyle w:val="Referencia"/>
        <w:ind w:left="0" w:firstLine="0"/>
      </w:pPr>
    </w:p>
    <w:p w:rsidR="007313CD" w:rsidRPr="007313CD" w:rsidRDefault="007313CD" w:rsidP="007313CD">
      <w:pPr>
        <w:pStyle w:val="Referencia"/>
      </w:pPr>
      <w:r w:rsidRPr="007313CD">
        <w:t>GLINERT, E. Games for All: Designing Accessible User Interfaces. In: Proceedings of the 2008 Conference on Future Play, 2008. p. 251–252.</w:t>
      </w:r>
      <w:r w:rsidR="0065590D" w:rsidRPr="0065590D">
        <w:t xml:space="preserve"> https://doi.org/10.1145/1496984</w:t>
      </w:r>
      <w:r w:rsidR="0065590D">
        <w:t xml:space="preserve"> </w:t>
      </w:r>
    </w:p>
    <w:p w:rsidR="007313CD" w:rsidRPr="007313CD" w:rsidRDefault="007313CD" w:rsidP="007313CD">
      <w:pPr>
        <w:pStyle w:val="Referencia"/>
      </w:pPr>
    </w:p>
    <w:p w:rsidR="007313CD" w:rsidRPr="007313CD" w:rsidRDefault="007313CD" w:rsidP="007313CD">
      <w:pPr>
        <w:pStyle w:val="Referencia"/>
      </w:pPr>
      <w:r w:rsidRPr="007313CD">
        <w:t>GRAMMENOS, D. Universal Access in Digital Games: Evaluating and Designing for Accessibility. In: Proceedings of the International Conference on Universal Access in Human-Computer Interaction. Berlin, Heidelberg: Springer, 2014. p. 25–34.</w:t>
      </w:r>
      <w:r w:rsidR="0065590D" w:rsidRPr="0065590D">
        <w:t xml:space="preserve"> https://doi.org/10.1007/978-3-319-07437-5</w:t>
      </w:r>
    </w:p>
    <w:p w:rsidR="007313CD" w:rsidRPr="007313CD" w:rsidRDefault="007313CD" w:rsidP="007313CD">
      <w:pPr>
        <w:pStyle w:val="Referencia"/>
      </w:pPr>
    </w:p>
    <w:p w:rsidR="007313CD" w:rsidRPr="007313CD" w:rsidRDefault="007313CD" w:rsidP="007313CD">
      <w:pPr>
        <w:pStyle w:val="Referencia"/>
      </w:pPr>
      <w:r w:rsidRPr="007313CD">
        <w:t>HASSAN, S.; BALTZAR, S. Accessibility in Games: A Systematic Literature Review. Entertainment Computing, v. 42, p. 100–110, 2022.</w:t>
      </w:r>
      <w:r w:rsidR="0065590D">
        <w:t xml:space="preserve"> </w:t>
      </w:r>
      <w:r w:rsidR="0065590D" w:rsidRPr="0065590D">
        <w:t>https://doi.org/10.1016/j.entcom.2022.100910</w:t>
      </w:r>
    </w:p>
    <w:p w:rsidR="007313CD" w:rsidRPr="007313CD" w:rsidRDefault="007313CD" w:rsidP="007313CD">
      <w:pPr>
        <w:pStyle w:val="Referencia"/>
      </w:pPr>
    </w:p>
    <w:p w:rsidR="007313CD" w:rsidRPr="007313CD" w:rsidRDefault="007313CD" w:rsidP="0065590D">
      <w:pPr>
        <w:pStyle w:val="Referencia"/>
      </w:pPr>
      <w:r w:rsidRPr="007313CD">
        <w:t>HOLLOWAY, L. et al. Game Accessibility: A Survey on Representation and Participation. In: Proceedings of the 2019 Annual Symposium on Computer-Human Interaction in Play, 2019. p. 337–350.</w:t>
      </w:r>
      <w:r w:rsidR="0065590D">
        <w:t xml:space="preserve"> </w:t>
      </w:r>
      <w:r w:rsidR="0065590D" w:rsidRPr="0065590D">
        <w:t>https://doi.org/10.1145/3311350</w:t>
      </w:r>
    </w:p>
    <w:p w:rsidR="007313CD" w:rsidRPr="007313CD" w:rsidRDefault="007313CD" w:rsidP="007313CD">
      <w:pPr>
        <w:pStyle w:val="Referencia"/>
      </w:pPr>
    </w:p>
    <w:p w:rsidR="007313CD" w:rsidRPr="007313CD" w:rsidRDefault="007313CD" w:rsidP="007313CD">
      <w:pPr>
        <w:pStyle w:val="Referencia"/>
      </w:pPr>
      <w:r w:rsidRPr="007313CD">
        <w:t xml:space="preserve">LEITE, D.; RETORE, A.; ALMEIDA, J. Accessibility and Game Design: Applying Schell’s Tetrad. In: Proceedings of the </w:t>
      </w:r>
      <w:proofErr w:type="spellStart"/>
      <w:r w:rsidRPr="007313CD">
        <w:t>SBGames</w:t>
      </w:r>
      <w:proofErr w:type="spellEnd"/>
      <w:r w:rsidRPr="007313CD">
        <w:t>, 2019. p. 213–222.</w:t>
      </w:r>
    </w:p>
    <w:p w:rsidR="007313CD" w:rsidRPr="007313CD" w:rsidRDefault="007313CD" w:rsidP="007313CD">
      <w:pPr>
        <w:pStyle w:val="Referencia"/>
      </w:pPr>
    </w:p>
    <w:p w:rsidR="007313CD" w:rsidRPr="007313CD" w:rsidRDefault="007313CD" w:rsidP="00E714DC">
      <w:pPr>
        <w:pStyle w:val="Referencia"/>
      </w:pPr>
      <w:r w:rsidRPr="007313CD">
        <w:t>LEVY, E.; GANDY, M. Teaching Accessibility in Game Design Education. In: CHI PLAY ’19 Extended Abstracts, 2019. p. 865–872.</w:t>
      </w:r>
      <w:r w:rsidR="00E714DC">
        <w:t xml:space="preserve"> </w:t>
      </w:r>
      <w:r w:rsidR="00E714DC" w:rsidRPr="0065590D">
        <w:t>https://doi.org/10.1145/3311350</w:t>
      </w:r>
    </w:p>
    <w:p w:rsidR="007313CD" w:rsidRPr="007313CD" w:rsidRDefault="007313CD" w:rsidP="0055118D">
      <w:pPr>
        <w:pStyle w:val="Referencia"/>
        <w:ind w:left="0" w:firstLine="0"/>
      </w:pPr>
    </w:p>
    <w:p w:rsidR="007313CD" w:rsidRPr="007313CD" w:rsidRDefault="007313CD" w:rsidP="007313CD">
      <w:pPr>
        <w:pStyle w:val="Referencia"/>
      </w:pPr>
      <w:r w:rsidRPr="007313CD">
        <w:t>LÓPEZ, M.; CORNO, F.; DE RUSSIS, L. Video Game Accessibility: A Survey. Universal Access in the Information Society, v. 16, n. 4, p. 921–939, 2017.</w:t>
      </w:r>
    </w:p>
    <w:p w:rsidR="007313CD" w:rsidRPr="007313CD" w:rsidRDefault="007313CD" w:rsidP="007313CD">
      <w:pPr>
        <w:pStyle w:val="Referencia"/>
      </w:pPr>
    </w:p>
    <w:p w:rsidR="007313CD" w:rsidRPr="007313CD" w:rsidRDefault="007313CD" w:rsidP="007313CD">
      <w:pPr>
        <w:pStyle w:val="Referencia"/>
      </w:pPr>
      <w:r w:rsidRPr="007313CD">
        <w:t>MANGIRON, C. Game Accessibility: Current Trends and Future Perspectives. Translation Spaces, v. 10, n. 1, p. 45–67, 2021.</w:t>
      </w:r>
      <w:r w:rsidR="00E714DC">
        <w:t xml:space="preserve"> </w:t>
      </w:r>
      <w:r w:rsidR="00E714DC" w:rsidRPr="00E714DC">
        <w:t>https://doi.org/10.1007/978-3-030-78092-0_17</w:t>
      </w:r>
    </w:p>
    <w:p w:rsidR="007313CD" w:rsidRPr="007313CD" w:rsidRDefault="007313CD" w:rsidP="0055118D">
      <w:pPr>
        <w:pStyle w:val="Referencia"/>
        <w:ind w:left="0" w:firstLine="0"/>
      </w:pPr>
    </w:p>
    <w:p w:rsidR="00062843" w:rsidRPr="0055118D" w:rsidRDefault="007313CD" w:rsidP="00062843">
      <w:pPr>
        <w:pStyle w:val="Referencia"/>
      </w:pPr>
      <w:r w:rsidRPr="007313CD">
        <w:t xml:space="preserve">SAUNDERS, B.; NOVAK, J. Game Accessibility: Expanding the Audience. </w:t>
      </w:r>
      <w:r w:rsidRPr="0055118D">
        <w:t>In: Game Developers Conference Proceedings, 2013. p. 1–8.</w:t>
      </w:r>
    </w:p>
    <w:sectPr w:rsidR="00062843" w:rsidRPr="0055118D" w:rsidSect="00034616">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3AB" w:rsidRDefault="008A13AB" w:rsidP="00A2023E">
      <w:pPr>
        <w:spacing w:after="0" w:line="240" w:lineRule="auto"/>
      </w:pPr>
      <w:r>
        <w:separator/>
      </w:r>
    </w:p>
  </w:endnote>
  <w:endnote w:type="continuationSeparator" w:id="0">
    <w:p w:rsidR="008A13AB" w:rsidRDefault="008A13AB" w:rsidP="00A2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3AB" w:rsidRDefault="008A13AB" w:rsidP="00A2023E">
      <w:pPr>
        <w:spacing w:after="0" w:line="240" w:lineRule="auto"/>
      </w:pPr>
      <w:r>
        <w:separator/>
      </w:r>
    </w:p>
  </w:footnote>
  <w:footnote w:type="continuationSeparator" w:id="0">
    <w:p w:rsidR="008A13AB" w:rsidRDefault="008A13AB" w:rsidP="00A2023E">
      <w:pPr>
        <w:spacing w:after="0" w:line="240" w:lineRule="auto"/>
      </w:pPr>
      <w:r>
        <w:continuationSeparator/>
      </w:r>
    </w:p>
  </w:footnote>
  <w:footnote w:id="1">
    <w:p w:rsidR="00062843" w:rsidRPr="00A2023E" w:rsidRDefault="00062843" w:rsidP="00A2023E">
      <w:pPr>
        <w:pStyle w:val="Textodenotaderodap"/>
        <w:ind w:firstLine="0"/>
        <w:rPr>
          <w:lang w:val="pt-BR"/>
        </w:rPr>
      </w:pPr>
      <w:r>
        <w:rPr>
          <w:rStyle w:val="Refdenotaderodap"/>
        </w:rPr>
        <w:footnoteRef/>
      </w:r>
      <w:r w:rsidRPr="00A2023E">
        <w:rPr>
          <w:lang w:val="pt-BR"/>
        </w:rPr>
        <w:t xml:space="preserve"> </w:t>
      </w:r>
      <w:r>
        <w:rPr>
          <w:lang w:val="pt-BR"/>
        </w:rPr>
        <w:t>daniel.leite.costa</w:t>
      </w:r>
      <w:r w:rsidRPr="00A2023E">
        <w:rPr>
          <w:lang w:val="pt-BR"/>
        </w:rPr>
        <w:t>@</w:t>
      </w:r>
      <w:r>
        <w:rPr>
          <w:lang w:val="pt-BR"/>
        </w:rPr>
        <w:t>g</w:t>
      </w:r>
      <w:r w:rsidRPr="00A2023E">
        <w:rPr>
          <w:lang w:val="pt-BR"/>
        </w:rPr>
        <w:t>mail.com</w:t>
      </w:r>
      <w:r>
        <w:rPr>
          <w:lang w:val="pt-BR"/>
        </w:rPr>
        <w:t xml:space="preserve"> – Coordenador e Professor em Jogos Digitais e Design Gráfico na UniFacisa; Professor Colaborador no PPGDesign da Universidade Federal de Campina Grande.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62843"/>
    <w:rsid w:val="0006401B"/>
    <w:rsid w:val="000A049F"/>
    <w:rsid w:val="000F44DE"/>
    <w:rsid w:val="001151EA"/>
    <w:rsid w:val="0015074B"/>
    <w:rsid w:val="001574DF"/>
    <w:rsid w:val="00171816"/>
    <w:rsid w:val="001B7485"/>
    <w:rsid w:val="001D5C04"/>
    <w:rsid w:val="0021012A"/>
    <w:rsid w:val="00217A9C"/>
    <w:rsid w:val="00272269"/>
    <w:rsid w:val="0029639D"/>
    <w:rsid w:val="002C7B1D"/>
    <w:rsid w:val="00326F90"/>
    <w:rsid w:val="00382CF5"/>
    <w:rsid w:val="00491231"/>
    <w:rsid w:val="004E3FE1"/>
    <w:rsid w:val="0055118D"/>
    <w:rsid w:val="00592D47"/>
    <w:rsid w:val="005A7774"/>
    <w:rsid w:val="0065590D"/>
    <w:rsid w:val="00710768"/>
    <w:rsid w:val="00722A88"/>
    <w:rsid w:val="007275E6"/>
    <w:rsid w:val="007313CD"/>
    <w:rsid w:val="00735C3E"/>
    <w:rsid w:val="0079139D"/>
    <w:rsid w:val="00820010"/>
    <w:rsid w:val="00820BF7"/>
    <w:rsid w:val="008211AB"/>
    <w:rsid w:val="00843FA0"/>
    <w:rsid w:val="008506FC"/>
    <w:rsid w:val="008822CA"/>
    <w:rsid w:val="0089629B"/>
    <w:rsid w:val="008A13AB"/>
    <w:rsid w:val="00911B4D"/>
    <w:rsid w:val="00965132"/>
    <w:rsid w:val="00A130A5"/>
    <w:rsid w:val="00A2023E"/>
    <w:rsid w:val="00A3482C"/>
    <w:rsid w:val="00A34DA4"/>
    <w:rsid w:val="00A428D6"/>
    <w:rsid w:val="00AA1D8D"/>
    <w:rsid w:val="00AE3741"/>
    <w:rsid w:val="00AF37CC"/>
    <w:rsid w:val="00B47640"/>
    <w:rsid w:val="00B47730"/>
    <w:rsid w:val="00B830CC"/>
    <w:rsid w:val="00BE04D0"/>
    <w:rsid w:val="00C250D9"/>
    <w:rsid w:val="00C40969"/>
    <w:rsid w:val="00C8390B"/>
    <w:rsid w:val="00CB0664"/>
    <w:rsid w:val="00CC3FD6"/>
    <w:rsid w:val="00CD6E95"/>
    <w:rsid w:val="00D54B1B"/>
    <w:rsid w:val="00D56E15"/>
    <w:rsid w:val="00D817F6"/>
    <w:rsid w:val="00DC5268"/>
    <w:rsid w:val="00E0189C"/>
    <w:rsid w:val="00E56DAC"/>
    <w:rsid w:val="00E714DC"/>
    <w:rsid w:val="00E87A77"/>
    <w:rsid w:val="00EB67C9"/>
    <w:rsid w:val="00ED5828"/>
    <w:rsid w:val="00F07A14"/>
    <w:rsid w:val="00F10864"/>
    <w:rsid w:val="00F85621"/>
    <w:rsid w:val="00F85DF4"/>
    <w:rsid w:val="00FA64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3D1FA"/>
  <w14:defaultImageDpi w14:val="300"/>
  <w15:docId w15:val="{FE456BA0-A168-4751-BEF8-1EDDAB6D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B1B"/>
    <w:pPr>
      <w:spacing w:after="120" w:line="360" w:lineRule="auto"/>
      <w:ind w:firstLine="850"/>
    </w:pPr>
    <w:rPr>
      <w:rFonts w:ascii="Times New Roman" w:hAnsi="Times New Roman"/>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ind w:firstLine="850"/>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ind w:left="360"/>
      <w:contextualSpacing/>
    </w:pPr>
  </w:style>
  <w:style w:type="paragraph" w:styleId="Listadecontinuao2">
    <w:name w:val="List Continue 2"/>
    <w:basedOn w:val="Normal"/>
    <w:uiPriority w:val="99"/>
    <w:unhideWhenUsed/>
    <w:rsid w:val="0029639D"/>
    <w:pPr>
      <w:ind w:left="720"/>
      <w:contextualSpacing/>
    </w:pPr>
  </w:style>
  <w:style w:type="paragraph" w:styleId="Listadecontinuao3">
    <w:name w:val="List Continue 3"/>
    <w:basedOn w:val="Normal"/>
    <w:uiPriority w:val="99"/>
    <w:unhideWhenUsed/>
    <w:rsid w:val="0029639D"/>
    <w:pPr>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aliases w:val="TESTE"/>
    <w:basedOn w:val="Normal"/>
    <w:next w:val="Normal"/>
    <w:uiPriority w:val="35"/>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uloArtigo">
    <w:name w:val="TituloArtigo"/>
    <w:pPr>
      <w:spacing w:after="120" w:line="240" w:lineRule="auto"/>
      <w:jc w:val="center"/>
    </w:pPr>
    <w:rPr>
      <w:rFonts w:ascii="Times New Roman" w:hAnsi="Times New Roman"/>
      <w:b/>
      <w:caps/>
      <w:sz w:val="28"/>
    </w:rPr>
  </w:style>
  <w:style w:type="paragraph" w:customStyle="1" w:styleId="SubtituloArtigo">
    <w:name w:val="SubtituloArtigo"/>
    <w:pPr>
      <w:spacing w:after="240" w:line="240" w:lineRule="auto"/>
      <w:jc w:val="center"/>
    </w:pPr>
    <w:rPr>
      <w:rFonts w:ascii="Times New Roman" w:hAnsi="Times New Roman"/>
      <w:b/>
      <w:sz w:val="24"/>
    </w:rPr>
  </w:style>
  <w:style w:type="paragraph" w:customStyle="1" w:styleId="Autores">
    <w:name w:val="Autores"/>
    <w:pPr>
      <w:spacing w:after="120" w:line="240" w:lineRule="auto"/>
      <w:jc w:val="center"/>
    </w:pPr>
    <w:rPr>
      <w:rFonts w:ascii="Times New Roman" w:hAnsi="Times New Roman"/>
      <w:sz w:val="24"/>
    </w:rPr>
  </w:style>
  <w:style w:type="paragraph" w:customStyle="1" w:styleId="NotaAutor">
    <w:name w:val="NotaAutor"/>
    <w:pPr>
      <w:spacing w:after="240" w:line="240" w:lineRule="auto"/>
    </w:pPr>
    <w:rPr>
      <w:rFonts w:ascii="Times New Roman" w:hAnsi="Times New Roman"/>
      <w:sz w:val="20"/>
    </w:rPr>
  </w:style>
  <w:style w:type="paragraph" w:customStyle="1" w:styleId="Topico">
    <w:name w:val="Topico"/>
    <w:pPr>
      <w:spacing w:before="240" w:after="120" w:line="360" w:lineRule="auto"/>
    </w:pPr>
    <w:rPr>
      <w:rFonts w:ascii="Times New Roman" w:hAnsi="Times New Roman"/>
      <w:caps/>
      <w:sz w:val="24"/>
    </w:rPr>
  </w:style>
  <w:style w:type="paragraph" w:customStyle="1" w:styleId="Subtopico">
    <w:name w:val="Subtopico"/>
    <w:pPr>
      <w:spacing w:before="120" w:after="120" w:line="360" w:lineRule="auto"/>
    </w:pPr>
    <w:rPr>
      <w:rFonts w:ascii="Times New Roman" w:hAnsi="Times New Roman"/>
      <w:b/>
      <w:sz w:val="24"/>
    </w:rPr>
  </w:style>
  <w:style w:type="paragraph" w:customStyle="1" w:styleId="Item">
    <w:name w:val="Item"/>
    <w:pPr>
      <w:spacing w:after="0" w:line="360" w:lineRule="auto"/>
    </w:pPr>
    <w:rPr>
      <w:rFonts w:ascii="Times New Roman" w:hAnsi="Times New Roman"/>
      <w:b/>
      <w:i/>
      <w:sz w:val="24"/>
    </w:rPr>
  </w:style>
  <w:style w:type="paragraph" w:customStyle="1" w:styleId="Subitem">
    <w:name w:val="Subitem"/>
    <w:pPr>
      <w:spacing w:after="0" w:line="360" w:lineRule="auto"/>
      <w:ind w:firstLine="283"/>
    </w:pPr>
    <w:rPr>
      <w:rFonts w:ascii="Times New Roman" w:hAnsi="Times New Roman"/>
      <w:i/>
      <w:sz w:val="24"/>
    </w:rPr>
  </w:style>
  <w:style w:type="paragraph" w:customStyle="1" w:styleId="PrePosTextual">
    <w:name w:val="PrePosTextual"/>
    <w:pPr>
      <w:spacing w:after="120" w:line="240" w:lineRule="auto"/>
    </w:pPr>
    <w:rPr>
      <w:rFonts w:ascii="Times New Roman" w:hAnsi="Times New Roman"/>
      <w:sz w:val="24"/>
    </w:rPr>
  </w:style>
  <w:style w:type="paragraph" w:customStyle="1" w:styleId="Citacao">
    <w:name w:val="Citacao"/>
    <w:pPr>
      <w:spacing w:before="120" w:after="120" w:line="240" w:lineRule="auto"/>
      <w:ind w:firstLine="850"/>
    </w:pPr>
    <w:rPr>
      <w:rFonts w:ascii="Times New Roman" w:hAnsi="Times New Roman"/>
    </w:rPr>
  </w:style>
  <w:style w:type="paragraph" w:customStyle="1" w:styleId="Legenda1">
    <w:name w:val="Legenda1"/>
    <w:pPr>
      <w:spacing w:after="60" w:line="240" w:lineRule="auto"/>
    </w:pPr>
    <w:rPr>
      <w:rFonts w:ascii="Times New Roman" w:hAnsi="Times New Roman"/>
    </w:rPr>
  </w:style>
  <w:style w:type="paragraph" w:customStyle="1" w:styleId="FonteLegenda">
    <w:name w:val="FonteLegenda"/>
    <w:pPr>
      <w:spacing w:after="120" w:line="240" w:lineRule="auto"/>
    </w:pPr>
    <w:rPr>
      <w:rFonts w:ascii="Times New Roman" w:hAnsi="Times New Roman"/>
      <w:i/>
      <w:sz w:val="20"/>
    </w:rPr>
  </w:style>
  <w:style w:type="paragraph" w:customStyle="1" w:styleId="Referencia">
    <w:name w:val="Referencia"/>
    <w:pPr>
      <w:spacing w:after="60" w:line="240" w:lineRule="auto"/>
      <w:ind w:left="709" w:hanging="709"/>
    </w:pPr>
    <w:rPr>
      <w:rFonts w:ascii="Times New Roman" w:hAnsi="Times New Roman"/>
    </w:rPr>
  </w:style>
  <w:style w:type="paragraph" w:styleId="Textodenotaderodap">
    <w:name w:val="footnote text"/>
    <w:basedOn w:val="Normal"/>
    <w:link w:val="TextodenotaderodapChar"/>
    <w:uiPriority w:val="99"/>
    <w:semiHidden/>
    <w:unhideWhenUsed/>
    <w:rsid w:val="00A202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2023E"/>
    <w:rPr>
      <w:rFonts w:ascii="Times New Roman" w:hAnsi="Times New Roman"/>
      <w:sz w:val="20"/>
      <w:szCs w:val="20"/>
    </w:rPr>
  </w:style>
  <w:style w:type="character" w:styleId="Refdenotaderodap">
    <w:name w:val="footnote reference"/>
    <w:basedOn w:val="Fontepargpadro"/>
    <w:uiPriority w:val="99"/>
    <w:semiHidden/>
    <w:unhideWhenUsed/>
    <w:rsid w:val="00A2023E"/>
    <w:rPr>
      <w:vertAlign w:val="superscript"/>
    </w:rPr>
  </w:style>
  <w:style w:type="character" w:styleId="Hyperlink">
    <w:name w:val="Hyperlink"/>
    <w:basedOn w:val="Fontepargpadro"/>
    <w:uiPriority w:val="99"/>
    <w:unhideWhenUsed/>
    <w:rsid w:val="00A2023E"/>
    <w:rPr>
      <w:color w:val="0000FF" w:themeColor="hyperlink"/>
      <w:u w:val="single"/>
    </w:rPr>
  </w:style>
  <w:style w:type="paragraph" w:customStyle="1" w:styleId="ParRec">
    <w:name w:val="Par. Rec."/>
    <w:basedOn w:val="Ttulo4"/>
    <w:rsid w:val="00911B4D"/>
    <w:pPr>
      <w:keepNext w:val="0"/>
      <w:keepLines w:val="0"/>
      <w:spacing w:before="140" w:after="140"/>
      <w:ind w:left="2268" w:firstLine="0"/>
      <w:jc w:val="both"/>
    </w:pPr>
    <w:rPr>
      <w:rFonts w:ascii="Arial" w:eastAsiaTheme="minorHAnsi" w:hAnsi="Arial" w:cstheme="minorBidi"/>
      <w:b w:val="0"/>
      <w:bCs w:val="0"/>
      <w:i w:val="0"/>
      <w:iCs w:val="0"/>
      <w:color w:val="auto"/>
      <w:sz w:val="22"/>
      <w:lang w:val="pt-BR"/>
    </w:rPr>
  </w:style>
  <w:style w:type="table" w:customStyle="1" w:styleId="Tabelacomgrade1">
    <w:name w:val="Tabela com grade1"/>
    <w:basedOn w:val="Tabelanormal"/>
    <w:next w:val="Tabelacomgrade"/>
    <w:uiPriority w:val="59"/>
    <w:rsid w:val="004E3FE1"/>
    <w:pPr>
      <w:spacing w:after="0" w:line="240" w:lineRule="auto"/>
    </w:pPr>
    <w:rPr>
      <w:rFonts w:eastAsia="Calibri"/>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7313CD"/>
    <w:pPr>
      <w:spacing w:after="0" w:line="240" w:lineRule="auto"/>
    </w:pPr>
    <w:rPr>
      <w:rFonts w:eastAsia="Calibri"/>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7313CD"/>
    <w:pPr>
      <w:spacing w:after="0" w:line="240" w:lineRule="auto"/>
    </w:pPr>
    <w:rPr>
      <w:rFonts w:eastAsia="Calibri"/>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2620">
      <w:bodyDiv w:val="1"/>
      <w:marLeft w:val="0"/>
      <w:marRight w:val="0"/>
      <w:marTop w:val="0"/>
      <w:marBottom w:val="0"/>
      <w:divBdr>
        <w:top w:val="none" w:sz="0" w:space="0" w:color="auto"/>
        <w:left w:val="none" w:sz="0" w:space="0" w:color="auto"/>
        <w:bottom w:val="none" w:sz="0" w:space="0" w:color="auto"/>
        <w:right w:val="none" w:sz="0" w:space="0" w:color="auto"/>
      </w:divBdr>
    </w:div>
    <w:div w:id="834422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DBCD6-D037-4286-A0EB-FD160FE0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13</Pages>
  <Words>4265</Words>
  <Characters>23031</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cp:lastModifiedBy>
  <cp:revision>60</cp:revision>
  <dcterms:created xsi:type="dcterms:W3CDTF">2013-12-23T23:15:00Z</dcterms:created>
  <dcterms:modified xsi:type="dcterms:W3CDTF">2025-09-03T12:59:00Z</dcterms:modified>
  <cp:category/>
</cp:coreProperties>
</file>