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CE7E6" w14:textId="77777777" w:rsidR="00600B74" w:rsidRDefault="000B3CC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CESED – CENTRO DE ENSINO SUPERIOR E DESENVOLVIMENTO </w:t>
      </w:r>
    </w:p>
    <w:p w14:paraId="3D3932CE" w14:textId="77777777" w:rsidR="00600B74" w:rsidRDefault="000B3CC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UNIFACISA – CENTRO UNIVERSITÁRIO</w:t>
      </w:r>
    </w:p>
    <w:p w14:paraId="565ED0EA" w14:textId="77777777" w:rsidR="00600B74" w:rsidRDefault="000B3CC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CURSO DE DIREITO</w:t>
      </w:r>
    </w:p>
    <w:p w14:paraId="0E81972C" w14:textId="77777777" w:rsidR="00600B74" w:rsidRDefault="00600B74">
      <w:pPr>
        <w:spacing w:after="0" w:line="360" w:lineRule="auto"/>
        <w:jc w:val="both"/>
        <w:rPr>
          <w:rFonts w:ascii="Times New Roman" w:eastAsia="Times New Roman" w:hAnsi="Times New Roman" w:cs="Times New Roman"/>
          <w:b/>
          <w:sz w:val="24"/>
          <w:szCs w:val="24"/>
        </w:rPr>
      </w:pPr>
    </w:p>
    <w:p w14:paraId="1C91379F" w14:textId="77777777" w:rsidR="00600B74" w:rsidRDefault="000B3CC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MARIA LUIZA TOSCANO DE LUCENA</w:t>
      </w:r>
    </w:p>
    <w:p w14:paraId="0A0F90ED" w14:textId="77777777" w:rsidR="00600B74" w:rsidRDefault="00600B74">
      <w:pPr>
        <w:spacing w:after="0" w:line="360" w:lineRule="auto"/>
        <w:rPr>
          <w:rFonts w:ascii="Times New Roman" w:eastAsia="Times New Roman" w:hAnsi="Times New Roman" w:cs="Times New Roman"/>
          <w:b/>
          <w:sz w:val="24"/>
          <w:szCs w:val="24"/>
        </w:rPr>
      </w:pPr>
    </w:p>
    <w:p w14:paraId="1237967D" w14:textId="7B77BC40" w:rsidR="00600B74" w:rsidRDefault="00600B74">
      <w:pPr>
        <w:spacing w:after="0" w:line="360" w:lineRule="auto"/>
        <w:rPr>
          <w:rFonts w:ascii="Times New Roman" w:eastAsia="Times New Roman" w:hAnsi="Times New Roman" w:cs="Times New Roman"/>
          <w:b/>
          <w:sz w:val="24"/>
          <w:szCs w:val="24"/>
        </w:rPr>
      </w:pPr>
    </w:p>
    <w:p w14:paraId="3B7DCC00" w14:textId="6407F370" w:rsidR="0036637D" w:rsidRDefault="0036637D">
      <w:pPr>
        <w:spacing w:after="0" w:line="360" w:lineRule="auto"/>
        <w:rPr>
          <w:rFonts w:ascii="Times New Roman" w:eastAsia="Times New Roman" w:hAnsi="Times New Roman" w:cs="Times New Roman"/>
          <w:b/>
          <w:sz w:val="24"/>
          <w:szCs w:val="24"/>
        </w:rPr>
      </w:pPr>
    </w:p>
    <w:p w14:paraId="20130EEB" w14:textId="1630112F" w:rsidR="0036637D" w:rsidRDefault="0036637D">
      <w:pPr>
        <w:spacing w:after="0" w:line="360" w:lineRule="auto"/>
        <w:rPr>
          <w:rFonts w:ascii="Times New Roman" w:eastAsia="Times New Roman" w:hAnsi="Times New Roman" w:cs="Times New Roman"/>
          <w:b/>
          <w:sz w:val="24"/>
          <w:szCs w:val="24"/>
        </w:rPr>
      </w:pPr>
    </w:p>
    <w:p w14:paraId="4D0FFA4F" w14:textId="7902986A" w:rsidR="0036637D" w:rsidRDefault="0036637D">
      <w:pPr>
        <w:spacing w:after="0" w:line="360" w:lineRule="auto"/>
        <w:rPr>
          <w:rFonts w:ascii="Times New Roman" w:eastAsia="Times New Roman" w:hAnsi="Times New Roman" w:cs="Times New Roman"/>
          <w:b/>
          <w:sz w:val="24"/>
          <w:szCs w:val="24"/>
        </w:rPr>
      </w:pPr>
    </w:p>
    <w:p w14:paraId="739E140A" w14:textId="77777777" w:rsidR="0036637D" w:rsidRDefault="0036637D">
      <w:pPr>
        <w:spacing w:after="0" w:line="360" w:lineRule="auto"/>
        <w:rPr>
          <w:rFonts w:ascii="Times New Roman" w:eastAsia="Times New Roman" w:hAnsi="Times New Roman" w:cs="Times New Roman"/>
          <w:b/>
          <w:sz w:val="24"/>
          <w:szCs w:val="24"/>
        </w:rPr>
      </w:pPr>
    </w:p>
    <w:p w14:paraId="7994EA56" w14:textId="77777777" w:rsidR="00600B74" w:rsidRDefault="00600B74">
      <w:pPr>
        <w:spacing w:after="0" w:line="360" w:lineRule="auto"/>
        <w:rPr>
          <w:rFonts w:ascii="Times New Roman" w:eastAsia="Times New Roman" w:hAnsi="Times New Roman" w:cs="Times New Roman"/>
          <w:b/>
          <w:sz w:val="24"/>
          <w:szCs w:val="24"/>
        </w:rPr>
      </w:pPr>
    </w:p>
    <w:p w14:paraId="60EED688" w14:textId="77777777" w:rsidR="00600B74" w:rsidRDefault="00600B74">
      <w:pPr>
        <w:spacing w:after="0" w:line="360" w:lineRule="auto"/>
        <w:rPr>
          <w:rFonts w:ascii="Times New Roman" w:eastAsia="Times New Roman" w:hAnsi="Times New Roman" w:cs="Times New Roman"/>
          <w:b/>
          <w:sz w:val="24"/>
          <w:szCs w:val="24"/>
        </w:rPr>
      </w:pPr>
    </w:p>
    <w:p w14:paraId="45A911D2" w14:textId="77777777" w:rsidR="00600B74" w:rsidRDefault="00600B74">
      <w:pPr>
        <w:spacing w:after="0" w:line="360" w:lineRule="auto"/>
        <w:rPr>
          <w:rFonts w:ascii="Times New Roman" w:eastAsia="Times New Roman" w:hAnsi="Times New Roman" w:cs="Times New Roman"/>
          <w:b/>
          <w:sz w:val="24"/>
          <w:szCs w:val="24"/>
        </w:rPr>
      </w:pPr>
    </w:p>
    <w:p w14:paraId="021D8D25" w14:textId="77777777" w:rsidR="00600B74" w:rsidRDefault="000B3CC5">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REGULAMENTAÇÃO E TRIBUTAÇÃO DAS APOSTAS ESPORTIVAS NO BRASIL: UMA ANÁLISE JURÍDICA DA LEI Nº 14.790/2023</w:t>
      </w:r>
    </w:p>
    <w:p w14:paraId="42BC6E7A" w14:textId="77777777" w:rsidR="00600B74" w:rsidRDefault="00600B74">
      <w:pPr>
        <w:spacing w:after="0" w:line="360" w:lineRule="auto"/>
        <w:jc w:val="center"/>
        <w:rPr>
          <w:rFonts w:ascii="Times New Roman" w:eastAsia="Times New Roman" w:hAnsi="Times New Roman" w:cs="Times New Roman"/>
          <w:b/>
          <w:sz w:val="24"/>
          <w:szCs w:val="24"/>
        </w:rPr>
      </w:pPr>
    </w:p>
    <w:p w14:paraId="51E71457" w14:textId="77777777" w:rsidR="00600B74" w:rsidRDefault="00600B74">
      <w:pPr>
        <w:spacing w:after="0" w:line="360" w:lineRule="auto"/>
        <w:jc w:val="center"/>
        <w:rPr>
          <w:rFonts w:ascii="Times New Roman" w:eastAsia="Times New Roman" w:hAnsi="Times New Roman" w:cs="Times New Roman"/>
          <w:b/>
          <w:sz w:val="24"/>
          <w:szCs w:val="24"/>
        </w:rPr>
      </w:pPr>
    </w:p>
    <w:p w14:paraId="29042C2B" w14:textId="77777777" w:rsidR="00600B74" w:rsidRDefault="00600B74">
      <w:pPr>
        <w:spacing w:after="0" w:line="360" w:lineRule="auto"/>
        <w:jc w:val="center"/>
        <w:rPr>
          <w:rFonts w:ascii="Times New Roman" w:eastAsia="Times New Roman" w:hAnsi="Times New Roman" w:cs="Times New Roman"/>
          <w:b/>
          <w:sz w:val="24"/>
          <w:szCs w:val="24"/>
        </w:rPr>
      </w:pPr>
    </w:p>
    <w:p w14:paraId="201F29F1" w14:textId="77777777" w:rsidR="00600B74" w:rsidRDefault="00600B74">
      <w:pPr>
        <w:spacing w:after="0" w:line="360" w:lineRule="auto"/>
        <w:jc w:val="center"/>
        <w:rPr>
          <w:rFonts w:ascii="Times New Roman" w:eastAsia="Times New Roman" w:hAnsi="Times New Roman" w:cs="Times New Roman"/>
          <w:b/>
          <w:sz w:val="24"/>
          <w:szCs w:val="24"/>
        </w:rPr>
      </w:pPr>
    </w:p>
    <w:p w14:paraId="6698BE7E" w14:textId="77777777" w:rsidR="00600B74" w:rsidRDefault="00600B74">
      <w:pPr>
        <w:spacing w:after="0" w:line="360" w:lineRule="auto"/>
        <w:jc w:val="center"/>
        <w:rPr>
          <w:rFonts w:ascii="Times New Roman" w:eastAsia="Times New Roman" w:hAnsi="Times New Roman" w:cs="Times New Roman"/>
          <w:b/>
          <w:sz w:val="24"/>
          <w:szCs w:val="24"/>
        </w:rPr>
      </w:pPr>
    </w:p>
    <w:p w14:paraId="0CD0CD9B" w14:textId="77777777" w:rsidR="00600B74" w:rsidRDefault="00600B74">
      <w:pPr>
        <w:spacing w:after="0" w:line="360" w:lineRule="auto"/>
        <w:jc w:val="center"/>
        <w:rPr>
          <w:rFonts w:ascii="Times New Roman" w:eastAsia="Times New Roman" w:hAnsi="Times New Roman" w:cs="Times New Roman"/>
          <w:b/>
          <w:sz w:val="24"/>
          <w:szCs w:val="24"/>
        </w:rPr>
      </w:pPr>
    </w:p>
    <w:p w14:paraId="416C6104" w14:textId="77777777" w:rsidR="00600B74" w:rsidRDefault="00600B74">
      <w:pPr>
        <w:spacing w:after="0" w:line="360" w:lineRule="auto"/>
        <w:jc w:val="center"/>
        <w:rPr>
          <w:rFonts w:ascii="Times New Roman" w:eastAsia="Times New Roman" w:hAnsi="Times New Roman" w:cs="Times New Roman"/>
          <w:b/>
          <w:sz w:val="24"/>
          <w:szCs w:val="24"/>
        </w:rPr>
      </w:pPr>
    </w:p>
    <w:p w14:paraId="75D2A8A6" w14:textId="77777777" w:rsidR="00600B74" w:rsidRDefault="00600B74">
      <w:pPr>
        <w:spacing w:after="0" w:line="360" w:lineRule="auto"/>
        <w:jc w:val="center"/>
        <w:rPr>
          <w:rFonts w:ascii="Times New Roman" w:eastAsia="Times New Roman" w:hAnsi="Times New Roman" w:cs="Times New Roman"/>
          <w:b/>
          <w:sz w:val="24"/>
          <w:szCs w:val="24"/>
        </w:rPr>
      </w:pPr>
    </w:p>
    <w:p w14:paraId="2D9CCC1C" w14:textId="77777777" w:rsidR="00600B74" w:rsidRDefault="00600B74">
      <w:pPr>
        <w:spacing w:after="0" w:line="360" w:lineRule="auto"/>
        <w:jc w:val="center"/>
        <w:rPr>
          <w:rFonts w:ascii="Times New Roman" w:eastAsia="Times New Roman" w:hAnsi="Times New Roman" w:cs="Times New Roman"/>
          <w:b/>
          <w:sz w:val="24"/>
          <w:szCs w:val="24"/>
        </w:rPr>
      </w:pPr>
    </w:p>
    <w:p w14:paraId="734F25E9" w14:textId="77777777" w:rsidR="00600B74" w:rsidRDefault="00600B74">
      <w:pPr>
        <w:spacing w:after="0" w:line="360" w:lineRule="auto"/>
        <w:jc w:val="center"/>
        <w:rPr>
          <w:rFonts w:ascii="Times New Roman" w:eastAsia="Times New Roman" w:hAnsi="Times New Roman" w:cs="Times New Roman"/>
          <w:b/>
          <w:sz w:val="24"/>
          <w:szCs w:val="24"/>
        </w:rPr>
      </w:pPr>
    </w:p>
    <w:p w14:paraId="3E6E5062" w14:textId="77777777" w:rsidR="00600B74" w:rsidRDefault="00600B74">
      <w:pPr>
        <w:spacing w:after="0" w:line="360" w:lineRule="auto"/>
        <w:jc w:val="center"/>
        <w:rPr>
          <w:rFonts w:ascii="Times New Roman" w:eastAsia="Times New Roman" w:hAnsi="Times New Roman" w:cs="Times New Roman"/>
          <w:b/>
          <w:sz w:val="24"/>
          <w:szCs w:val="24"/>
        </w:rPr>
      </w:pPr>
    </w:p>
    <w:p w14:paraId="290E9971" w14:textId="77777777" w:rsidR="00600B74" w:rsidRDefault="00600B74">
      <w:pPr>
        <w:spacing w:after="0" w:line="360" w:lineRule="auto"/>
        <w:jc w:val="center"/>
        <w:rPr>
          <w:rFonts w:ascii="Times New Roman" w:eastAsia="Times New Roman" w:hAnsi="Times New Roman" w:cs="Times New Roman"/>
          <w:b/>
          <w:sz w:val="24"/>
          <w:szCs w:val="24"/>
        </w:rPr>
      </w:pPr>
    </w:p>
    <w:p w14:paraId="145CFE9F" w14:textId="77777777" w:rsidR="00600B74" w:rsidRDefault="00600B74">
      <w:pPr>
        <w:spacing w:after="0" w:line="360" w:lineRule="auto"/>
        <w:rPr>
          <w:rFonts w:ascii="Times New Roman" w:eastAsia="Times New Roman" w:hAnsi="Times New Roman" w:cs="Times New Roman"/>
          <w:b/>
          <w:sz w:val="24"/>
          <w:szCs w:val="24"/>
        </w:rPr>
      </w:pPr>
    </w:p>
    <w:p w14:paraId="4EA0D448" w14:textId="77777777" w:rsidR="00600B74" w:rsidRDefault="00600B74">
      <w:pPr>
        <w:spacing w:after="0" w:line="360" w:lineRule="auto"/>
        <w:rPr>
          <w:rFonts w:ascii="Times New Roman" w:eastAsia="Times New Roman" w:hAnsi="Times New Roman" w:cs="Times New Roman"/>
          <w:b/>
          <w:sz w:val="24"/>
          <w:szCs w:val="24"/>
        </w:rPr>
      </w:pPr>
    </w:p>
    <w:p w14:paraId="0AFCA2AE" w14:textId="77777777" w:rsidR="00600B74" w:rsidRDefault="00600B74">
      <w:pPr>
        <w:spacing w:after="0" w:line="360" w:lineRule="auto"/>
        <w:jc w:val="center"/>
        <w:rPr>
          <w:rFonts w:ascii="Times New Roman" w:eastAsia="Times New Roman" w:hAnsi="Times New Roman" w:cs="Times New Roman"/>
          <w:b/>
          <w:sz w:val="24"/>
          <w:szCs w:val="24"/>
        </w:rPr>
      </w:pPr>
    </w:p>
    <w:p w14:paraId="18F99C7E" w14:textId="77777777" w:rsidR="00600B74" w:rsidRDefault="000B3CC5">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CAMPINA GRANDE – PB</w:t>
      </w:r>
    </w:p>
    <w:p w14:paraId="3AF558DA" w14:textId="77777777" w:rsidR="00600B74" w:rsidRDefault="000B3CC5">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w:t>
      </w:r>
    </w:p>
    <w:p w14:paraId="715E7D2E" w14:textId="77777777" w:rsidR="00600B74" w:rsidRDefault="000B3CC5">
      <w:pPr>
        <w:spacing w:after="0" w:line="360" w:lineRule="auto"/>
        <w:jc w:val="center"/>
        <w:rPr>
          <w:rFonts w:ascii="Times New Roman" w:eastAsia="Times New Roman" w:hAnsi="Times New Roman" w:cs="Times New Roman"/>
          <w:sz w:val="24"/>
          <w:szCs w:val="24"/>
        </w:rPr>
      </w:pPr>
      <w:r>
        <w:br w:type="page"/>
      </w:r>
      <w:r>
        <w:rPr>
          <w:rFonts w:ascii="Times New Roman" w:eastAsia="Times New Roman" w:hAnsi="Times New Roman" w:cs="Times New Roman"/>
          <w:sz w:val="24"/>
          <w:szCs w:val="24"/>
        </w:rPr>
        <w:lastRenderedPageBreak/>
        <w:t>MARIA LUIZA TOSCANO DE LUCENA</w:t>
      </w:r>
    </w:p>
    <w:p w14:paraId="50F553AF" w14:textId="77777777" w:rsidR="00600B74" w:rsidRDefault="00600B74">
      <w:pPr>
        <w:spacing w:after="0" w:line="360" w:lineRule="auto"/>
        <w:jc w:val="center"/>
        <w:rPr>
          <w:rFonts w:ascii="Times New Roman" w:eastAsia="Times New Roman" w:hAnsi="Times New Roman" w:cs="Times New Roman"/>
          <w:sz w:val="24"/>
          <w:szCs w:val="24"/>
        </w:rPr>
      </w:pPr>
    </w:p>
    <w:p w14:paraId="6E9831B8" w14:textId="77777777" w:rsidR="00600B74" w:rsidRDefault="00600B74">
      <w:pPr>
        <w:spacing w:after="0" w:line="360" w:lineRule="auto"/>
        <w:jc w:val="center"/>
        <w:rPr>
          <w:rFonts w:ascii="Times New Roman" w:eastAsia="Times New Roman" w:hAnsi="Times New Roman" w:cs="Times New Roman"/>
          <w:sz w:val="24"/>
          <w:szCs w:val="24"/>
        </w:rPr>
      </w:pPr>
    </w:p>
    <w:p w14:paraId="5FB8552E" w14:textId="77777777" w:rsidR="00600B74" w:rsidRDefault="00600B74">
      <w:pPr>
        <w:spacing w:after="0" w:line="360" w:lineRule="auto"/>
        <w:jc w:val="center"/>
        <w:rPr>
          <w:rFonts w:ascii="Times New Roman" w:eastAsia="Times New Roman" w:hAnsi="Times New Roman" w:cs="Times New Roman"/>
          <w:sz w:val="24"/>
          <w:szCs w:val="24"/>
        </w:rPr>
      </w:pPr>
    </w:p>
    <w:p w14:paraId="3DA8B0EF" w14:textId="77777777" w:rsidR="00600B74" w:rsidRDefault="00600B74">
      <w:pPr>
        <w:spacing w:after="0" w:line="360" w:lineRule="auto"/>
        <w:jc w:val="center"/>
        <w:rPr>
          <w:rFonts w:ascii="Times New Roman" w:eastAsia="Times New Roman" w:hAnsi="Times New Roman" w:cs="Times New Roman"/>
          <w:sz w:val="24"/>
          <w:szCs w:val="24"/>
        </w:rPr>
      </w:pPr>
    </w:p>
    <w:p w14:paraId="0B9897E5" w14:textId="77777777" w:rsidR="00600B74" w:rsidRDefault="00600B74">
      <w:pPr>
        <w:spacing w:after="0" w:line="360" w:lineRule="auto"/>
        <w:jc w:val="center"/>
        <w:rPr>
          <w:rFonts w:ascii="Times New Roman" w:eastAsia="Times New Roman" w:hAnsi="Times New Roman" w:cs="Times New Roman"/>
          <w:sz w:val="24"/>
          <w:szCs w:val="24"/>
        </w:rPr>
      </w:pPr>
    </w:p>
    <w:p w14:paraId="7807E236" w14:textId="77777777" w:rsidR="00600B74" w:rsidRDefault="00600B74">
      <w:pPr>
        <w:spacing w:after="0" w:line="360" w:lineRule="auto"/>
        <w:jc w:val="center"/>
        <w:rPr>
          <w:rFonts w:ascii="Times New Roman" w:eastAsia="Times New Roman" w:hAnsi="Times New Roman" w:cs="Times New Roman"/>
          <w:sz w:val="24"/>
          <w:szCs w:val="24"/>
        </w:rPr>
      </w:pPr>
    </w:p>
    <w:p w14:paraId="617E3065" w14:textId="77777777" w:rsidR="00600B74" w:rsidRDefault="000B3CC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REGULAMENTAÇÃO E TRIBUTAÇÃO DAS APOSTAS ESPORTIVAS NO BRASIL: UMA ANÁLISE JURÍDICA DA LEI Nº 14.790/2023</w:t>
      </w:r>
    </w:p>
    <w:p w14:paraId="4113796B" w14:textId="77777777" w:rsidR="00600B74" w:rsidRDefault="00600B74">
      <w:pPr>
        <w:spacing w:after="0" w:line="360" w:lineRule="auto"/>
        <w:jc w:val="center"/>
        <w:rPr>
          <w:rFonts w:ascii="Times New Roman" w:eastAsia="Times New Roman" w:hAnsi="Times New Roman" w:cs="Times New Roman"/>
          <w:sz w:val="24"/>
          <w:szCs w:val="24"/>
        </w:rPr>
      </w:pPr>
    </w:p>
    <w:p w14:paraId="2325D8D6" w14:textId="77777777" w:rsidR="00600B74" w:rsidRDefault="00600B74">
      <w:pPr>
        <w:spacing w:after="0" w:line="360" w:lineRule="auto"/>
        <w:jc w:val="center"/>
        <w:rPr>
          <w:rFonts w:ascii="Times New Roman" w:eastAsia="Times New Roman" w:hAnsi="Times New Roman" w:cs="Times New Roman"/>
          <w:sz w:val="24"/>
          <w:szCs w:val="24"/>
        </w:rPr>
      </w:pPr>
    </w:p>
    <w:p w14:paraId="7DFC50D8" w14:textId="77777777" w:rsidR="00600B74" w:rsidRDefault="00600B74">
      <w:pPr>
        <w:spacing w:after="0" w:line="360" w:lineRule="auto"/>
        <w:jc w:val="center"/>
        <w:rPr>
          <w:rFonts w:ascii="Times New Roman" w:eastAsia="Times New Roman" w:hAnsi="Times New Roman" w:cs="Times New Roman"/>
          <w:sz w:val="24"/>
          <w:szCs w:val="24"/>
        </w:rPr>
      </w:pPr>
    </w:p>
    <w:p w14:paraId="53B67D22" w14:textId="77777777" w:rsidR="00600B74" w:rsidRDefault="00600B74">
      <w:pPr>
        <w:spacing w:after="0" w:line="360" w:lineRule="auto"/>
        <w:jc w:val="center"/>
        <w:rPr>
          <w:rFonts w:ascii="Times New Roman" w:eastAsia="Times New Roman" w:hAnsi="Times New Roman" w:cs="Times New Roman"/>
          <w:sz w:val="24"/>
          <w:szCs w:val="24"/>
        </w:rPr>
      </w:pPr>
    </w:p>
    <w:p w14:paraId="1AEB5533" w14:textId="77777777" w:rsidR="00600B74" w:rsidRDefault="000B3CC5" w:rsidP="00FF17F2">
      <w:pPr>
        <w:spacing w:after="0" w:line="360" w:lineRule="auto"/>
        <w:ind w:left="42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Trabalho de Conclusão de Curso – Artigo Científico – apresentado como pré-requisito para obtenção do título de Bacharel em Direito pela UniFacisa –</w:t>
      </w:r>
      <w:r>
        <w:rPr>
          <w:rFonts w:ascii="Times New Roman" w:eastAsia="Times New Roman" w:hAnsi="Times New Roman" w:cs="Times New Roman"/>
          <w:sz w:val="24"/>
          <w:szCs w:val="24"/>
        </w:rPr>
        <w:t xml:space="preserve"> Centro Universitário.</w:t>
      </w:r>
    </w:p>
    <w:p w14:paraId="513042D1" w14:textId="77777777" w:rsidR="00600B74" w:rsidRDefault="000B3CC5" w:rsidP="00FF17F2">
      <w:pPr>
        <w:spacing w:after="0" w:line="360" w:lineRule="auto"/>
        <w:ind w:left="42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Orientadora: Prof.ª da </w:t>
      </w:r>
      <w:proofErr w:type="spellStart"/>
      <w:r>
        <w:rPr>
          <w:rFonts w:ascii="Times New Roman" w:eastAsia="Times New Roman" w:hAnsi="Times New Roman" w:cs="Times New Roman"/>
          <w:sz w:val="24"/>
          <w:szCs w:val="24"/>
        </w:rPr>
        <w:t>UniFacisa</w:t>
      </w:r>
      <w:proofErr w:type="spellEnd"/>
      <w:r>
        <w:rPr>
          <w:rFonts w:ascii="Times New Roman" w:eastAsia="Times New Roman" w:hAnsi="Times New Roman" w:cs="Times New Roman"/>
          <w:sz w:val="24"/>
          <w:szCs w:val="24"/>
        </w:rPr>
        <w:t>, Danielle Patrícia</w:t>
      </w:r>
    </w:p>
    <w:p w14:paraId="43803C18" w14:textId="77777777" w:rsidR="00600B74" w:rsidRDefault="000B3CC5" w:rsidP="00FF17F2">
      <w:pPr>
        <w:spacing w:after="0" w:line="360" w:lineRule="auto"/>
        <w:ind w:left="424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Área de Concentração: Direito Tributário</w:t>
      </w:r>
    </w:p>
    <w:p w14:paraId="50872B2E" w14:textId="77777777" w:rsidR="00600B74" w:rsidRDefault="00600B74">
      <w:pPr>
        <w:spacing w:after="0" w:line="360" w:lineRule="auto"/>
        <w:ind w:left="4248"/>
        <w:jc w:val="both"/>
        <w:rPr>
          <w:rFonts w:ascii="Times New Roman" w:eastAsia="Times New Roman" w:hAnsi="Times New Roman" w:cs="Times New Roman"/>
          <w:sz w:val="24"/>
          <w:szCs w:val="24"/>
        </w:rPr>
      </w:pPr>
    </w:p>
    <w:p w14:paraId="6C9074DA" w14:textId="77777777" w:rsidR="00600B74" w:rsidRDefault="00600B74">
      <w:pPr>
        <w:spacing w:after="0" w:line="360" w:lineRule="auto"/>
        <w:jc w:val="center"/>
        <w:rPr>
          <w:rFonts w:ascii="Times New Roman" w:eastAsia="Times New Roman" w:hAnsi="Times New Roman" w:cs="Times New Roman"/>
          <w:sz w:val="24"/>
          <w:szCs w:val="24"/>
        </w:rPr>
      </w:pPr>
    </w:p>
    <w:p w14:paraId="7CDFB3AC" w14:textId="77777777" w:rsidR="00600B74" w:rsidRDefault="00600B74">
      <w:pPr>
        <w:spacing w:after="0" w:line="360" w:lineRule="auto"/>
        <w:jc w:val="center"/>
        <w:rPr>
          <w:rFonts w:ascii="Times New Roman" w:eastAsia="Times New Roman" w:hAnsi="Times New Roman" w:cs="Times New Roman"/>
          <w:sz w:val="24"/>
          <w:szCs w:val="24"/>
        </w:rPr>
      </w:pPr>
    </w:p>
    <w:p w14:paraId="2CFCBDA7" w14:textId="77777777" w:rsidR="00600B74" w:rsidRDefault="00600B74">
      <w:pPr>
        <w:spacing w:after="0" w:line="360" w:lineRule="auto"/>
        <w:jc w:val="center"/>
        <w:rPr>
          <w:rFonts w:ascii="Times New Roman" w:eastAsia="Times New Roman" w:hAnsi="Times New Roman" w:cs="Times New Roman"/>
          <w:sz w:val="24"/>
          <w:szCs w:val="24"/>
        </w:rPr>
      </w:pPr>
    </w:p>
    <w:p w14:paraId="7704865B" w14:textId="77777777" w:rsidR="00600B74" w:rsidRDefault="00600B74">
      <w:pPr>
        <w:spacing w:after="0" w:line="360" w:lineRule="auto"/>
        <w:jc w:val="center"/>
        <w:rPr>
          <w:rFonts w:ascii="Times New Roman" w:eastAsia="Times New Roman" w:hAnsi="Times New Roman" w:cs="Times New Roman"/>
          <w:sz w:val="24"/>
          <w:szCs w:val="24"/>
        </w:rPr>
      </w:pPr>
    </w:p>
    <w:p w14:paraId="03A35756" w14:textId="77777777" w:rsidR="00600B74" w:rsidRDefault="00600B74">
      <w:pPr>
        <w:spacing w:after="0" w:line="360" w:lineRule="auto"/>
        <w:jc w:val="center"/>
        <w:rPr>
          <w:rFonts w:ascii="Times New Roman" w:eastAsia="Times New Roman" w:hAnsi="Times New Roman" w:cs="Times New Roman"/>
          <w:sz w:val="24"/>
          <w:szCs w:val="24"/>
        </w:rPr>
      </w:pPr>
    </w:p>
    <w:p w14:paraId="2C5A1E8A" w14:textId="77777777" w:rsidR="00600B74" w:rsidRDefault="00600B74">
      <w:pPr>
        <w:spacing w:after="0" w:line="360" w:lineRule="auto"/>
        <w:rPr>
          <w:rFonts w:ascii="Times New Roman" w:eastAsia="Times New Roman" w:hAnsi="Times New Roman" w:cs="Times New Roman"/>
          <w:sz w:val="24"/>
          <w:szCs w:val="24"/>
        </w:rPr>
      </w:pPr>
    </w:p>
    <w:p w14:paraId="185252A0" w14:textId="77777777" w:rsidR="00600B74" w:rsidRDefault="00600B74">
      <w:pPr>
        <w:spacing w:after="0" w:line="360" w:lineRule="auto"/>
        <w:rPr>
          <w:rFonts w:ascii="Times New Roman" w:eastAsia="Times New Roman" w:hAnsi="Times New Roman" w:cs="Times New Roman"/>
          <w:sz w:val="24"/>
          <w:szCs w:val="24"/>
        </w:rPr>
      </w:pPr>
    </w:p>
    <w:p w14:paraId="29388A56" w14:textId="77777777" w:rsidR="00600B74" w:rsidRDefault="000B3CC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CAMPINA GRANDE-PB</w:t>
      </w:r>
    </w:p>
    <w:p w14:paraId="791FC048" w14:textId="77777777" w:rsidR="00600B74" w:rsidRDefault="000B3CC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p w14:paraId="52208F74" w14:textId="77777777" w:rsidR="00600B74" w:rsidRDefault="00600B74">
      <w:pPr>
        <w:spacing w:after="0" w:line="360" w:lineRule="auto"/>
        <w:jc w:val="center"/>
        <w:rPr>
          <w:rFonts w:ascii="Times New Roman" w:eastAsia="Times New Roman" w:hAnsi="Times New Roman" w:cs="Times New Roman"/>
          <w:sz w:val="24"/>
          <w:szCs w:val="24"/>
        </w:rPr>
      </w:pPr>
    </w:p>
    <w:p w14:paraId="462C3460" w14:textId="77777777" w:rsidR="00600B74" w:rsidRDefault="00600B74">
      <w:pPr>
        <w:pBdr>
          <w:top w:val="nil"/>
          <w:left w:val="nil"/>
          <w:bottom w:val="nil"/>
          <w:right w:val="nil"/>
          <w:between w:val="nil"/>
        </w:pBdr>
        <w:spacing w:after="0" w:line="360" w:lineRule="auto"/>
        <w:ind w:left="1440"/>
        <w:jc w:val="both"/>
        <w:rPr>
          <w:rFonts w:ascii="Times New Roman" w:eastAsia="Times New Roman" w:hAnsi="Times New Roman" w:cs="Times New Roman"/>
          <w:b/>
          <w:color w:val="0D0D0D"/>
          <w:sz w:val="24"/>
          <w:szCs w:val="24"/>
          <w:highlight w:val="white"/>
        </w:rPr>
      </w:pPr>
    </w:p>
    <w:p w14:paraId="28E21B8C" w14:textId="77777777" w:rsidR="00600B74" w:rsidRDefault="00600B74">
      <w:pPr>
        <w:pBdr>
          <w:top w:val="nil"/>
          <w:left w:val="nil"/>
          <w:bottom w:val="nil"/>
          <w:right w:val="nil"/>
          <w:between w:val="nil"/>
        </w:pBdr>
        <w:spacing w:after="0" w:line="360" w:lineRule="auto"/>
        <w:ind w:left="1440"/>
        <w:jc w:val="both"/>
        <w:rPr>
          <w:rFonts w:ascii="Times New Roman" w:eastAsia="Times New Roman" w:hAnsi="Times New Roman" w:cs="Times New Roman"/>
          <w:b/>
          <w:color w:val="000000"/>
          <w:sz w:val="24"/>
          <w:szCs w:val="24"/>
        </w:rPr>
      </w:pPr>
    </w:p>
    <w:p w14:paraId="05478714" w14:textId="77777777" w:rsidR="00600B74" w:rsidRDefault="00600B74">
      <w:pPr>
        <w:pBdr>
          <w:top w:val="nil"/>
          <w:left w:val="nil"/>
          <w:bottom w:val="nil"/>
          <w:right w:val="nil"/>
          <w:between w:val="nil"/>
        </w:pBdr>
        <w:spacing w:after="0" w:line="360" w:lineRule="auto"/>
        <w:ind w:left="1440"/>
        <w:rPr>
          <w:rFonts w:ascii="Times New Roman" w:eastAsia="Times New Roman" w:hAnsi="Times New Roman" w:cs="Times New Roman"/>
          <w:b/>
          <w:color w:val="000000"/>
          <w:sz w:val="24"/>
          <w:szCs w:val="24"/>
        </w:rPr>
      </w:pPr>
    </w:p>
    <w:p w14:paraId="2415CD1B" w14:textId="77777777" w:rsidR="00600B74" w:rsidRDefault="000B3CC5">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36A392E" w14:textId="77777777" w:rsidR="00600B74" w:rsidRDefault="00600B74">
      <w:pPr>
        <w:pBdr>
          <w:top w:val="nil"/>
          <w:left w:val="nil"/>
          <w:bottom w:val="nil"/>
          <w:right w:val="nil"/>
          <w:between w:val="nil"/>
        </w:pBdr>
        <w:spacing w:after="0" w:line="360" w:lineRule="auto"/>
        <w:ind w:left="720"/>
        <w:rPr>
          <w:rFonts w:ascii="Times New Roman" w:eastAsia="Times New Roman" w:hAnsi="Times New Roman" w:cs="Times New Roman"/>
          <w:b/>
          <w:color w:val="000000"/>
          <w:sz w:val="24"/>
          <w:szCs w:val="24"/>
        </w:rPr>
      </w:pPr>
    </w:p>
    <w:p w14:paraId="4D2098A4" w14:textId="77777777" w:rsidR="00600B74" w:rsidRDefault="00600B74">
      <w:pPr>
        <w:pBdr>
          <w:top w:val="nil"/>
          <w:left w:val="nil"/>
          <w:bottom w:val="nil"/>
          <w:right w:val="nil"/>
          <w:between w:val="nil"/>
        </w:pBdr>
        <w:spacing w:after="0" w:line="360" w:lineRule="auto"/>
        <w:ind w:left="720"/>
        <w:rPr>
          <w:rFonts w:ascii="Times New Roman" w:eastAsia="Times New Roman" w:hAnsi="Times New Roman" w:cs="Times New Roman"/>
          <w:b/>
          <w:color w:val="000000"/>
          <w:sz w:val="24"/>
          <w:szCs w:val="24"/>
        </w:rPr>
      </w:pPr>
    </w:p>
    <w:p w14:paraId="768C9A06" w14:textId="3A781080" w:rsidR="00600B74" w:rsidRDefault="000B3CC5">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B1DC263" w14:textId="2FB7192C" w:rsidR="00352F2E" w:rsidRDefault="00352F2E">
      <w:pPr>
        <w:spacing w:after="0" w:line="360" w:lineRule="auto"/>
        <w:rPr>
          <w:rFonts w:ascii="Times New Roman" w:eastAsia="Times New Roman" w:hAnsi="Times New Roman" w:cs="Times New Roman"/>
          <w:b/>
          <w:sz w:val="24"/>
          <w:szCs w:val="24"/>
        </w:rPr>
      </w:pPr>
    </w:p>
    <w:p w14:paraId="1E4D7238" w14:textId="1C23A1E4" w:rsidR="00352F2E" w:rsidRDefault="00352F2E">
      <w:pPr>
        <w:spacing w:after="0" w:line="360" w:lineRule="auto"/>
        <w:rPr>
          <w:rFonts w:ascii="Times New Roman" w:eastAsia="Times New Roman" w:hAnsi="Times New Roman" w:cs="Times New Roman"/>
          <w:b/>
          <w:sz w:val="24"/>
          <w:szCs w:val="24"/>
        </w:rPr>
      </w:pPr>
    </w:p>
    <w:p w14:paraId="1E066F9D" w14:textId="77F48DF5" w:rsidR="00352F2E" w:rsidRDefault="00352F2E">
      <w:pPr>
        <w:spacing w:after="0" w:line="360" w:lineRule="auto"/>
        <w:rPr>
          <w:rFonts w:ascii="Times New Roman" w:eastAsia="Times New Roman" w:hAnsi="Times New Roman" w:cs="Times New Roman"/>
          <w:b/>
          <w:sz w:val="24"/>
          <w:szCs w:val="24"/>
        </w:rPr>
      </w:pPr>
    </w:p>
    <w:p w14:paraId="7BF6EB7B" w14:textId="4AB4DB13" w:rsidR="00352F2E" w:rsidRDefault="00352F2E">
      <w:pPr>
        <w:spacing w:after="0" w:line="360" w:lineRule="auto"/>
        <w:rPr>
          <w:rFonts w:ascii="Times New Roman" w:eastAsia="Times New Roman" w:hAnsi="Times New Roman" w:cs="Times New Roman"/>
          <w:b/>
          <w:sz w:val="24"/>
          <w:szCs w:val="24"/>
        </w:rPr>
      </w:pPr>
    </w:p>
    <w:p w14:paraId="17453874" w14:textId="559377BB" w:rsidR="00352F2E" w:rsidRDefault="00352F2E">
      <w:pPr>
        <w:spacing w:after="0" w:line="360" w:lineRule="auto"/>
        <w:rPr>
          <w:rFonts w:ascii="Times New Roman" w:eastAsia="Times New Roman" w:hAnsi="Times New Roman" w:cs="Times New Roman"/>
          <w:b/>
          <w:sz w:val="24"/>
          <w:szCs w:val="24"/>
        </w:rPr>
      </w:pPr>
    </w:p>
    <w:p w14:paraId="1565269D" w14:textId="64871B2B" w:rsidR="00352F2E" w:rsidRDefault="00352F2E">
      <w:pPr>
        <w:spacing w:after="0" w:line="360" w:lineRule="auto"/>
        <w:rPr>
          <w:rFonts w:ascii="Times New Roman" w:eastAsia="Times New Roman" w:hAnsi="Times New Roman" w:cs="Times New Roman"/>
          <w:b/>
          <w:sz w:val="24"/>
          <w:szCs w:val="24"/>
        </w:rPr>
      </w:pPr>
    </w:p>
    <w:p w14:paraId="2E2A1B10" w14:textId="205CF182" w:rsidR="00352F2E" w:rsidRDefault="00352F2E">
      <w:pPr>
        <w:spacing w:after="0" w:line="360" w:lineRule="auto"/>
        <w:rPr>
          <w:rFonts w:ascii="Times New Roman" w:eastAsia="Times New Roman" w:hAnsi="Times New Roman" w:cs="Times New Roman"/>
          <w:b/>
          <w:sz w:val="24"/>
          <w:szCs w:val="24"/>
        </w:rPr>
      </w:pPr>
    </w:p>
    <w:p w14:paraId="28A9C0A6" w14:textId="77777777" w:rsidR="00352F2E" w:rsidRDefault="00352F2E">
      <w:pPr>
        <w:spacing w:after="0" w:line="360" w:lineRule="auto"/>
        <w:rPr>
          <w:rFonts w:ascii="Times New Roman" w:eastAsia="Times New Roman" w:hAnsi="Times New Roman" w:cs="Times New Roman"/>
          <w:b/>
          <w:sz w:val="24"/>
          <w:szCs w:val="24"/>
        </w:rPr>
      </w:pPr>
    </w:p>
    <w:p w14:paraId="0AFDDF34" w14:textId="77777777" w:rsidR="00600B74" w:rsidRDefault="000B3CC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Dados Internacionais de Catalogação na Publicação</w:t>
      </w:r>
    </w:p>
    <w:p w14:paraId="48688DA8" w14:textId="77777777" w:rsidR="00600B74" w:rsidRDefault="000B3CC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(Biblioteca da </w:t>
      </w:r>
      <w:proofErr w:type="spellStart"/>
      <w:r>
        <w:rPr>
          <w:rFonts w:ascii="Times New Roman" w:eastAsia="Times New Roman" w:hAnsi="Times New Roman" w:cs="Times New Roman"/>
          <w:sz w:val="24"/>
          <w:szCs w:val="24"/>
        </w:rPr>
        <w:t>UniFacisa</w:t>
      </w:r>
      <w:proofErr w:type="spellEnd"/>
      <w:r>
        <w:rPr>
          <w:rFonts w:ascii="Times New Roman" w:eastAsia="Times New Roman" w:hAnsi="Times New Roman" w:cs="Times New Roman"/>
          <w:sz w:val="24"/>
          <w:szCs w:val="24"/>
        </w:rPr>
        <w:t>)</w:t>
      </w:r>
    </w:p>
    <w:p w14:paraId="6E0F2F9C" w14:textId="77777777" w:rsidR="00600B74" w:rsidRDefault="000B3CC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XXXXX</w:t>
      </w:r>
    </w:p>
    <w:p w14:paraId="57A25BBF" w14:textId="77777777" w:rsidR="00600B74" w:rsidRDefault="000B3CC5">
      <w:pPr>
        <w:spacing w:after="0" w:line="360" w:lineRule="auto"/>
        <w:jc w:val="both"/>
        <w:rPr>
          <w:rFonts w:ascii="Times New Roman" w:eastAsia="Times New Roman" w:hAnsi="Times New Roman" w:cs="Times New Roman"/>
          <w:sz w:val="24"/>
          <w:szCs w:val="24"/>
        </w:rPr>
      </w:pPr>
      <w:bookmarkStart w:id="0" w:name="_heading=h.d6v1ywc6sd4w" w:colFirst="0" w:colLast="0"/>
      <w:bookmarkEnd w:id="0"/>
      <w:r>
        <w:rPr>
          <w:rFonts w:ascii="Times New Roman" w:eastAsia="Times New Roman" w:hAnsi="Times New Roman" w:cs="Times New Roman"/>
          <w:sz w:val="24"/>
          <w:szCs w:val="24"/>
        </w:rPr>
        <w:t>Lucena, Maria Luiza Toscano de</w:t>
      </w:r>
    </w:p>
    <w:p w14:paraId="445667E8" w14:textId="7A97CCE8" w:rsidR="00511444" w:rsidRDefault="000B3CC5" w:rsidP="0051144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Regulamentação e tributação das apostas esportivas no brasil: uma análise jurídica da lei nº 14.790/2023/ Maria Luiza Toscano de Lucena. -</w:t>
      </w:r>
      <w:r>
        <w:rPr>
          <w:rFonts w:ascii="Times New Roman" w:eastAsia="Times New Roman" w:hAnsi="Times New Roman" w:cs="Times New Roman"/>
          <w:sz w:val="24"/>
          <w:szCs w:val="24"/>
        </w:rPr>
        <w:t xml:space="preserve"> Campina Grande-PB, 2025.</w:t>
      </w:r>
    </w:p>
    <w:p w14:paraId="2C9CE85A" w14:textId="77777777" w:rsidR="00511444" w:rsidRDefault="00511444" w:rsidP="00511444">
      <w:pPr>
        <w:spacing w:after="0" w:line="240" w:lineRule="auto"/>
        <w:jc w:val="both"/>
        <w:rPr>
          <w:rFonts w:ascii="Times New Roman" w:eastAsia="Times New Roman" w:hAnsi="Times New Roman" w:cs="Times New Roman"/>
          <w:sz w:val="24"/>
          <w:szCs w:val="24"/>
        </w:rPr>
      </w:pPr>
    </w:p>
    <w:p w14:paraId="337F96D4" w14:textId="05DE830E" w:rsidR="00600B74" w:rsidRDefault="000B3CC5" w:rsidP="00511444">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Originalmente apresentado como Artigo Científico de bacharelado em Direito do autor (bacharel – </w:t>
      </w:r>
      <w:proofErr w:type="spellStart"/>
      <w:r>
        <w:rPr>
          <w:rFonts w:ascii="Times New Roman" w:eastAsia="Times New Roman" w:hAnsi="Times New Roman" w:cs="Times New Roman"/>
          <w:sz w:val="24"/>
          <w:szCs w:val="24"/>
        </w:rPr>
        <w:t>UniFacisa</w:t>
      </w:r>
      <w:proofErr w:type="spellEnd"/>
      <w:r>
        <w:rPr>
          <w:rFonts w:ascii="Times New Roman" w:eastAsia="Times New Roman" w:hAnsi="Times New Roman" w:cs="Times New Roman"/>
          <w:sz w:val="24"/>
          <w:szCs w:val="24"/>
        </w:rPr>
        <w:t xml:space="preserve"> – Centro Universitário, 2025).</w:t>
      </w:r>
    </w:p>
    <w:p w14:paraId="5221C8C1" w14:textId="77777777" w:rsidR="00511444" w:rsidRDefault="00511444">
      <w:pPr>
        <w:spacing w:after="0" w:line="360" w:lineRule="auto"/>
        <w:jc w:val="both"/>
        <w:rPr>
          <w:rFonts w:ascii="Times New Roman" w:eastAsia="Times New Roman" w:hAnsi="Times New Roman" w:cs="Times New Roman"/>
          <w:sz w:val="24"/>
          <w:szCs w:val="24"/>
        </w:rPr>
      </w:pPr>
    </w:p>
    <w:p w14:paraId="5031CDAD" w14:textId="21AC48FB" w:rsidR="00511444" w:rsidRDefault="000B3CC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Referências.</w:t>
      </w:r>
    </w:p>
    <w:p w14:paraId="219173F6" w14:textId="751F634F" w:rsidR="00600B74" w:rsidRDefault="000B3CC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1.Casas de aposta. 2.Regulamentação 3. Direito Tributário</w:t>
      </w:r>
    </w:p>
    <w:p w14:paraId="641A6ADF" w14:textId="77777777" w:rsidR="00600B74" w:rsidRDefault="000B3CC5" w:rsidP="0051144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Regulamentação</w:t>
      </w:r>
      <w:r>
        <w:rPr>
          <w:rFonts w:ascii="Times New Roman" w:eastAsia="Times New Roman" w:hAnsi="Times New Roman" w:cs="Times New Roman"/>
          <w:sz w:val="24"/>
          <w:szCs w:val="24"/>
        </w:rPr>
        <w:t xml:space="preserve"> e tributação das apostas esportivas no brasil: uma análise jurídica da lei nº 14.790/2023</w:t>
      </w:r>
    </w:p>
    <w:p w14:paraId="6482EA4A" w14:textId="77777777" w:rsidR="00600B74" w:rsidRDefault="000B3CC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CDU-XXXX(XXX)(XXX)</w:t>
      </w:r>
    </w:p>
    <w:p w14:paraId="0D630DB3" w14:textId="77777777" w:rsidR="00600B74" w:rsidRDefault="000B3CC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w:t>
      </w:r>
    </w:p>
    <w:p w14:paraId="2C114653" w14:textId="77777777" w:rsidR="00600B74" w:rsidRDefault="000B3CC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Elaborado pela Bibliotecária Rosa Núbia de Lima Matias CRB 15/568 Catalogação na fonte.</w:t>
      </w:r>
    </w:p>
    <w:p w14:paraId="2DC39DC5" w14:textId="77777777" w:rsidR="00600B74" w:rsidRDefault="00600B74">
      <w:pPr>
        <w:spacing w:after="0" w:line="360" w:lineRule="auto"/>
        <w:jc w:val="center"/>
        <w:rPr>
          <w:rFonts w:ascii="Times New Roman" w:eastAsia="Times New Roman" w:hAnsi="Times New Roman" w:cs="Times New Roman"/>
          <w:sz w:val="24"/>
          <w:szCs w:val="24"/>
        </w:rPr>
      </w:pPr>
    </w:p>
    <w:p w14:paraId="44884A36" w14:textId="77777777" w:rsidR="00600B74" w:rsidRDefault="00600B74">
      <w:pPr>
        <w:spacing w:after="0" w:line="360" w:lineRule="auto"/>
        <w:jc w:val="center"/>
        <w:rPr>
          <w:rFonts w:ascii="Times New Roman" w:eastAsia="Times New Roman" w:hAnsi="Times New Roman" w:cs="Times New Roman"/>
          <w:sz w:val="24"/>
          <w:szCs w:val="24"/>
        </w:rPr>
      </w:pPr>
    </w:p>
    <w:p w14:paraId="3B93C392" w14:textId="77777777" w:rsidR="00600B74" w:rsidRDefault="00600B74">
      <w:pPr>
        <w:spacing w:after="0" w:line="360" w:lineRule="auto"/>
        <w:jc w:val="center"/>
        <w:rPr>
          <w:rFonts w:ascii="Times New Roman" w:eastAsia="Times New Roman" w:hAnsi="Times New Roman" w:cs="Times New Roman"/>
          <w:b/>
          <w:sz w:val="24"/>
          <w:szCs w:val="24"/>
        </w:rPr>
      </w:pPr>
    </w:p>
    <w:p w14:paraId="2EC29C98" w14:textId="77777777" w:rsidR="00600B74" w:rsidRDefault="00600B74">
      <w:pPr>
        <w:spacing w:after="0" w:line="360" w:lineRule="auto"/>
        <w:jc w:val="center"/>
        <w:rPr>
          <w:rFonts w:ascii="Times New Roman" w:eastAsia="Times New Roman" w:hAnsi="Times New Roman" w:cs="Times New Roman"/>
          <w:b/>
          <w:sz w:val="24"/>
          <w:szCs w:val="24"/>
        </w:rPr>
      </w:pPr>
    </w:p>
    <w:p w14:paraId="7AFE43EA" w14:textId="77777777" w:rsidR="00600B74" w:rsidRDefault="00600B74">
      <w:pPr>
        <w:spacing w:after="0" w:line="360" w:lineRule="auto"/>
        <w:jc w:val="center"/>
        <w:rPr>
          <w:rFonts w:ascii="Times New Roman" w:eastAsia="Times New Roman" w:hAnsi="Times New Roman" w:cs="Times New Roman"/>
          <w:b/>
          <w:sz w:val="24"/>
          <w:szCs w:val="24"/>
        </w:rPr>
      </w:pPr>
    </w:p>
    <w:p w14:paraId="078059E7" w14:textId="77777777" w:rsidR="00600B74" w:rsidRDefault="00600B74">
      <w:pPr>
        <w:spacing w:after="0" w:line="360" w:lineRule="auto"/>
        <w:jc w:val="center"/>
        <w:rPr>
          <w:rFonts w:ascii="Times New Roman" w:eastAsia="Times New Roman" w:hAnsi="Times New Roman" w:cs="Times New Roman"/>
          <w:b/>
          <w:sz w:val="24"/>
          <w:szCs w:val="24"/>
        </w:rPr>
      </w:pPr>
    </w:p>
    <w:p w14:paraId="6205A9FD" w14:textId="77777777" w:rsidR="00600B74" w:rsidRDefault="00600B74">
      <w:pPr>
        <w:spacing w:after="0" w:line="360" w:lineRule="auto"/>
        <w:jc w:val="center"/>
        <w:rPr>
          <w:rFonts w:ascii="Times New Roman" w:eastAsia="Times New Roman" w:hAnsi="Times New Roman" w:cs="Times New Roman"/>
          <w:b/>
          <w:sz w:val="24"/>
          <w:szCs w:val="24"/>
        </w:rPr>
      </w:pPr>
    </w:p>
    <w:p w14:paraId="0E573C29" w14:textId="77777777" w:rsidR="00600B74" w:rsidRDefault="00600B74">
      <w:pPr>
        <w:spacing w:after="0" w:line="360" w:lineRule="auto"/>
        <w:rPr>
          <w:rFonts w:ascii="Times New Roman" w:eastAsia="Times New Roman" w:hAnsi="Times New Roman" w:cs="Times New Roman"/>
          <w:b/>
          <w:sz w:val="24"/>
          <w:szCs w:val="24"/>
        </w:rPr>
      </w:pPr>
    </w:p>
    <w:p w14:paraId="43AB9DED" w14:textId="77777777" w:rsidR="00600B74" w:rsidRDefault="00600B74">
      <w:pPr>
        <w:spacing w:after="0" w:line="360" w:lineRule="auto"/>
        <w:jc w:val="center"/>
        <w:rPr>
          <w:rFonts w:ascii="Times New Roman" w:eastAsia="Times New Roman" w:hAnsi="Times New Roman" w:cs="Times New Roman"/>
          <w:b/>
          <w:sz w:val="24"/>
          <w:szCs w:val="24"/>
        </w:rPr>
      </w:pPr>
    </w:p>
    <w:p w14:paraId="29D66D4F" w14:textId="77777777" w:rsidR="00600B74" w:rsidRDefault="00600B74">
      <w:pPr>
        <w:spacing w:after="0" w:line="360" w:lineRule="auto"/>
        <w:jc w:val="center"/>
        <w:rPr>
          <w:rFonts w:ascii="Times New Roman" w:eastAsia="Times New Roman" w:hAnsi="Times New Roman" w:cs="Times New Roman"/>
          <w:b/>
          <w:sz w:val="24"/>
          <w:szCs w:val="24"/>
        </w:rPr>
      </w:pPr>
    </w:p>
    <w:p w14:paraId="7CC1CE78" w14:textId="77777777" w:rsidR="00600B74" w:rsidRDefault="00600B74">
      <w:pPr>
        <w:spacing w:after="0" w:line="360" w:lineRule="auto"/>
        <w:ind w:left="4253"/>
        <w:jc w:val="both"/>
        <w:rPr>
          <w:rFonts w:ascii="Times New Roman" w:eastAsia="Times New Roman" w:hAnsi="Times New Roman" w:cs="Times New Roman"/>
          <w:sz w:val="24"/>
          <w:szCs w:val="24"/>
        </w:rPr>
      </w:pPr>
    </w:p>
    <w:p w14:paraId="321ABD91" w14:textId="77777777" w:rsidR="00600B74" w:rsidRDefault="00600B74">
      <w:pPr>
        <w:spacing w:after="0" w:line="360" w:lineRule="auto"/>
        <w:ind w:left="4253"/>
        <w:jc w:val="both"/>
        <w:rPr>
          <w:rFonts w:ascii="Times New Roman" w:eastAsia="Times New Roman" w:hAnsi="Times New Roman" w:cs="Times New Roman"/>
          <w:sz w:val="24"/>
          <w:szCs w:val="24"/>
        </w:rPr>
      </w:pPr>
    </w:p>
    <w:p w14:paraId="46E733C6" w14:textId="13C09358" w:rsidR="00600B74" w:rsidRDefault="000B3CC5" w:rsidP="00511444">
      <w:pPr>
        <w:spacing w:after="0" w:line="360" w:lineRule="auto"/>
        <w:ind w:left="4253"/>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Trabalho de Conclusão de Curso - Artigo Científico - </w:t>
      </w:r>
      <w:r w:rsidRPr="00511444">
        <w:rPr>
          <w:rFonts w:ascii="Times New Roman" w:eastAsia="Times New Roman" w:hAnsi="Times New Roman" w:cs="Times New Roman"/>
          <w:b/>
          <w:bCs/>
          <w:sz w:val="24"/>
          <w:szCs w:val="24"/>
        </w:rPr>
        <w:t>Regulamentação e tributação das apostas esportivas no brasil: uma análise jurídica da lei nº 14.790/2023</w:t>
      </w:r>
      <w:r>
        <w:rPr>
          <w:rFonts w:ascii="Times New Roman" w:eastAsia="Times New Roman" w:hAnsi="Times New Roman" w:cs="Times New Roman"/>
          <w:sz w:val="24"/>
          <w:szCs w:val="24"/>
        </w:rPr>
        <w:t xml:space="preserve">, apresentado </w:t>
      </w:r>
      <w:r w:rsidRPr="00FF17F2">
        <w:rPr>
          <w:rFonts w:ascii="Times New Roman" w:eastAsia="Times New Roman" w:hAnsi="Times New Roman" w:cs="Times New Roman"/>
          <w:sz w:val="24"/>
          <w:szCs w:val="24"/>
        </w:rPr>
        <w:t>por</w:t>
      </w:r>
      <w:r w:rsidRPr="00511444">
        <w:rPr>
          <w:rFonts w:ascii="Times New Roman" w:eastAsia="Times New Roman" w:hAnsi="Times New Roman" w:cs="Times New Roman"/>
          <w:b/>
          <w:bCs/>
          <w:sz w:val="24"/>
          <w:szCs w:val="24"/>
        </w:rPr>
        <w:t xml:space="preserve"> Maria Luiza Toscano de Lucena</w:t>
      </w:r>
      <w:r>
        <w:rPr>
          <w:rFonts w:ascii="Times New Roman" w:eastAsia="Times New Roman" w:hAnsi="Times New Roman" w:cs="Times New Roman"/>
          <w:sz w:val="24"/>
          <w:szCs w:val="24"/>
        </w:rPr>
        <w:t>, como parte dos requisitos para obtenção do título</w:t>
      </w:r>
      <w:r>
        <w:rPr>
          <w:rFonts w:ascii="Times New Roman" w:eastAsia="Times New Roman" w:hAnsi="Times New Roman" w:cs="Times New Roman"/>
          <w:sz w:val="24"/>
          <w:szCs w:val="24"/>
        </w:rPr>
        <w:t xml:space="preserve"> de Bacharel em </w:t>
      </w:r>
      <w:r w:rsidRPr="00511444">
        <w:rPr>
          <w:rFonts w:ascii="Times New Roman" w:eastAsia="Times New Roman" w:hAnsi="Times New Roman" w:cs="Times New Roman"/>
          <w:b/>
          <w:bCs/>
          <w:sz w:val="24"/>
          <w:szCs w:val="24"/>
        </w:rPr>
        <w:t>Direito</w:t>
      </w:r>
      <w:r>
        <w:rPr>
          <w:rFonts w:ascii="Times New Roman" w:eastAsia="Times New Roman" w:hAnsi="Times New Roman" w:cs="Times New Roman"/>
          <w:sz w:val="24"/>
          <w:szCs w:val="24"/>
        </w:rPr>
        <w:t xml:space="preserve">, outorgado pela </w:t>
      </w:r>
      <w:proofErr w:type="spellStart"/>
      <w:r>
        <w:rPr>
          <w:rFonts w:ascii="Times New Roman" w:eastAsia="Times New Roman" w:hAnsi="Times New Roman" w:cs="Times New Roman"/>
          <w:sz w:val="24"/>
          <w:szCs w:val="24"/>
        </w:rPr>
        <w:t>UniFacisa</w:t>
      </w:r>
      <w:proofErr w:type="spellEnd"/>
      <w:r>
        <w:rPr>
          <w:rFonts w:ascii="Times New Roman" w:eastAsia="Times New Roman" w:hAnsi="Times New Roman" w:cs="Times New Roman"/>
          <w:sz w:val="24"/>
          <w:szCs w:val="24"/>
        </w:rPr>
        <w:t xml:space="preserve"> – Centro Universitário.</w:t>
      </w:r>
    </w:p>
    <w:p w14:paraId="2856390D" w14:textId="77777777" w:rsidR="00511444" w:rsidRDefault="00511444">
      <w:pPr>
        <w:spacing w:after="0" w:line="240" w:lineRule="auto"/>
        <w:ind w:left="4253"/>
        <w:rPr>
          <w:rFonts w:ascii="Times New Roman" w:eastAsia="Times New Roman" w:hAnsi="Times New Roman" w:cs="Times New Roman"/>
          <w:sz w:val="24"/>
          <w:szCs w:val="24"/>
        </w:rPr>
      </w:pPr>
    </w:p>
    <w:p w14:paraId="2EBA1370" w14:textId="5DE153BC" w:rsidR="00600B74" w:rsidRDefault="000B3CC5">
      <w:pPr>
        <w:spacing w:after="0" w:line="240" w:lineRule="auto"/>
        <w:ind w:left="4253"/>
        <w:rPr>
          <w:rFonts w:ascii="Times New Roman" w:eastAsia="Times New Roman" w:hAnsi="Times New Roman" w:cs="Times New Roman"/>
          <w:sz w:val="24"/>
          <w:szCs w:val="24"/>
        </w:rPr>
      </w:pPr>
      <w:r>
        <w:rPr>
          <w:rFonts w:ascii="Times New Roman" w:eastAsia="Times New Roman" w:hAnsi="Times New Roman" w:cs="Times New Roman"/>
          <w:sz w:val="24"/>
          <w:szCs w:val="24"/>
        </w:rPr>
        <w:t>APROVADO EM ______/______/______</w:t>
      </w:r>
    </w:p>
    <w:p w14:paraId="338887BB" w14:textId="77777777" w:rsidR="00600B74" w:rsidRDefault="000B3CC5">
      <w:pPr>
        <w:spacing w:after="0" w:line="240" w:lineRule="auto"/>
        <w:ind w:left="17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F20AFED" w14:textId="77777777" w:rsidR="00FF17F2" w:rsidRDefault="00511444" w:rsidP="00511444">
      <w:pPr>
        <w:spacing w:after="0" w:line="240" w:lineRule="auto"/>
        <w:ind w:left="17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7CBD4D2" w14:textId="4C83F93F" w:rsidR="00600B74" w:rsidRDefault="00FF17F2" w:rsidP="00511444">
      <w:pPr>
        <w:spacing w:after="0" w:line="240" w:lineRule="auto"/>
        <w:ind w:left="17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11444">
        <w:rPr>
          <w:rFonts w:ascii="Times New Roman" w:eastAsia="Times New Roman" w:hAnsi="Times New Roman" w:cs="Times New Roman"/>
          <w:sz w:val="24"/>
          <w:szCs w:val="24"/>
        </w:rPr>
        <w:t xml:space="preserve"> </w:t>
      </w:r>
      <w:r w:rsidR="000B3CC5">
        <w:rPr>
          <w:rFonts w:ascii="Times New Roman" w:eastAsia="Times New Roman" w:hAnsi="Times New Roman" w:cs="Times New Roman"/>
          <w:sz w:val="24"/>
          <w:szCs w:val="24"/>
        </w:rPr>
        <w:t>BANCA EXAMINADORA:</w:t>
      </w:r>
    </w:p>
    <w:p w14:paraId="3BCA0EFD" w14:textId="51ADDD6B" w:rsidR="00511444" w:rsidRDefault="00511444" w:rsidP="00511444">
      <w:pPr>
        <w:spacing w:after="0" w:line="240" w:lineRule="auto"/>
        <w:ind w:left="1700"/>
        <w:jc w:val="center"/>
        <w:rPr>
          <w:rFonts w:ascii="Times New Roman" w:eastAsia="Times New Roman" w:hAnsi="Times New Roman" w:cs="Times New Roman"/>
          <w:sz w:val="24"/>
          <w:szCs w:val="24"/>
        </w:rPr>
      </w:pPr>
    </w:p>
    <w:p w14:paraId="16144616" w14:textId="77777777" w:rsidR="00511444" w:rsidRDefault="00511444" w:rsidP="00511444">
      <w:pPr>
        <w:spacing w:after="0" w:line="240" w:lineRule="auto"/>
        <w:ind w:left="1700"/>
        <w:jc w:val="center"/>
        <w:rPr>
          <w:rFonts w:ascii="Times New Roman" w:eastAsia="Times New Roman" w:hAnsi="Times New Roman" w:cs="Times New Roman"/>
          <w:sz w:val="24"/>
          <w:szCs w:val="24"/>
        </w:rPr>
      </w:pPr>
    </w:p>
    <w:p w14:paraId="01B04580" w14:textId="77777777" w:rsidR="00600B74" w:rsidRDefault="000B3CC5">
      <w:pPr>
        <w:spacing w:after="0" w:line="240" w:lineRule="auto"/>
        <w:ind w:left="17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w:t>
      </w:r>
    </w:p>
    <w:p w14:paraId="6266DE5E" w14:textId="77777777" w:rsidR="00600B74" w:rsidRDefault="000B3CC5">
      <w:pPr>
        <w:spacing w:after="0" w:line="240" w:lineRule="auto"/>
        <w:ind w:left="17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Prof.ª da UniFacisa, </w:t>
      </w:r>
    </w:p>
    <w:p w14:paraId="1F6DB610" w14:textId="77777777" w:rsidR="00600B74" w:rsidRDefault="000B3CC5">
      <w:pPr>
        <w:spacing w:after="0" w:line="240" w:lineRule="auto"/>
        <w:ind w:left="17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Danielle Patrícia Guimarães Mendes, </w:t>
      </w:r>
    </w:p>
    <w:p w14:paraId="4EEE3C3C" w14:textId="77777777" w:rsidR="00600B74" w:rsidRDefault="000B3CC5">
      <w:pPr>
        <w:spacing w:after="0" w:line="240" w:lineRule="auto"/>
        <w:ind w:left="17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Especialista Orientadora</w:t>
      </w:r>
    </w:p>
    <w:p w14:paraId="24899B05" w14:textId="77777777" w:rsidR="00600B74" w:rsidRDefault="000B3CC5">
      <w:pPr>
        <w:spacing w:after="0" w:line="240" w:lineRule="auto"/>
        <w:ind w:left="17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E0CE4C2" w14:textId="77777777" w:rsidR="00600B74" w:rsidRDefault="000B3CC5">
      <w:pPr>
        <w:spacing w:after="0" w:line="240" w:lineRule="auto"/>
        <w:ind w:left="17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w:t>
      </w:r>
    </w:p>
    <w:p w14:paraId="5FB0CD6D" w14:textId="77777777" w:rsidR="00600B74" w:rsidRDefault="000B3CC5">
      <w:pPr>
        <w:spacing w:after="0" w:line="240" w:lineRule="auto"/>
        <w:ind w:left="17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Prof. da UniFacisa, Nome Completo do</w:t>
      </w:r>
    </w:p>
    <w:p w14:paraId="1CC5BE78" w14:textId="77777777" w:rsidR="00600B74" w:rsidRDefault="000B3CC5">
      <w:pPr>
        <w:spacing w:after="0" w:line="240" w:lineRule="auto"/>
        <w:ind w:left="17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Segundo Membro, Titulação.</w:t>
      </w:r>
    </w:p>
    <w:p w14:paraId="6928BC56" w14:textId="77777777" w:rsidR="00600B74" w:rsidRDefault="000B3CC5">
      <w:pPr>
        <w:spacing w:after="0" w:line="240" w:lineRule="auto"/>
        <w:ind w:left="17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ACE18AA" w14:textId="77777777" w:rsidR="00600B74" w:rsidRDefault="000B3CC5">
      <w:pPr>
        <w:spacing w:after="0" w:line="240" w:lineRule="auto"/>
        <w:ind w:left="17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w:t>
      </w:r>
    </w:p>
    <w:p w14:paraId="2F952167" w14:textId="77777777" w:rsidR="00600B74" w:rsidRDefault="000B3CC5">
      <w:pPr>
        <w:spacing w:after="0" w:line="240" w:lineRule="auto"/>
        <w:ind w:left="17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Prof. da UniFacisa, Nome Completo do</w:t>
      </w:r>
    </w:p>
    <w:p w14:paraId="072F38A0" w14:textId="77777777" w:rsidR="00600B74" w:rsidRDefault="000B3CC5">
      <w:pPr>
        <w:spacing w:after="0" w:line="240" w:lineRule="auto"/>
        <w:ind w:left="17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Terceiro Mem</w:t>
      </w:r>
      <w:r>
        <w:rPr>
          <w:rFonts w:ascii="Times New Roman" w:eastAsia="Times New Roman" w:hAnsi="Times New Roman" w:cs="Times New Roman"/>
          <w:sz w:val="24"/>
          <w:szCs w:val="24"/>
        </w:rPr>
        <w:t xml:space="preserve">bro, Titulação. </w:t>
      </w:r>
    </w:p>
    <w:p w14:paraId="399BFB30" w14:textId="77777777" w:rsidR="00600B74" w:rsidRDefault="00600B74">
      <w:pPr>
        <w:spacing w:after="0" w:line="360" w:lineRule="auto"/>
        <w:ind w:left="1700"/>
        <w:jc w:val="right"/>
        <w:rPr>
          <w:rFonts w:ascii="Times New Roman" w:eastAsia="Times New Roman" w:hAnsi="Times New Roman" w:cs="Times New Roman"/>
          <w:sz w:val="24"/>
          <w:szCs w:val="24"/>
        </w:rPr>
      </w:pPr>
    </w:p>
    <w:p w14:paraId="45E0E722" w14:textId="77777777" w:rsidR="00600B74" w:rsidRDefault="00600B74">
      <w:pPr>
        <w:spacing w:after="0" w:line="360" w:lineRule="auto"/>
        <w:ind w:left="1700"/>
        <w:jc w:val="right"/>
        <w:rPr>
          <w:rFonts w:ascii="Times New Roman" w:eastAsia="Times New Roman" w:hAnsi="Times New Roman" w:cs="Times New Roman"/>
          <w:sz w:val="24"/>
          <w:szCs w:val="24"/>
        </w:rPr>
      </w:pPr>
    </w:p>
    <w:p w14:paraId="600FE894" w14:textId="77777777" w:rsidR="00600B74" w:rsidRDefault="00600B74">
      <w:pPr>
        <w:spacing w:after="0" w:line="360" w:lineRule="auto"/>
        <w:rPr>
          <w:rFonts w:ascii="Times New Roman" w:eastAsia="Times New Roman" w:hAnsi="Times New Roman" w:cs="Times New Roman"/>
          <w:sz w:val="24"/>
          <w:szCs w:val="24"/>
        </w:rPr>
      </w:pPr>
    </w:p>
    <w:p w14:paraId="5D5A5ED0" w14:textId="77777777" w:rsidR="00600B74" w:rsidRDefault="000B3CC5">
      <w:pPr>
        <w:spacing w:after="0" w:line="360"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REGULAMENTAÇÃO E TRIBUTAÇÃO DAS APOSTAS ESPORTIVAS NO BRASIL: UMA ANÁLISE JURÍDICA DA LEI Nº 14.790/2023</w:t>
      </w:r>
    </w:p>
    <w:p w14:paraId="6EF444BA" w14:textId="77777777" w:rsidR="00600B74" w:rsidRDefault="00600B74">
      <w:pPr>
        <w:spacing w:after="0" w:line="360" w:lineRule="auto"/>
        <w:rPr>
          <w:rFonts w:ascii="Times New Roman" w:eastAsia="Times New Roman" w:hAnsi="Times New Roman" w:cs="Times New Roman"/>
          <w:sz w:val="24"/>
          <w:szCs w:val="24"/>
        </w:rPr>
      </w:pPr>
    </w:p>
    <w:p w14:paraId="2BFD7461" w14:textId="77777777" w:rsidR="00600B74" w:rsidRDefault="000B3CC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Maria Luiza Toscano de Lucena</w:t>
      </w:r>
      <w:r>
        <w:rPr>
          <w:rFonts w:ascii="Times New Roman" w:eastAsia="Times New Roman" w:hAnsi="Times New Roman" w:cs="Times New Roman"/>
          <w:sz w:val="24"/>
          <w:szCs w:val="24"/>
          <w:vertAlign w:val="superscript"/>
        </w:rPr>
        <w:footnoteReference w:id="1"/>
      </w:r>
    </w:p>
    <w:p w14:paraId="35667ACA" w14:textId="77777777" w:rsidR="00600B74" w:rsidRDefault="000B3CC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Danielle Patrícia Guimarães Mendes</w:t>
      </w:r>
      <w:r>
        <w:rPr>
          <w:rFonts w:ascii="Times New Roman" w:eastAsia="Times New Roman" w:hAnsi="Times New Roman" w:cs="Times New Roman"/>
          <w:sz w:val="24"/>
          <w:szCs w:val="24"/>
          <w:vertAlign w:val="superscript"/>
        </w:rPr>
        <w:footnoteReference w:id="2"/>
      </w:r>
    </w:p>
    <w:p w14:paraId="37817126" w14:textId="77777777" w:rsidR="00600B74" w:rsidRDefault="00600B74">
      <w:pPr>
        <w:spacing w:after="0" w:line="360" w:lineRule="auto"/>
        <w:jc w:val="right"/>
        <w:rPr>
          <w:rFonts w:ascii="Times New Roman" w:eastAsia="Times New Roman" w:hAnsi="Times New Roman" w:cs="Times New Roman"/>
          <w:sz w:val="24"/>
          <w:szCs w:val="24"/>
        </w:rPr>
      </w:pPr>
    </w:p>
    <w:p w14:paraId="7BDE8981" w14:textId="77777777" w:rsidR="00600B74" w:rsidRDefault="000B3CC5">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RESUMO</w:t>
      </w:r>
    </w:p>
    <w:p w14:paraId="234E1DBD" w14:textId="77777777" w:rsidR="00600B74" w:rsidRDefault="00600B74">
      <w:pPr>
        <w:spacing w:after="0" w:line="360" w:lineRule="auto"/>
        <w:jc w:val="center"/>
        <w:rPr>
          <w:rFonts w:ascii="Times New Roman" w:eastAsia="Times New Roman" w:hAnsi="Times New Roman" w:cs="Times New Roman"/>
          <w:b/>
          <w:sz w:val="24"/>
          <w:szCs w:val="24"/>
        </w:rPr>
      </w:pPr>
    </w:p>
    <w:p w14:paraId="06D7A984" w14:textId="77777777" w:rsidR="00600B74" w:rsidRDefault="000B3CC5">
      <w:pPr>
        <w:spacing w:after="0"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artigo realiza uma análise jurídica da Lei nº 14.790/2023, que regulamenta e tributa as apostas esportivas de quota fixa no Brasil, à luz do Direito Tributário contemporâneo. A pesquisa, de abordagem qualitativa e documental, examina a transição do mo</w:t>
      </w:r>
      <w:r>
        <w:rPr>
          <w:rFonts w:ascii="Times New Roman" w:eastAsia="Times New Roman" w:hAnsi="Times New Roman" w:cs="Times New Roman"/>
          <w:sz w:val="24"/>
          <w:szCs w:val="24"/>
        </w:rPr>
        <w:t>delo proibicionista para um regime regulatório, ressaltando a segurança jurídica, a arrecadação estatal e a mitigação de riscos sociais. O estudo também discute a natureza contratual das apostas, a aplicação do princípio da boa-fé objetiva e os desafios da</w:t>
      </w:r>
      <w:r>
        <w:rPr>
          <w:rFonts w:ascii="Times New Roman" w:eastAsia="Times New Roman" w:hAnsi="Times New Roman" w:cs="Times New Roman"/>
          <w:sz w:val="24"/>
          <w:szCs w:val="24"/>
        </w:rPr>
        <w:t xml:space="preserve"> fiscalização. Destaca-se ainda a incorporação da extrafiscalidade na tributação, especialmente após a Emenda Constitucional nº 132/2023 e a instituição do Imposto Seletivo pela Lei Complementar nº 214/2025, o qual incide sobre atividades nocivas à saúde, </w:t>
      </w:r>
      <w:r>
        <w:rPr>
          <w:rFonts w:ascii="Times New Roman" w:eastAsia="Times New Roman" w:hAnsi="Times New Roman" w:cs="Times New Roman"/>
          <w:sz w:val="24"/>
          <w:szCs w:val="24"/>
        </w:rPr>
        <w:t>como os jogos de azar. A análise demonstra que o tributo cumpre papel regulatório ao inibir práticas prejudiciais e financiar políticas públicas de prevenção e tratamento da ludopatia. Contudo, aponta-se o risco de que uma carga tributária excessiva, sem e</w:t>
      </w:r>
      <w:r>
        <w:rPr>
          <w:rFonts w:ascii="Times New Roman" w:eastAsia="Times New Roman" w:hAnsi="Times New Roman" w:cs="Times New Roman"/>
          <w:sz w:val="24"/>
          <w:szCs w:val="24"/>
        </w:rPr>
        <w:t>fetiva fiscalização, incentive a informalidade. Por fim, realiza-se comparação com modelos internacionais, sugerindo que a eficácia da legislação brasileira dependerá da harmonização entre tributação, regulação e proteção social.</w:t>
      </w:r>
    </w:p>
    <w:p w14:paraId="1A8ED5DE" w14:textId="77777777" w:rsidR="00600B74" w:rsidRDefault="00600B74">
      <w:pPr>
        <w:spacing w:after="0" w:line="360" w:lineRule="auto"/>
        <w:ind w:firstLine="566"/>
        <w:jc w:val="both"/>
        <w:rPr>
          <w:rFonts w:ascii="Times New Roman" w:eastAsia="Times New Roman" w:hAnsi="Times New Roman" w:cs="Times New Roman"/>
          <w:sz w:val="24"/>
          <w:szCs w:val="24"/>
        </w:rPr>
      </w:pPr>
    </w:p>
    <w:p w14:paraId="74AF5FDD" w14:textId="77777777" w:rsidR="00600B74" w:rsidRDefault="000B3CC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PALAVRAS-CHAVE: </w:t>
      </w:r>
      <w:r>
        <w:rPr>
          <w:rFonts w:ascii="Times New Roman" w:eastAsia="Times New Roman" w:hAnsi="Times New Roman" w:cs="Times New Roman"/>
          <w:sz w:val="24"/>
          <w:szCs w:val="24"/>
        </w:rPr>
        <w:t xml:space="preserve">Jogos de </w:t>
      </w:r>
      <w:r>
        <w:rPr>
          <w:rFonts w:ascii="Times New Roman" w:eastAsia="Times New Roman" w:hAnsi="Times New Roman" w:cs="Times New Roman"/>
          <w:sz w:val="24"/>
          <w:szCs w:val="24"/>
        </w:rPr>
        <w:t>Azar; Tributação; Extrafiscalidade</w:t>
      </w:r>
    </w:p>
    <w:p w14:paraId="06FDA6A9" w14:textId="77777777" w:rsidR="00600B74" w:rsidRDefault="00600B74">
      <w:pPr>
        <w:spacing w:after="0" w:line="360" w:lineRule="auto"/>
        <w:rPr>
          <w:rFonts w:ascii="Times New Roman" w:eastAsia="Times New Roman" w:hAnsi="Times New Roman" w:cs="Times New Roman"/>
          <w:b/>
          <w:sz w:val="24"/>
          <w:szCs w:val="24"/>
        </w:rPr>
      </w:pPr>
    </w:p>
    <w:p w14:paraId="4BEF6128" w14:textId="77777777" w:rsidR="00600B74" w:rsidRPr="00511444" w:rsidRDefault="000B3CC5">
      <w:pPr>
        <w:spacing w:after="0" w:line="360" w:lineRule="auto"/>
        <w:jc w:val="center"/>
        <w:rPr>
          <w:rFonts w:ascii="Times New Roman" w:eastAsia="Times New Roman" w:hAnsi="Times New Roman" w:cs="Times New Roman"/>
          <w:b/>
          <w:sz w:val="24"/>
          <w:szCs w:val="24"/>
          <w:lang w:val="en-US"/>
        </w:rPr>
      </w:pPr>
      <w:r w:rsidRPr="00511444">
        <w:rPr>
          <w:rFonts w:ascii="Times New Roman" w:eastAsia="Times New Roman" w:hAnsi="Times New Roman" w:cs="Times New Roman"/>
          <w:b/>
          <w:sz w:val="24"/>
          <w:szCs w:val="24"/>
          <w:lang w:val="en-US"/>
        </w:rPr>
        <w:t>ABSTRACT</w:t>
      </w:r>
    </w:p>
    <w:p w14:paraId="396F2B7A" w14:textId="77777777" w:rsidR="00600B74" w:rsidRPr="00511444" w:rsidRDefault="00600B74">
      <w:pPr>
        <w:spacing w:after="0" w:line="360" w:lineRule="auto"/>
        <w:jc w:val="center"/>
        <w:rPr>
          <w:rFonts w:ascii="Times New Roman" w:eastAsia="Times New Roman" w:hAnsi="Times New Roman" w:cs="Times New Roman"/>
          <w:b/>
          <w:sz w:val="24"/>
          <w:szCs w:val="24"/>
          <w:lang w:val="en-US"/>
        </w:rPr>
      </w:pPr>
    </w:p>
    <w:p w14:paraId="78E3A907" w14:textId="77777777" w:rsidR="00600B74" w:rsidRPr="00511444" w:rsidRDefault="000B3CC5">
      <w:pPr>
        <w:spacing w:after="0" w:line="360" w:lineRule="auto"/>
        <w:ind w:firstLine="567"/>
        <w:jc w:val="both"/>
        <w:rPr>
          <w:rFonts w:ascii="Times New Roman" w:eastAsia="Times New Roman" w:hAnsi="Times New Roman" w:cs="Times New Roman"/>
          <w:sz w:val="24"/>
          <w:szCs w:val="24"/>
          <w:lang w:val="en-US"/>
        </w:rPr>
      </w:pPr>
      <w:r w:rsidRPr="00511444">
        <w:rPr>
          <w:rFonts w:ascii="Times New Roman" w:eastAsia="Times New Roman" w:hAnsi="Times New Roman" w:cs="Times New Roman"/>
          <w:sz w:val="24"/>
          <w:szCs w:val="24"/>
          <w:lang w:val="en-US"/>
        </w:rPr>
        <w:lastRenderedPageBreak/>
        <w:t>This article provides a legal analysis of Law No. 14.790/2023, which regulates and taxes fixed-odds sports betting in Brazil, within the framework of modern Tax Law. Using a qualitative and documentary approach</w:t>
      </w:r>
      <w:r w:rsidRPr="00511444">
        <w:rPr>
          <w:rFonts w:ascii="Times New Roman" w:eastAsia="Times New Roman" w:hAnsi="Times New Roman" w:cs="Times New Roman"/>
          <w:sz w:val="24"/>
          <w:szCs w:val="24"/>
          <w:lang w:val="en-US"/>
        </w:rPr>
        <w:t>, the study explores the shift from prohibition to regulation, emphasizing legal certainty, revenue collection, and social risk mitigation. It discusses contractual aspects of betting, the principle of good faith, and regulatory challenges. Notably, it exa</w:t>
      </w:r>
      <w:r w:rsidRPr="00511444">
        <w:rPr>
          <w:rFonts w:ascii="Times New Roman" w:eastAsia="Times New Roman" w:hAnsi="Times New Roman" w:cs="Times New Roman"/>
          <w:sz w:val="24"/>
          <w:szCs w:val="24"/>
          <w:lang w:val="en-US"/>
        </w:rPr>
        <w:t xml:space="preserve">mines the extrafiscal nature of taxation in light of Constitutional Amendment No. 132/2023 and the creation of the Selective Tax by Supplementary Law No. 214/2025, targeting socially harmful activities like gambling. The tax serves as a regulatory tool to </w:t>
      </w:r>
      <w:r w:rsidRPr="00511444">
        <w:rPr>
          <w:rFonts w:ascii="Times New Roman" w:eastAsia="Times New Roman" w:hAnsi="Times New Roman" w:cs="Times New Roman"/>
          <w:sz w:val="24"/>
          <w:szCs w:val="24"/>
          <w:lang w:val="en-US"/>
        </w:rPr>
        <w:t>curb excessive betting and fund public policies for addiction prevention. However, the article warns that excessive taxation without robust oversight may drive the activity underground. A comparative analysis with international models suggests that the suc</w:t>
      </w:r>
      <w:r w:rsidRPr="00511444">
        <w:rPr>
          <w:rFonts w:ascii="Times New Roman" w:eastAsia="Times New Roman" w:hAnsi="Times New Roman" w:cs="Times New Roman"/>
          <w:sz w:val="24"/>
          <w:szCs w:val="24"/>
          <w:lang w:val="en-US"/>
        </w:rPr>
        <w:t>cess of Brazil’s framework hinges on a balanced integration of tax, regulation, and social protection.</w:t>
      </w:r>
    </w:p>
    <w:p w14:paraId="50D87D35" w14:textId="77777777" w:rsidR="00600B74" w:rsidRPr="00511444" w:rsidRDefault="00600B74">
      <w:pPr>
        <w:spacing w:after="0" w:line="360" w:lineRule="auto"/>
        <w:jc w:val="both"/>
        <w:rPr>
          <w:rFonts w:ascii="Times New Roman" w:eastAsia="Times New Roman" w:hAnsi="Times New Roman" w:cs="Times New Roman"/>
          <w:sz w:val="24"/>
          <w:szCs w:val="24"/>
          <w:lang w:val="en-US"/>
        </w:rPr>
      </w:pPr>
    </w:p>
    <w:p w14:paraId="1C484A46" w14:textId="77777777" w:rsidR="00600B74" w:rsidRDefault="000B3CC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KEYWORDS: </w:t>
      </w:r>
      <w:r>
        <w:rPr>
          <w:rFonts w:ascii="Times New Roman" w:eastAsia="Times New Roman" w:hAnsi="Times New Roman" w:cs="Times New Roman"/>
          <w:sz w:val="24"/>
          <w:szCs w:val="24"/>
        </w:rPr>
        <w:t>Gambling; Taxation; Extrafiscality</w:t>
      </w:r>
    </w:p>
    <w:p w14:paraId="1C56281D" w14:textId="77777777" w:rsidR="00600B74" w:rsidRDefault="00600B74">
      <w:pPr>
        <w:spacing w:after="0" w:line="360" w:lineRule="auto"/>
        <w:rPr>
          <w:rFonts w:ascii="Times New Roman" w:eastAsia="Times New Roman" w:hAnsi="Times New Roman" w:cs="Times New Roman"/>
          <w:b/>
          <w:sz w:val="24"/>
          <w:szCs w:val="24"/>
          <w:highlight w:val="green"/>
        </w:rPr>
      </w:pPr>
    </w:p>
    <w:p w14:paraId="304D9B5B" w14:textId="77777777" w:rsidR="00600B74" w:rsidRDefault="000B3CC5">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INTRODUÇÃO</w:t>
      </w:r>
    </w:p>
    <w:p w14:paraId="2C4DBC17" w14:textId="77777777" w:rsidR="00600B74" w:rsidRDefault="00600B74">
      <w:pPr>
        <w:spacing w:after="0" w:line="360" w:lineRule="auto"/>
        <w:ind w:firstLine="566"/>
        <w:jc w:val="both"/>
        <w:rPr>
          <w:rFonts w:ascii="Times New Roman" w:eastAsia="Times New Roman" w:hAnsi="Times New Roman" w:cs="Times New Roman"/>
          <w:sz w:val="24"/>
          <w:szCs w:val="24"/>
        </w:rPr>
      </w:pPr>
    </w:p>
    <w:p w14:paraId="3D358384" w14:textId="77777777" w:rsidR="00600B74" w:rsidRDefault="000B3CC5">
      <w:pPr>
        <w:spacing w:after="0"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regulamentação das apostas esportivas no Brasil representa um marco relevante na transição de um modelo legal historicamente proibicionista para uma abordagem regulatória, voltada à formalização de uma prática consolidada social e economicamente. Durante</w:t>
      </w:r>
      <w:r>
        <w:rPr>
          <w:rFonts w:ascii="Times New Roman" w:eastAsia="Times New Roman" w:hAnsi="Times New Roman" w:cs="Times New Roman"/>
          <w:sz w:val="24"/>
          <w:szCs w:val="24"/>
        </w:rPr>
        <w:t xml:space="preserve"> décadas, o ordenamento jurídico brasileiro tratou os jogos de azar sob uma perspectiva repressiva, associando-os a comportamentos moralmente desviantes e relegando sua prática à clandestinidade. </w:t>
      </w:r>
    </w:p>
    <w:p w14:paraId="49032B88" w14:textId="77777777" w:rsidR="00600B74" w:rsidRDefault="000B3CC5">
      <w:pPr>
        <w:spacing w:after="0"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Tal postura, embora inicialmente respaldada por valores cul</w:t>
      </w:r>
      <w:r>
        <w:rPr>
          <w:rFonts w:ascii="Times New Roman" w:eastAsia="Times New Roman" w:hAnsi="Times New Roman" w:cs="Times New Roman"/>
          <w:sz w:val="24"/>
          <w:szCs w:val="24"/>
        </w:rPr>
        <w:t>turais e morais da época, revelou-se ineficaz diante da popularização das apostas, sobretudo com a proliferação de plataformas digitais que permitem o acesso a esse tipo de serviço a partir de qualquer lugar do mundo.</w:t>
      </w:r>
    </w:p>
    <w:p w14:paraId="19A9CC50" w14:textId="77777777" w:rsidR="00600B74" w:rsidRDefault="000B3CC5">
      <w:pPr>
        <w:spacing w:after="0"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crescente demanda por regulamentação</w:t>
      </w:r>
      <w:r>
        <w:rPr>
          <w:rFonts w:ascii="Times New Roman" w:eastAsia="Times New Roman" w:hAnsi="Times New Roman" w:cs="Times New Roman"/>
          <w:sz w:val="24"/>
          <w:szCs w:val="24"/>
        </w:rPr>
        <w:t xml:space="preserve"> ganhou impulso com o avanço tecnológico, a expansão das casas de apostas estrangeiras e os riscos decorrentes da falta de controle estatal sobre a atividade. A sanção da Lei nº 14.790/2023 simboliza a resposta institucional a esse contexto. A norma visa d</w:t>
      </w:r>
      <w:r>
        <w:rPr>
          <w:rFonts w:ascii="Times New Roman" w:eastAsia="Times New Roman" w:hAnsi="Times New Roman" w:cs="Times New Roman"/>
          <w:sz w:val="24"/>
          <w:szCs w:val="24"/>
        </w:rPr>
        <w:t xml:space="preserve">isciplinar as apostas de quota fixa, regulamentar a atuação das operadoras, proteger os consumidores, assegurar a </w:t>
      </w:r>
      <w:r>
        <w:rPr>
          <w:rFonts w:ascii="Times New Roman" w:eastAsia="Times New Roman" w:hAnsi="Times New Roman" w:cs="Times New Roman"/>
          <w:sz w:val="24"/>
          <w:szCs w:val="24"/>
        </w:rPr>
        <w:lastRenderedPageBreak/>
        <w:t>arrecadação de tributos e mitigar os riscos sociais associados à ludopatia e ao endividamento.</w:t>
      </w:r>
    </w:p>
    <w:p w14:paraId="220FCC9E" w14:textId="77777777" w:rsidR="00600B74" w:rsidRDefault="000B3CC5">
      <w:pPr>
        <w:spacing w:after="0"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presente artigo se propõe a realizar uma anál</w:t>
      </w:r>
      <w:r>
        <w:rPr>
          <w:rFonts w:ascii="Times New Roman" w:eastAsia="Times New Roman" w:hAnsi="Times New Roman" w:cs="Times New Roman"/>
          <w:sz w:val="24"/>
          <w:szCs w:val="24"/>
        </w:rPr>
        <w:t xml:space="preserve">ise jurídica da Lei nº 14.790/2023, com ênfase em seus dispositivos regulatórios e tributários, à luz do Direito Tributário e da função extrafiscal dos tributos. </w:t>
      </w:r>
    </w:p>
    <w:p w14:paraId="53297BAD" w14:textId="77777777" w:rsidR="00600B74" w:rsidRDefault="000B3CC5">
      <w:pPr>
        <w:spacing w:after="0"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Parte-se de uma abordagem qualitativa e documental, com base em doutrina especializada, legis</w:t>
      </w:r>
      <w:r>
        <w:rPr>
          <w:rFonts w:ascii="Times New Roman" w:eastAsia="Times New Roman" w:hAnsi="Times New Roman" w:cs="Times New Roman"/>
          <w:sz w:val="24"/>
          <w:szCs w:val="24"/>
        </w:rPr>
        <w:t>lação nacional e estrangeira, jurisprudência e dados empíricos, buscando compreender os efeitos da nova regulação sobre os operadores econômicos, o Estado e os consumidores.</w:t>
      </w:r>
    </w:p>
    <w:p w14:paraId="797A711D" w14:textId="77777777" w:rsidR="00600B74" w:rsidRDefault="000B3CC5">
      <w:pPr>
        <w:spacing w:after="0"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 de apresentar os principais aspectos normativos da lei, o estudo aborda a nat</w:t>
      </w:r>
      <w:r>
        <w:rPr>
          <w:rFonts w:ascii="Times New Roman" w:eastAsia="Times New Roman" w:hAnsi="Times New Roman" w:cs="Times New Roman"/>
          <w:sz w:val="24"/>
          <w:szCs w:val="24"/>
        </w:rPr>
        <w:t>ureza contratual das apostas, os princípios aplicáveis às relações entre operadores e apostadores, o papel do Estado como regulador e os desafios da fiscalização efetiva em um ambiente cada vez mais digitalizado. Ademais, são discutidos os efeitos da tribu</w:t>
      </w:r>
      <w:r>
        <w:rPr>
          <w:rFonts w:ascii="Times New Roman" w:eastAsia="Times New Roman" w:hAnsi="Times New Roman" w:cs="Times New Roman"/>
          <w:sz w:val="24"/>
          <w:szCs w:val="24"/>
        </w:rPr>
        <w:t>tação sobre a atividade, os fundamentos da extrafiscalidade, a partir do Imposto Seletivo (IS) instituído pela Reforma Tributária e incidente sobre atividades potencialmente prejudiciais à saúde, como é o caso dos jogos de azar, da mesma feita busca-se ana</w:t>
      </w:r>
      <w:r>
        <w:rPr>
          <w:rFonts w:ascii="Times New Roman" w:eastAsia="Times New Roman" w:hAnsi="Times New Roman" w:cs="Times New Roman"/>
          <w:sz w:val="24"/>
          <w:szCs w:val="24"/>
        </w:rPr>
        <w:t>lisar possíveis problemas relativos a uma carga tributária incidente sobre tal atividade, a despeito de necessária fiscalização.</w:t>
      </w:r>
    </w:p>
    <w:p w14:paraId="69525A7F" w14:textId="77777777" w:rsidR="00600B74" w:rsidRDefault="000B3CC5">
      <w:pPr>
        <w:spacing w:after="0"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trabalho também realiza um exercício de Direito Comparado, examinando os modelos adotados na União Europeia e nos Estados Uni</w:t>
      </w:r>
      <w:r>
        <w:rPr>
          <w:rFonts w:ascii="Times New Roman" w:eastAsia="Times New Roman" w:hAnsi="Times New Roman" w:cs="Times New Roman"/>
          <w:sz w:val="24"/>
          <w:szCs w:val="24"/>
        </w:rPr>
        <w:t xml:space="preserve">dos, com o intuito de identificar boas práticas e possíveis soluções para a implementação eficiente da nova política pública no Brasil. A análise comparativa evidencia que a eficácia do regime normativo nacional dependerá de sua capacidade de adaptação às </w:t>
      </w:r>
      <w:r>
        <w:rPr>
          <w:rFonts w:ascii="Times New Roman" w:eastAsia="Times New Roman" w:hAnsi="Times New Roman" w:cs="Times New Roman"/>
          <w:sz w:val="24"/>
          <w:szCs w:val="24"/>
        </w:rPr>
        <w:t>particularidades do mercado, bem como da articulação entre regulamentação, tributação, prevenção e proteção social.</w:t>
      </w:r>
    </w:p>
    <w:p w14:paraId="1766A8CF" w14:textId="77777777" w:rsidR="00600B74" w:rsidRDefault="000B3CC5">
      <w:pPr>
        <w:spacing w:after="0"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fim, ressalta-se que esta investigação se insere no campo das análises iniciais sobre uma legislação recente, cujos efeitos concretos ai</w:t>
      </w:r>
      <w:r>
        <w:rPr>
          <w:rFonts w:ascii="Times New Roman" w:eastAsia="Times New Roman" w:hAnsi="Times New Roman" w:cs="Times New Roman"/>
          <w:sz w:val="24"/>
          <w:szCs w:val="24"/>
        </w:rPr>
        <w:t>nda estão em formação. O objetivo central é contribuir para o debate jurídico e institucional sobre o tema, oferecendo subsídios para futuras pesquisas, aprimoramentos legislativos e políticas públicas mais eficazes e equilibradas.</w:t>
      </w:r>
    </w:p>
    <w:p w14:paraId="5866CB8A" w14:textId="77777777" w:rsidR="00600B74" w:rsidRDefault="00600B74">
      <w:pPr>
        <w:pBdr>
          <w:top w:val="nil"/>
          <w:left w:val="nil"/>
          <w:bottom w:val="nil"/>
          <w:right w:val="nil"/>
          <w:between w:val="nil"/>
        </w:pBdr>
        <w:spacing w:after="0" w:line="360" w:lineRule="auto"/>
        <w:jc w:val="both"/>
        <w:rPr>
          <w:rFonts w:ascii="Times New Roman" w:eastAsia="Times New Roman" w:hAnsi="Times New Roman" w:cs="Times New Roman"/>
          <w:b/>
          <w:sz w:val="24"/>
          <w:szCs w:val="24"/>
          <w:highlight w:val="green"/>
        </w:rPr>
      </w:pPr>
    </w:p>
    <w:p w14:paraId="7A9B4BC4" w14:textId="77777777" w:rsidR="00600B74" w:rsidRDefault="000B3CC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 BREVE ANÁLISE HISTÓR</w:t>
      </w:r>
      <w:r>
        <w:rPr>
          <w:rFonts w:ascii="Times New Roman" w:eastAsia="Times New Roman" w:hAnsi="Times New Roman" w:cs="Times New Roman"/>
          <w:b/>
          <w:color w:val="000000"/>
          <w:sz w:val="24"/>
          <w:szCs w:val="24"/>
        </w:rPr>
        <w:t>ICA DOS JOGOS DE APOSTA NO BRASIL</w:t>
      </w:r>
    </w:p>
    <w:p w14:paraId="32B687DA" w14:textId="77777777" w:rsidR="00600B74" w:rsidRDefault="00600B74">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1F869488"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No Brasil, as apostas sempre estiveram inseridas na cultura popular, refletindo a influência d</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 coloniza</w:t>
      </w:r>
      <w:r>
        <w:rPr>
          <w:rFonts w:ascii="Times New Roman" w:eastAsia="Times New Roman" w:hAnsi="Times New Roman" w:cs="Times New Roman"/>
          <w:sz w:val="24"/>
          <w:szCs w:val="24"/>
        </w:rPr>
        <w:t>ção europeia</w:t>
      </w:r>
      <w:r>
        <w:rPr>
          <w:rFonts w:ascii="Times New Roman" w:eastAsia="Times New Roman" w:hAnsi="Times New Roman" w:cs="Times New Roman"/>
          <w:color w:val="000000"/>
          <w:sz w:val="24"/>
          <w:szCs w:val="24"/>
        </w:rPr>
        <w:t xml:space="preserve"> e a evolução das práticas sociais ao longo dos séculos. Jogos de cartas e dados rapidamente se popularizaram no período colonial, tornando-se formas comuns de entretenimento. </w:t>
      </w:r>
    </w:p>
    <w:p w14:paraId="08FCF32F"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século XIX, as corridas de cavalos e o “Jogo do Bicho” consolidaram-se como </w:t>
      </w:r>
      <w:r>
        <w:rPr>
          <w:rFonts w:ascii="Times New Roman" w:eastAsia="Times New Roman" w:hAnsi="Times New Roman" w:cs="Times New Roman"/>
          <w:sz w:val="24"/>
          <w:szCs w:val="24"/>
        </w:rPr>
        <w:t>práticas de ampla difusão no Brasil. Criado em 1892 por João Batista Viana Drummond, com o objetivo de financiar o Jardim Zoológico de Vila Isabel, no Rio de Janeiro, o “Jogo do Bicho” rapidamente se espalhou pelo território nacional, tornando-se um dos jo</w:t>
      </w:r>
      <w:r>
        <w:rPr>
          <w:rFonts w:ascii="Times New Roman" w:eastAsia="Times New Roman" w:hAnsi="Times New Roman" w:cs="Times New Roman"/>
          <w:sz w:val="24"/>
          <w:szCs w:val="24"/>
        </w:rPr>
        <w:t>gos mais populares do país, mesmo após sua posterior criminalização.</w:t>
      </w:r>
    </w:p>
    <w:p w14:paraId="6B0A1A61"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regulamentação dos jogos de aposta </w:t>
      </w:r>
      <w:r>
        <w:rPr>
          <w:rFonts w:ascii="Times New Roman" w:eastAsia="Times New Roman" w:hAnsi="Times New Roman" w:cs="Times New Roman"/>
          <w:sz w:val="24"/>
          <w:szCs w:val="24"/>
        </w:rPr>
        <w:t>avançou significativamente</w:t>
      </w:r>
      <w:r>
        <w:rPr>
          <w:rFonts w:ascii="Times New Roman" w:eastAsia="Times New Roman" w:hAnsi="Times New Roman" w:cs="Times New Roman"/>
          <w:color w:val="000000"/>
          <w:sz w:val="24"/>
          <w:szCs w:val="24"/>
        </w:rPr>
        <w:t xml:space="preserve"> na década de 1930, com a legalização dos cassinos no governo Vargas</w:t>
      </w:r>
      <w:r>
        <w:rPr>
          <w:rFonts w:ascii="Times New Roman" w:eastAsia="Times New Roman" w:hAnsi="Times New Roman" w:cs="Times New Roman"/>
          <w:sz w:val="24"/>
          <w:szCs w:val="24"/>
        </w:rPr>
        <w:t>, visando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impulsionar</w:t>
      </w:r>
      <w:r>
        <w:rPr>
          <w:rFonts w:ascii="Times New Roman" w:eastAsia="Times New Roman" w:hAnsi="Times New Roman" w:cs="Times New Roman"/>
          <w:color w:val="000000"/>
          <w:sz w:val="24"/>
          <w:szCs w:val="24"/>
        </w:rPr>
        <w:t xml:space="preserve"> o turismo e a economia. Esse perío</w:t>
      </w:r>
      <w:r>
        <w:rPr>
          <w:rFonts w:ascii="Times New Roman" w:eastAsia="Times New Roman" w:hAnsi="Times New Roman" w:cs="Times New Roman"/>
          <w:color w:val="000000"/>
          <w:sz w:val="24"/>
          <w:szCs w:val="24"/>
        </w:rPr>
        <w:t xml:space="preserve">do, conhecido como a “Era de Ouro” dos cassinos, foi marcado pelo surgimento de estabelecimentos renomados, como o Copacabana Palace e o Cassino da Urca, que se tornaram centros de entretenimento e cultura, atraindo grandes artistas e a elite brasileira. </w:t>
      </w:r>
    </w:p>
    <w:p w14:paraId="7DA2DFF0"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Contudo, em 1946, o presidente Eurico Gaspar Dutra assinou o Decreto-Lei nº 9.215, proibindo os jogos de azar sob a justificativa de que eram prejudiciais à moral e aos bons costumes. Além disso, o Decreto-Lei nº 3.688, de 1941, </w:t>
      </w:r>
      <w:r>
        <w:rPr>
          <w:rFonts w:ascii="Times New Roman" w:eastAsia="Times New Roman" w:hAnsi="Times New Roman" w:cs="Times New Roman"/>
          <w:sz w:val="24"/>
          <w:szCs w:val="24"/>
        </w:rPr>
        <w:t>dos artigos</w:t>
      </w:r>
      <w:r>
        <w:rPr>
          <w:rFonts w:ascii="Times New Roman" w:eastAsia="Times New Roman" w:hAnsi="Times New Roman" w:cs="Times New Roman"/>
          <w:color w:val="000000"/>
          <w:sz w:val="24"/>
          <w:szCs w:val="24"/>
        </w:rPr>
        <w:t xml:space="preserve"> 50 </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 58, </w:t>
      </w:r>
      <w:r>
        <w:rPr>
          <w:rFonts w:ascii="Times New Roman" w:eastAsia="Times New Roman" w:hAnsi="Times New Roman" w:cs="Times New Roman"/>
          <w:sz w:val="24"/>
          <w:szCs w:val="24"/>
        </w:rPr>
        <w:t>tipifi</w:t>
      </w:r>
      <w:r>
        <w:rPr>
          <w:rFonts w:ascii="Times New Roman" w:eastAsia="Times New Roman" w:hAnsi="Times New Roman" w:cs="Times New Roman"/>
          <w:sz w:val="24"/>
          <w:szCs w:val="24"/>
        </w:rPr>
        <w:t>ca</w:t>
      </w:r>
      <w:r>
        <w:rPr>
          <w:rFonts w:ascii="Times New Roman" w:eastAsia="Times New Roman" w:hAnsi="Times New Roman" w:cs="Times New Roman"/>
          <w:color w:val="000000"/>
          <w:sz w:val="24"/>
          <w:szCs w:val="24"/>
        </w:rPr>
        <w:t xml:space="preserve"> como contravenção penal a exploração dos jogos de azar, incluindo de forma expressa o “jogo do bicho”. A norma prevê </w:t>
      </w:r>
      <w:r>
        <w:rPr>
          <w:rFonts w:ascii="Times New Roman" w:eastAsia="Times New Roman" w:hAnsi="Times New Roman" w:cs="Times New Roman"/>
          <w:sz w:val="24"/>
          <w:szCs w:val="24"/>
        </w:rPr>
        <w:t>as</w:t>
      </w:r>
      <w:r>
        <w:rPr>
          <w:rFonts w:ascii="Times New Roman" w:eastAsia="Times New Roman" w:hAnsi="Times New Roman" w:cs="Times New Roman"/>
          <w:color w:val="000000"/>
          <w:sz w:val="24"/>
          <w:szCs w:val="24"/>
        </w:rPr>
        <w:t xml:space="preserve"> penas de prisão simples e multa para quem realiza, explora ou</w:t>
      </w:r>
      <w:r>
        <w:rPr>
          <w:rFonts w:ascii="Times New Roman" w:eastAsia="Times New Roman" w:hAnsi="Times New Roman" w:cs="Times New Roman"/>
          <w:sz w:val="24"/>
          <w:szCs w:val="24"/>
        </w:rPr>
        <w:t xml:space="preserve"> participa de</w:t>
      </w:r>
      <w:r>
        <w:rPr>
          <w:rFonts w:ascii="Times New Roman" w:eastAsia="Times New Roman" w:hAnsi="Times New Roman" w:cs="Times New Roman"/>
          <w:color w:val="000000"/>
          <w:sz w:val="24"/>
          <w:szCs w:val="24"/>
        </w:rPr>
        <w:t xml:space="preserve"> tais práticas</w:t>
      </w:r>
      <w:r>
        <w:rPr>
          <w:rFonts w:ascii="Times New Roman" w:eastAsia="Times New Roman" w:hAnsi="Times New Roman" w:cs="Times New Roman"/>
          <w:sz w:val="24"/>
          <w:szCs w:val="24"/>
        </w:rPr>
        <w:t>.</w:t>
      </w:r>
    </w:p>
    <w:p w14:paraId="6C75FF2F"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Assim, apesar de </w:t>
      </w:r>
      <w:r>
        <w:rPr>
          <w:rFonts w:ascii="Times New Roman" w:eastAsia="Times New Roman" w:hAnsi="Times New Roman" w:cs="Times New Roman"/>
          <w:sz w:val="24"/>
          <w:szCs w:val="24"/>
        </w:rPr>
        <w:t>existirem</w:t>
      </w:r>
      <w:r>
        <w:rPr>
          <w:rFonts w:ascii="Times New Roman" w:eastAsia="Times New Roman" w:hAnsi="Times New Roman" w:cs="Times New Roman"/>
          <w:color w:val="000000"/>
          <w:sz w:val="24"/>
          <w:szCs w:val="24"/>
        </w:rPr>
        <w:t xml:space="preserve"> formalmente enqu</w:t>
      </w:r>
      <w:r>
        <w:rPr>
          <w:rFonts w:ascii="Times New Roman" w:eastAsia="Times New Roman" w:hAnsi="Times New Roman" w:cs="Times New Roman"/>
          <w:color w:val="000000"/>
          <w:sz w:val="24"/>
          <w:szCs w:val="24"/>
        </w:rPr>
        <w:t>anto fenômeno cultural e econômico, os jogos de azar foram, por longas décadas, considerados ilegais em razão da legislação infraconstitucional vigente. A única exceção mantida foi a exploração das loterias federais, como a Mega-Sena e a Lotofácil, organiz</w:t>
      </w:r>
      <w:r>
        <w:rPr>
          <w:rFonts w:ascii="Times New Roman" w:eastAsia="Times New Roman" w:hAnsi="Times New Roman" w:cs="Times New Roman"/>
          <w:color w:val="000000"/>
          <w:sz w:val="24"/>
          <w:szCs w:val="24"/>
        </w:rPr>
        <w:t>adas pela Caixa Econômica Federal</w:t>
      </w:r>
      <w:r>
        <w:rPr>
          <w:rFonts w:ascii="Times New Roman" w:eastAsia="Times New Roman" w:hAnsi="Times New Roman" w:cs="Times New Roman"/>
          <w:sz w:val="24"/>
          <w:szCs w:val="24"/>
        </w:rPr>
        <w:t>, disciplinadas pela Lei nº 13.756/2018.</w:t>
      </w:r>
      <w:r>
        <w:rPr>
          <w:rFonts w:ascii="Times New Roman" w:eastAsia="Times New Roman" w:hAnsi="Times New Roman" w:cs="Times New Roman"/>
          <w:color w:val="000000"/>
          <w:sz w:val="24"/>
          <w:szCs w:val="24"/>
        </w:rPr>
        <w:t xml:space="preserve"> </w:t>
      </w:r>
    </w:p>
    <w:p w14:paraId="05CB97CD"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FF00"/>
          <w:sz w:val="24"/>
          <w:szCs w:val="24"/>
        </w:rPr>
      </w:pPr>
      <w:r>
        <w:rPr>
          <w:rFonts w:ascii="Times New Roman" w:eastAsia="Times New Roman" w:hAnsi="Times New Roman" w:cs="Times New Roman"/>
          <w:color w:val="000000"/>
          <w:sz w:val="24"/>
          <w:szCs w:val="24"/>
        </w:rPr>
        <w:t xml:space="preserve">Mesmo diante da proibição, o “Jogo do Bicho” permaneceu consolidado como prática corriqueira no cotidiano brasileiro, evidenciando a dificuldade do Estado </w:t>
      </w:r>
      <w:r>
        <w:rPr>
          <w:rFonts w:ascii="Times New Roman" w:eastAsia="Times New Roman" w:hAnsi="Times New Roman" w:cs="Times New Roman"/>
          <w:sz w:val="24"/>
          <w:szCs w:val="24"/>
        </w:rPr>
        <w:t>no combate à atividade</w:t>
      </w:r>
      <w:r>
        <w:rPr>
          <w:rFonts w:ascii="Times New Roman" w:eastAsia="Times New Roman" w:hAnsi="Times New Roman" w:cs="Times New Roman"/>
          <w:color w:val="000000"/>
          <w:sz w:val="24"/>
          <w:szCs w:val="24"/>
        </w:rPr>
        <w:t xml:space="preserve">. </w:t>
      </w:r>
    </w:p>
    <w:p w14:paraId="6E8B5256"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o Rio de Janeiro, em especial, a figura dos “bicheiros” tornou-se emblemática. Chefes das bancas de apostas passaram a exercer influência social, política e até cultural, muitas vezes patrocinando escolas de samba, times de futebol e eventos comunitários. </w:t>
      </w:r>
      <w:r>
        <w:rPr>
          <w:rFonts w:ascii="Times New Roman" w:eastAsia="Times New Roman" w:hAnsi="Times New Roman" w:cs="Times New Roman"/>
          <w:sz w:val="24"/>
          <w:szCs w:val="24"/>
        </w:rPr>
        <w:t xml:space="preserve">Nomes como Castor de Andrade tornaram-se símbolos de uma estrutura paralela de </w:t>
      </w:r>
      <w:r>
        <w:rPr>
          <w:rFonts w:ascii="Times New Roman" w:eastAsia="Times New Roman" w:hAnsi="Times New Roman" w:cs="Times New Roman"/>
          <w:sz w:val="24"/>
          <w:szCs w:val="24"/>
        </w:rPr>
        <w:lastRenderedPageBreak/>
        <w:t>poder, que resistia à repressão policial e estabelecia suas próprias formas de regulação e proteção. Essa influência contribuiu para a perpetuação e naturalização do jogo, mesmo</w:t>
      </w:r>
      <w:r>
        <w:rPr>
          <w:rFonts w:ascii="Times New Roman" w:eastAsia="Times New Roman" w:hAnsi="Times New Roman" w:cs="Times New Roman"/>
          <w:sz w:val="24"/>
          <w:szCs w:val="24"/>
        </w:rPr>
        <w:t xml:space="preserve"> sob o manto da ilegalidade, criando uma zona cinzenta entre o ilícito penal e o reconhecimento social.</w:t>
      </w:r>
    </w:p>
    <w:p w14:paraId="71E2964A"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 o avanço da tecnologia e da internet, especialmente nas décadas finais do século XX e início do século XXI, o cenário se transformou. Plataformas di</w:t>
      </w:r>
      <w:r>
        <w:rPr>
          <w:rFonts w:ascii="Times New Roman" w:eastAsia="Times New Roman" w:hAnsi="Times New Roman" w:cs="Times New Roman"/>
          <w:color w:val="000000"/>
          <w:sz w:val="24"/>
          <w:szCs w:val="24"/>
        </w:rPr>
        <w:t xml:space="preserve">gitais sediadas no exterior, passaram a oferecer serviços de apostas esportivas </w:t>
      </w:r>
      <w:r>
        <w:rPr>
          <w:rFonts w:ascii="Times New Roman" w:eastAsia="Times New Roman" w:hAnsi="Times New Roman" w:cs="Times New Roman"/>
          <w:i/>
          <w:color w:val="000000"/>
          <w:sz w:val="24"/>
          <w:szCs w:val="24"/>
        </w:rPr>
        <w:t>online</w:t>
      </w:r>
      <w:r>
        <w:rPr>
          <w:rFonts w:ascii="Times New Roman" w:eastAsia="Times New Roman" w:hAnsi="Times New Roman" w:cs="Times New Roman"/>
          <w:color w:val="000000"/>
          <w:sz w:val="24"/>
          <w:szCs w:val="24"/>
        </w:rPr>
        <w:t xml:space="preserve"> a apostadores brasileiros, operando à margem da legislação nacional, mas com ampla adesão popular. Dados da </w:t>
      </w:r>
      <w:r>
        <w:rPr>
          <w:rFonts w:ascii="Times New Roman" w:eastAsia="Times New Roman" w:hAnsi="Times New Roman" w:cs="Times New Roman"/>
          <w:i/>
          <w:color w:val="000000"/>
          <w:sz w:val="24"/>
          <w:szCs w:val="24"/>
        </w:rPr>
        <w:t>SimilarWeb</w:t>
      </w:r>
      <w:r>
        <w:rPr>
          <w:rFonts w:ascii="Times New Roman" w:eastAsia="Times New Roman" w:hAnsi="Times New Roman" w:cs="Times New Roman"/>
          <w:i/>
          <w:color w:val="000000"/>
          <w:sz w:val="24"/>
          <w:szCs w:val="24"/>
          <w:vertAlign w:val="superscript"/>
        </w:rPr>
        <w:footnoteReference w:id="3"/>
      </w:r>
      <w:r>
        <w:rPr>
          <w:rFonts w:ascii="Times New Roman" w:eastAsia="Times New Roman" w:hAnsi="Times New Roman" w:cs="Times New Roman"/>
          <w:color w:val="000000"/>
          <w:sz w:val="24"/>
          <w:szCs w:val="24"/>
        </w:rPr>
        <w:t xml:space="preserve"> indicam que o </w:t>
      </w:r>
      <w:r>
        <w:rPr>
          <w:rFonts w:ascii="Times New Roman" w:eastAsia="Times New Roman" w:hAnsi="Times New Roman" w:cs="Times New Roman"/>
          <w:i/>
          <w:color w:val="000000"/>
          <w:sz w:val="24"/>
          <w:szCs w:val="24"/>
        </w:rPr>
        <w:t>site</w:t>
      </w:r>
      <w:r>
        <w:rPr>
          <w:rFonts w:ascii="Times New Roman" w:eastAsia="Times New Roman" w:hAnsi="Times New Roman" w:cs="Times New Roman"/>
          <w:color w:val="000000"/>
          <w:sz w:val="24"/>
          <w:szCs w:val="24"/>
        </w:rPr>
        <w:t xml:space="preserve"> Bet365 chegou a registrar cerca de 67,7 milhões de visitas mensais no Brasil, em 2023, o que revela </w:t>
      </w:r>
      <w:r>
        <w:rPr>
          <w:rFonts w:ascii="Times New Roman" w:eastAsia="Times New Roman" w:hAnsi="Times New Roman" w:cs="Times New Roman"/>
          <w:sz w:val="24"/>
          <w:szCs w:val="24"/>
        </w:rPr>
        <w:t xml:space="preserve">uma demanda expressiva </w:t>
      </w:r>
      <w:r>
        <w:rPr>
          <w:rFonts w:ascii="Times New Roman" w:eastAsia="Times New Roman" w:hAnsi="Times New Roman" w:cs="Times New Roman"/>
          <w:color w:val="000000"/>
          <w:sz w:val="24"/>
          <w:szCs w:val="24"/>
        </w:rPr>
        <w:t>por essas atividades, mesmo em contexto de insegurança jurídica.</w:t>
      </w:r>
    </w:p>
    <w:p w14:paraId="1CAC8833"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primeira tentativa con</w:t>
      </w:r>
      <w:r>
        <w:rPr>
          <w:rFonts w:ascii="Times New Roman" w:eastAsia="Times New Roman" w:hAnsi="Times New Roman" w:cs="Times New Roman"/>
          <w:sz w:val="24"/>
          <w:szCs w:val="24"/>
        </w:rPr>
        <w:t>creta</w:t>
      </w:r>
      <w:r>
        <w:rPr>
          <w:rFonts w:ascii="Times New Roman" w:eastAsia="Times New Roman" w:hAnsi="Times New Roman" w:cs="Times New Roman"/>
          <w:color w:val="000000"/>
          <w:sz w:val="24"/>
          <w:szCs w:val="24"/>
        </w:rPr>
        <w:t xml:space="preserve"> para reverter o quadro proibicionista</w:t>
      </w:r>
      <w:r>
        <w:rPr>
          <w:rFonts w:ascii="Times New Roman" w:eastAsia="Times New Roman" w:hAnsi="Times New Roman" w:cs="Times New Roman"/>
          <w:color w:val="000000"/>
          <w:sz w:val="24"/>
          <w:szCs w:val="24"/>
        </w:rPr>
        <w:t xml:space="preserve"> foi o Projeto de Lei do Senado nº 186/2014, que buscava legalizar os jogos de azar e definir regras para sua exploração, </w:t>
      </w:r>
      <w:r>
        <w:rPr>
          <w:rFonts w:ascii="Times New Roman" w:eastAsia="Times New Roman" w:hAnsi="Times New Roman" w:cs="Times New Roman"/>
          <w:sz w:val="24"/>
          <w:szCs w:val="24"/>
        </w:rPr>
        <w:t>que</w:t>
      </w:r>
      <w:r>
        <w:rPr>
          <w:rFonts w:ascii="Times New Roman" w:eastAsia="Times New Roman" w:hAnsi="Times New Roman" w:cs="Times New Roman"/>
          <w:color w:val="000000"/>
          <w:sz w:val="24"/>
          <w:szCs w:val="24"/>
        </w:rPr>
        <w:t xml:space="preserve"> acabou arquivado em 2022. Em paralelo, o Projeto de Lei nº 442/1991, originalmente voltado à anistia de contraventores do “jogo do</w:t>
      </w:r>
      <w:r>
        <w:rPr>
          <w:rFonts w:ascii="Times New Roman" w:eastAsia="Times New Roman" w:hAnsi="Times New Roman" w:cs="Times New Roman"/>
          <w:color w:val="000000"/>
          <w:sz w:val="24"/>
          <w:szCs w:val="24"/>
        </w:rPr>
        <w:t xml:space="preserve"> bicho", foi sendo ampliado ao longo das décadas para abranger outras modalidades. Em 2022, a Câmara dos Deputados aprovou o texto-base do PL 442/91, refletindo a crescente percepção social de que a simples proibição apenas impulsionava o mercado clandesti</w:t>
      </w:r>
      <w:r>
        <w:rPr>
          <w:rFonts w:ascii="Times New Roman" w:eastAsia="Times New Roman" w:hAnsi="Times New Roman" w:cs="Times New Roman"/>
          <w:color w:val="000000"/>
          <w:sz w:val="24"/>
          <w:szCs w:val="24"/>
        </w:rPr>
        <w:t>no.</w:t>
      </w:r>
    </w:p>
    <w:p w14:paraId="21F1D4FC"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mudança legislativa mais significativa, no entanto, ocorreu em 2023, com a sanção da Lei nº 14.790/</w:t>
      </w:r>
      <w:r>
        <w:rPr>
          <w:rFonts w:ascii="Times New Roman" w:eastAsia="Times New Roman" w:hAnsi="Times New Roman" w:cs="Times New Roman"/>
          <w:color w:val="0D0D0D"/>
          <w:sz w:val="24"/>
          <w:szCs w:val="24"/>
        </w:rPr>
        <w:t>23</w:t>
      </w:r>
      <w:r>
        <w:rPr>
          <w:rFonts w:ascii="Times New Roman" w:eastAsia="Times New Roman" w:hAnsi="Times New Roman" w:cs="Times New Roman"/>
          <w:color w:val="000000"/>
          <w:sz w:val="24"/>
          <w:szCs w:val="24"/>
        </w:rPr>
        <w:t xml:space="preserve">, que regulamentou as apostas esportivas de quota fixa e os </w:t>
      </w:r>
      <w:r>
        <w:rPr>
          <w:rFonts w:ascii="Times New Roman" w:eastAsia="Times New Roman" w:hAnsi="Times New Roman" w:cs="Times New Roman"/>
          <w:sz w:val="24"/>
          <w:szCs w:val="24"/>
        </w:rPr>
        <w:t>casinos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online</w:t>
      </w:r>
      <w:r>
        <w:rPr>
          <w:rFonts w:ascii="Times New Roman" w:eastAsia="Times New Roman" w:hAnsi="Times New Roman" w:cs="Times New Roman"/>
          <w:color w:val="000000"/>
          <w:sz w:val="24"/>
          <w:szCs w:val="24"/>
        </w:rPr>
        <w:t xml:space="preserve"> no Brasil. A norma estabelece diretrizes claras para a concessão de licenç</w:t>
      </w:r>
      <w:r>
        <w:rPr>
          <w:rFonts w:ascii="Times New Roman" w:eastAsia="Times New Roman" w:hAnsi="Times New Roman" w:cs="Times New Roman"/>
          <w:color w:val="000000"/>
          <w:sz w:val="24"/>
          <w:szCs w:val="24"/>
        </w:rPr>
        <w:t xml:space="preserve">as, distribuição da arrecadação e regras de </w:t>
      </w:r>
      <w:r>
        <w:rPr>
          <w:rFonts w:ascii="Times New Roman" w:eastAsia="Times New Roman" w:hAnsi="Times New Roman" w:cs="Times New Roman"/>
          <w:i/>
          <w:color w:val="000000"/>
          <w:sz w:val="24"/>
          <w:szCs w:val="24"/>
        </w:rPr>
        <w:t>compliance</w:t>
      </w:r>
      <w:r>
        <w:rPr>
          <w:rFonts w:ascii="Times New Roman" w:eastAsia="Times New Roman" w:hAnsi="Times New Roman" w:cs="Times New Roman"/>
          <w:color w:val="000000"/>
          <w:sz w:val="24"/>
          <w:szCs w:val="24"/>
        </w:rPr>
        <w:t>, marcando um novo ciclo normativo para o setor. </w:t>
      </w:r>
    </w:p>
    <w:p w14:paraId="558493D3"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partir de 2025, apenas empresas autorizadas poderão operar legalmente no território nacional, sendo exigidos requisitos técnicos, financeiros e éticos</w:t>
      </w:r>
      <w:r>
        <w:rPr>
          <w:rFonts w:ascii="Times New Roman" w:eastAsia="Times New Roman" w:hAnsi="Times New Roman" w:cs="Times New Roman"/>
          <w:color w:val="000000"/>
          <w:sz w:val="24"/>
          <w:szCs w:val="24"/>
        </w:rPr>
        <w:t xml:space="preserve"> para obtenção da licença. A legislação visa não apenas regular uma prática já consolidada socialmente, mas também proteger consumidores, garantir a arrecadação de tributos e coibir a lavagem de dinheiro.</w:t>
      </w:r>
    </w:p>
    <w:p w14:paraId="5A27DC0B"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trajetória dos jogos de aposta no Brasil, portant</w:t>
      </w:r>
      <w:r>
        <w:rPr>
          <w:rFonts w:ascii="Times New Roman" w:eastAsia="Times New Roman" w:hAnsi="Times New Roman" w:cs="Times New Roman"/>
          <w:color w:val="000000"/>
          <w:sz w:val="24"/>
          <w:szCs w:val="24"/>
        </w:rPr>
        <w:t xml:space="preserve">o, revela a constante tensão entre tradição cultural, interesse econômico e normatividade jurídica. Desde as práticas </w:t>
      </w:r>
      <w:r>
        <w:rPr>
          <w:rFonts w:ascii="Times New Roman" w:eastAsia="Times New Roman" w:hAnsi="Times New Roman" w:cs="Times New Roman"/>
          <w:color w:val="000000"/>
          <w:sz w:val="24"/>
          <w:szCs w:val="24"/>
        </w:rPr>
        <w:lastRenderedPageBreak/>
        <w:t>informais do período colonial até a recente regulamentação federal, a atividade resiste ao tempo e se adapta às transformações sociais e t</w:t>
      </w:r>
      <w:r>
        <w:rPr>
          <w:rFonts w:ascii="Times New Roman" w:eastAsia="Times New Roman" w:hAnsi="Times New Roman" w:cs="Times New Roman"/>
          <w:color w:val="000000"/>
          <w:sz w:val="24"/>
          <w:szCs w:val="24"/>
        </w:rPr>
        <w:t xml:space="preserve">ecnológicas. </w:t>
      </w:r>
    </w:p>
    <w:p w14:paraId="46317C65"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Mais do que um tema moral ou recreativo, os jogos de aposta tornaram-se um campo relevante de discussão legislativa e econômica, exigindo abordagens regulatórias cada vez mais especializadas e alinhadas com a realidade contemporânea.</w:t>
      </w:r>
    </w:p>
    <w:p w14:paraId="737E05D5" w14:textId="77777777" w:rsidR="00600B74" w:rsidRDefault="00600B74">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14:paraId="44B29FBC" w14:textId="77777777" w:rsidR="00600B74" w:rsidRDefault="000B3CC5">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 ANÁLISE DA LEI 14.790/23: REGULAMENTAÇÃO DAS CASAS DE APOSTA</w:t>
      </w:r>
    </w:p>
    <w:p w14:paraId="13A6C3BE" w14:textId="77777777" w:rsidR="00600B74" w:rsidRDefault="00600B7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7FB01EB2"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Após um hiato de 84 anos desde a edição do Decreto-Lei nº 9.215, pelo então presidente Eurico Gaspar Dutra, que proibiu os jogos de azar em território nacional, há uma tentativa legislativa </w:t>
      </w:r>
      <w:r>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ara disciplinar </w:t>
      </w:r>
      <w:r>
        <w:rPr>
          <w:rFonts w:ascii="Times New Roman" w:eastAsia="Times New Roman" w:hAnsi="Times New Roman" w:cs="Times New Roman"/>
          <w:color w:val="000000"/>
          <w:sz w:val="24"/>
          <w:szCs w:val="24"/>
        </w:rPr>
        <w:t xml:space="preserve">um problema que, por décadas, se mostrou resistente à repressão estatal. </w:t>
      </w:r>
    </w:p>
    <w:p w14:paraId="2296883B"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As plataformas de apostas esportivas, que </w:t>
      </w:r>
      <w:r>
        <w:rPr>
          <w:rFonts w:ascii="Times New Roman" w:eastAsia="Times New Roman" w:hAnsi="Times New Roman" w:cs="Times New Roman"/>
          <w:sz w:val="24"/>
          <w:szCs w:val="24"/>
        </w:rPr>
        <w:t>operam</w:t>
      </w:r>
      <w:r>
        <w:rPr>
          <w:rFonts w:ascii="Times New Roman" w:eastAsia="Times New Roman" w:hAnsi="Times New Roman" w:cs="Times New Roman"/>
          <w:color w:val="000000"/>
          <w:sz w:val="24"/>
          <w:szCs w:val="24"/>
        </w:rPr>
        <w:t xml:space="preserve"> a partir do exterior e são amparadas por brechas legislativas, continua</w:t>
      </w:r>
      <w:r>
        <w:rPr>
          <w:rFonts w:ascii="Times New Roman" w:eastAsia="Times New Roman" w:hAnsi="Times New Roman" w:cs="Times New Roman"/>
          <w:sz w:val="24"/>
          <w:szCs w:val="24"/>
        </w:rPr>
        <w:t>m</w:t>
      </w:r>
      <w:r>
        <w:rPr>
          <w:rFonts w:ascii="Times New Roman" w:eastAsia="Times New Roman" w:hAnsi="Times New Roman" w:cs="Times New Roman"/>
          <w:color w:val="000000"/>
          <w:sz w:val="24"/>
          <w:szCs w:val="24"/>
        </w:rPr>
        <w:t xml:space="preserve"> a explorar livremente o mercado brasileiro, demonstrando que a mera proibição </w:t>
      </w:r>
      <w:r>
        <w:rPr>
          <w:rFonts w:ascii="Times New Roman" w:eastAsia="Times New Roman" w:hAnsi="Times New Roman" w:cs="Times New Roman"/>
          <w:sz w:val="24"/>
          <w:szCs w:val="24"/>
        </w:rPr>
        <w:t>é</w:t>
      </w:r>
      <w:r>
        <w:rPr>
          <w:rFonts w:ascii="Times New Roman" w:eastAsia="Times New Roman" w:hAnsi="Times New Roman" w:cs="Times New Roman"/>
          <w:color w:val="000000"/>
          <w:sz w:val="24"/>
          <w:szCs w:val="24"/>
        </w:rPr>
        <w:t xml:space="preserve"> ineficaz frente à globalização digital e à alta demanda interna. </w:t>
      </w:r>
    </w:p>
    <w:p w14:paraId="03F4F2C3"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color w:val="0D0D0D"/>
          <w:sz w:val="24"/>
          <w:szCs w:val="24"/>
        </w:rPr>
      </w:pPr>
      <w:r>
        <w:rPr>
          <w:rFonts w:ascii="Times New Roman" w:eastAsia="Times New Roman" w:hAnsi="Times New Roman" w:cs="Times New Roman"/>
          <w:sz w:val="24"/>
          <w:szCs w:val="24"/>
        </w:rPr>
        <w:t>A regulamentação das casas de aposta</w:t>
      </w:r>
      <w:r>
        <w:rPr>
          <w:rFonts w:ascii="Times New Roman" w:eastAsia="Times New Roman" w:hAnsi="Times New Roman" w:cs="Times New Roman"/>
          <w:sz w:val="24"/>
          <w:szCs w:val="24"/>
        </w:rPr>
        <w:t>s no Brasil foi estabelecida oficialmente a partir da sanção da Lei nº 14.790, em 29 de dezembro de 2023,</w:t>
      </w:r>
      <w:r>
        <w:rPr>
          <w:rFonts w:ascii="Times New Roman" w:eastAsia="Times New Roman" w:hAnsi="Times New Roman" w:cs="Times New Roman"/>
          <w:color w:val="00B050"/>
          <w:sz w:val="24"/>
          <w:szCs w:val="24"/>
        </w:rPr>
        <w:t xml:space="preserve"> </w:t>
      </w:r>
      <w:r>
        <w:rPr>
          <w:rFonts w:ascii="Times New Roman" w:eastAsia="Times New Roman" w:hAnsi="Times New Roman" w:cs="Times New Roman"/>
          <w:color w:val="0D0D0D"/>
          <w:sz w:val="24"/>
          <w:szCs w:val="24"/>
        </w:rPr>
        <w:t>que criou um marco regulatório para a exploração das apostas de quota fixa, tanto em ambientes físicos quanto digitais, incluindo os cassinos virtuais</w:t>
      </w:r>
      <w:r>
        <w:rPr>
          <w:rFonts w:ascii="Times New Roman" w:eastAsia="Times New Roman" w:hAnsi="Times New Roman" w:cs="Times New Roman"/>
          <w:color w:val="0D0D0D"/>
          <w:sz w:val="24"/>
          <w:szCs w:val="24"/>
        </w:rPr>
        <w:t xml:space="preserve">. </w:t>
      </w:r>
    </w:p>
    <w:p w14:paraId="6711E693"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Dentro do contexto jurídico, é essencial compreender a natureza dos contratos firmados pelas apostas esportivas, entre as plataformas </w:t>
      </w:r>
      <w:r>
        <w:rPr>
          <w:rFonts w:ascii="Times New Roman" w:eastAsia="Times New Roman" w:hAnsi="Times New Roman" w:cs="Times New Roman"/>
          <w:sz w:val="24"/>
          <w:szCs w:val="24"/>
        </w:rPr>
        <w:t>e os apostadores</w:t>
      </w:r>
      <w:r>
        <w:rPr>
          <w:rFonts w:ascii="Times New Roman" w:eastAsia="Times New Roman" w:hAnsi="Times New Roman" w:cs="Times New Roman"/>
          <w:color w:val="000000"/>
          <w:sz w:val="24"/>
          <w:szCs w:val="24"/>
        </w:rPr>
        <w:t>. Tais contratos se caracterizam por envolver um elevado grau de incerteza quanto ao resultado da obrig</w:t>
      </w:r>
      <w:r>
        <w:rPr>
          <w:rFonts w:ascii="Times New Roman" w:eastAsia="Times New Roman" w:hAnsi="Times New Roman" w:cs="Times New Roman"/>
          <w:color w:val="000000"/>
          <w:sz w:val="24"/>
          <w:szCs w:val="24"/>
        </w:rPr>
        <w:t>ação, o que os insere na categoria dos contratos aleatórios, conforme conceitua Flávio Tartuce: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Contrato aleatório é aquele em que ao menos uma das partes não pode estimar, no momento da celebração do contrato, se a prestação que se obriga a cumprir tem v</w:t>
      </w:r>
      <w:r>
        <w:rPr>
          <w:rFonts w:ascii="Times New Roman" w:eastAsia="Times New Roman" w:hAnsi="Times New Roman" w:cs="Times New Roman"/>
          <w:color w:val="000000"/>
          <w:sz w:val="24"/>
          <w:szCs w:val="24"/>
        </w:rPr>
        <w:t>alor correspondente à prestação assumida pela outra parte.</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(2023, p. 268).</w:t>
      </w:r>
    </w:p>
    <w:p w14:paraId="34C77709"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Neste ínterim, o artigo 2º, inciso I, da Lei nº 14.790/2023 define a aposta como o valor colocado em risco com a expectativa de obtenção de um prêmio. Tal </w:t>
      </w:r>
      <w:r>
        <w:rPr>
          <w:rFonts w:ascii="Times New Roman" w:eastAsia="Times New Roman" w:hAnsi="Times New Roman" w:cs="Times New Roman"/>
          <w:sz w:val="24"/>
          <w:szCs w:val="24"/>
        </w:rPr>
        <w:t>conceituação</w:t>
      </w:r>
      <w:r>
        <w:rPr>
          <w:rFonts w:ascii="Times New Roman" w:eastAsia="Times New Roman" w:hAnsi="Times New Roman" w:cs="Times New Roman"/>
          <w:color w:val="000000"/>
          <w:sz w:val="24"/>
          <w:szCs w:val="24"/>
        </w:rPr>
        <w:t xml:space="preserve"> envolve uma </w:t>
      </w:r>
      <w:r>
        <w:rPr>
          <w:rFonts w:ascii="Times New Roman" w:eastAsia="Times New Roman" w:hAnsi="Times New Roman" w:cs="Times New Roman"/>
          <w:color w:val="000000"/>
          <w:sz w:val="24"/>
          <w:szCs w:val="24"/>
        </w:rPr>
        <w:t xml:space="preserve">análise de probabilidade baseada no histórico e no desempenho do atleta, </w:t>
      </w:r>
      <w:r>
        <w:rPr>
          <w:rFonts w:ascii="Times New Roman" w:eastAsia="Times New Roman" w:hAnsi="Times New Roman" w:cs="Times New Roman"/>
          <w:sz w:val="24"/>
          <w:szCs w:val="24"/>
        </w:rPr>
        <w:t>sendo este, nos termos do inciso VI do mesmo artigo, a pessoa física que, mediante remuneração pactuada em contrato ou outro vínculo formal, pratica modalidades esportivas regulamenta</w:t>
      </w:r>
      <w:r>
        <w:rPr>
          <w:rFonts w:ascii="Times New Roman" w:eastAsia="Times New Roman" w:hAnsi="Times New Roman" w:cs="Times New Roman"/>
          <w:sz w:val="24"/>
          <w:szCs w:val="24"/>
        </w:rPr>
        <w:t xml:space="preserve">das por entidade de administração do desporto. Assim, a figura do </w:t>
      </w:r>
      <w:r>
        <w:rPr>
          <w:rFonts w:ascii="Times New Roman" w:eastAsia="Times New Roman" w:hAnsi="Times New Roman" w:cs="Times New Roman"/>
          <w:sz w:val="24"/>
          <w:szCs w:val="24"/>
        </w:rPr>
        <w:lastRenderedPageBreak/>
        <w:t xml:space="preserve">atleta é essencial, pois sua performance impacta diretamente nas chances de sucesso da aposta, </w:t>
      </w:r>
      <w:r>
        <w:rPr>
          <w:rFonts w:ascii="Times New Roman" w:eastAsia="Times New Roman" w:hAnsi="Times New Roman" w:cs="Times New Roman"/>
          <w:color w:val="000000"/>
          <w:sz w:val="24"/>
          <w:szCs w:val="24"/>
        </w:rPr>
        <w:t xml:space="preserve">diretamente ligada à expectativa de ganho. </w:t>
      </w:r>
    </w:p>
    <w:p w14:paraId="632E61BE"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Diferentemente dos jogos de azar comuns, a aposta d</w:t>
      </w:r>
      <w:r>
        <w:rPr>
          <w:rFonts w:ascii="Times New Roman" w:eastAsia="Times New Roman" w:hAnsi="Times New Roman" w:cs="Times New Roman"/>
          <w:color w:val="000000"/>
          <w:sz w:val="24"/>
          <w:szCs w:val="24"/>
        </w:rPr>
        <w:t xml:space="preserve">e quota fixa possui um fator previamente estabelecido, que permite ao apostador conhecer, no momento da realização da aposta, o valor exato que poderá receber em caso de êxito.  </w:t>
      </w:r>
    </w:p>
    <w:p w14:paraId="0568AF30"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sz w:val="24"/>
          <w:szCs w:val="24"/>
        </w:rPr>
        <w:t>Nessa conjuntura, por se tratar de uma relação contratual, mister salientar a</w:t>
      </w:r>
      <w:r>
        <w:rPr>
          <w:rFonts w:ascii="Times New Roman" w:eastAsia="Times New Roman" w:hAnsi="Times New Roman" w:cs="Times New Roman"/>
          <w:sz w:val="24"/>
          <w:szCs w:val="24"/>
        </w:rPr>
        <w:t xml:space="preserve"> importância do Princípio da Boa-fé Objetiva, previsto no artigo 422 do Código Civil (CC), o qual orienta a formação, a execução e a conclusão dos contratos, impondo às partes condutas pautadas pela lealdade, cooperação e respeito às legítimas expectativas</w:t>
      </w:r>
      <w:r>
        <w:rPr>
          <w:rFonts w:ascii="Times New Roman" w:eastAsia="Times New Roman" w:hAnsi="Times New Roman" w:cs="Times New Roman"/>
          <w:sz w:val="24"/>
          <w:szCs w:val="24"/>
        </w:rPr>
        <w:t xml:space="preserve"> recíprocas. Conforme ensina Clóvis do Couto e Silva: “(...) a boa-fé objetiva consiste num modelo de conduta socialmente esperado e juridicamente exigível, transcendendo o subjetivismo das intenções para impor comportamentos concretos no tráfico jurídico”</w:t>
      </w:r>
      <w:r>
        <w:rPr>
          <w:rFonts w:ascii="Times New Roman" w:eastAsia="Times New Roman" w:hAnsi="Times New Roman" w:cs="Times New Roman"/>
          <w:sz w:val="24"/>
          <w:szCs w:val="24"/>
        </w:rPr>
        <w:t xml:space="preserve"> (1976, p. 153).</w:t>
      </w:r>
    </w:p>
    <w:p w14:paraId="1C156CE7"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contexto das apostas de quota fixa e dos jogos de azar regulamentados pela Lei nº 14.790/2023, a aplicação da boa-fé revela-se ainda mais essencial, tendo em vista o grau de vulnerabilidade dos apostadores frente aos operadores. Nesse s</w:t>
      </w:r>
      <w:r>
        <w:rPr>
          <w:rFonts w:ascii="Times New Roman" w:eastAsia="Times New Roman" w:hAnsi="Times New Roman" w:cs="Times New Roman"/>
          <w:sz w:val="24"/>
          <w:szCs w:val="24"/>
        </w:rPr>
        <w:t>entido, Judith Martins-Costa esclarece que: "a boa-fé objetiva é princípio-fonte de deveres anexos, como os de informação, proteção e lealdade, que vinculam as partes antes, durante e após a relação obrigacional" (2024, p. 79).</w:t>
      </w:r>
    </w:p>
    <w:p w14:paraId="7CFF90B0"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Tal perspectiva é particular</w:t>
      </w:r>
      <w:r>
        <w:rPr>
          <w:rFonts w:ascii="Times New Roman" w:eastAsia="Times New Roman" w:hAnsi="Times New Roman" w:cs="Times New Roman"/>
          <w:sz w:val="24"/>
          <w:szCs w:val="24"/>
        </w:rPr>
        <w:t>mente relevante nessa atividade, em que o desrespeito aos deveres laterais pode acarretar o desequilíbrio contratual, a nulidade do ajuste ou a responsabilidade civil do operador. Assim, a boa-fé objetiva configura-se como elemento estruturante para assegu</w:t>
      </w:r>
      <w:r>
        <w:rPr>
          <w:rFonts w:ascii="Times New Roman" w:eastAsia="Times New Roman" w:hAnsi="Times New Roman" w:cs="Times New Roman"/>
          <w:sz w:val="24"/>
          <w:szCs w:val="24"/>
        </w:rPr>
        <w:t>rar a integridade, a lisura e a função social dos contratos envolvendo jogos de azar, constituindo verdadeira cláusula de proteção da confiança legítima dos participantes.</w:t>
      </w:r>
    </w:p>
    <w:p w14:paraId="735EA7AC"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Entre os principais sujeitos envolvidos nessa relação contratual, que devem observar</w:t>
      </w:r>
      <w:r>
        <w:rPr>
          <w:rFonts w:ascii="Times New Roman" w:eastAsia="Times New Roman" w:hAnsi="Times New Roman" w:cs="Times New Roman"/>
          <w:sz w:val="24"/>
          <w:szCs w:val="24"/>
        </w:rPr>
        <w:t xml:space="preserve"> o condão principiológico anteriormente mencionado, destacam-se o apostador, a casa de apostas (operadora) e o próprio Estado, na condição de ente regulador.</w:t>
      </w:r>
    </w:p>
    <w:p w14:paraId="11535584"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color w:val="000000"/>
          <w:sz w:val="24"/>
          <w:szCs w:val="24"/>
        </w:rPr>
        <w:t>onforme artigo 2º da lei em estudo, o apostador é conceituado como a pessoa natural, capaz, que r</w:t>
      </w:r>
      <w:r>
        <w:rPr>
          <w:rFonts w:ascii="Times New Roman" w:eastAsia="Times New Roman" w:hAnsi="Times New Roman" w:cs="Times New Roman"/>
          <w:color w:val="000000"/>
          <w:sz w:val="24"/>
          <w:szCs w:val="24"/>
        </w:rPr>
        <w:t>ealiza a aposta ao escolher um time ou atleta e destinar determinado valor conforme a probabilidade envolvida, tornando-se, posteriormente, sujeito passivo da obrigação tributária.</w:t>
      </w:r>
    </w:p>
    <w:p w14:paraId="45046F50"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Já as casas de apostas, disposto no artigo supramencionado, correspondem ao</w:t>
      </w:r>
      <w:r>
        <w:rPr>
          <w:rFonts w:ascii="Times New Roman" w:eastAsia="Times New Roman" w:hAnsi="Times New Roman" w:cs="Times New Roman"/>
          <w:color w:val="000000"/>
          <w:sz w:val="24"/>
          <w:szCs w:val="24"/>
        </w:rPr>
        <w:t xml:space="preserve"> operador da aposta de quota fixa, definido como a pessoa jurídica autorizada pela União a explorar comercialmente essa modalidade lotérica. Cabe a esse operador estruturar, administrar e disponibilizar as apostas aos usuários, observando as exigências leg</w:t>
      </w:r>
      <w:r>
        <w:rPr>
          <w:rFonts w:ascii="Times New Roman" w:eastAsia="Times New Roman" w:hAnsi="Times New Roman" w:cs="Times New Roman"/>
          <w:color w:val="000000"/>
          <w:sz w:val="24"/>
          <w:szCs w:val="24"/>
        </w:rPr>
        <w:t>ais quanto à segurança das operações, integridade das informações e cumprimento das obrigações fiscais e regulatórias. </w:t>
      </w:r>
    </w:p>
    <w:p w14:paraId="562F190B"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nova legislação estabelece, de forma expressa, que compete ao Ministério da Fazenda, no exercício de suas atribuições, exigir que o op</w:t>
      </w:r>
      <w:r>
        <w:rPr>
          <w:rFonts w:ascii="Times New Roman" w:eastAsia="Times New Roman" w:hAnsi="Times New Roman" w:cs="Times New Roman"/>
          <w:color w:val="000000"/>
          <w:sz w:val="24"/>
          <w:szCs w:val="24"/>
        </w:rPr>
        <w:t>erador, ou seja, a casa de apostas, implemente um procedimento rigoroso e um sistema eficaz de coleta de dados, de modo a viabilizar o monitoramento integral das atividades do apostador, desde a abertura da conta até a efetiva transferência dos valores des</w:t>
      </w:r>
      <w:r>
        <w:rPr>
          <w:rFonts w:ascii="Times New Roman" w:eastAsia="Times New Roman" w:hAnsi="Times New Roman" w:cs="Times New Roman"/>
          <w:color w:val="000000"/>
          <w:sz w:val="24"/>
          <w:szCs w:val="24"/>
        </w:rPr>
        <w:t>tinados às apostas, nos termos do artigo 24 da Lei nº 14.790/2023.</w:t>
      </w:r>
    </w:p>
    <w:p w14:paraId="67E091B0"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Essa exigência tem por finalidade permitir que o Ministério da Fazenda acompanhe as transações por meio de sistemas passíveis de auditoria. Uma vez criada a conta, o usuário tem à sua dispo</w:t>
      </w:r>
      <w:r>
        <w:rPr>
          <w:rFonts w:ascii="Times New Roman" w:eastAsia="Times New Roman" w:hAnsi="Times New Roman" w:cs="Times New Roman"/>
          <w:sz w:val="24"/>
          <w:szCs w:val="24"/>
        </w:rPr>
        <w:t>sição diferentes meios para realizar o depósito dos valores, como o cartão de débito, a transferência bancária ou o PIX — sistema eletrônico de pagamentos instantâneos criado pelo Banco Central do Brasil, que permite a movimentação de recursos em tempo rea</w:t>
      </w:r>
      <w:r>
        <w:rPr>
          <w:rFonts w:ascii="Times New Roman" w:eastAsia="Times New Roman" w:hAnsi="Times New Roman" w:cs="Times New Roman"/>
          <w:sz w:val="24"/>
          <w:szCs w:val="24"/>
        </w:rPr>
        <w:t>l.</w:t>
      </w:r>
    </w:p>
    <w:p w14:paraId="2D41ECD9"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 operar legalmente no Brasil, as casas de apostas devem estar em conformidade com o artigo 7º da lei em questão, que condiciona a atividade à autorização prévia do Ministério da Fazenda. Esse dispositivo estabelece a obrigatoriedade de registro form</w:t>
      </w:r>
      <w:r>
        <w:rPr>
          <w:rFonts w:ascii="Times New Roman" w:eastAsia="Times New Roman" w:hAnsi="Times New Roman" w:cs="Times New Roman"/>
          <w:color w:val="000000"/>
          <w:sz w:val="24"/>
          <w:szCs w:val="24"/>
        </w:rPr>
        <w:t>al dessas empresas, mediante o cumprimento de requisitos definidos em regulamento específico. </w:t>
      </w:r>
    </w:p>
    <w:p w14:paraId="5528077D"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 base nisso, a Secretaria de Prêmios e Apostas do Ministério da Fazenda (SPA/MF) publicou a Portaria nº 827/2024, que dispõe sobre as regras para a regularização das pessoas jurídicas atuantes nos segmentos de apostas esportivas e jogos </w:t>
      </w:r>
      <w:r>
        <w:rPr>
          <w:rFonts w:ascii="Times New Roman" w:eastAsia="Times New Roman" w:hAnsi="Times New Roman" w:cs="Times New Roman"/>
          <w:i/>
          <w:color w:val="000000"/>
          <w:sz w:val="24"/>
          <w:szCs w:val="24"/>
        </w:rPr>
        <w:t>online</w:t>
      </w:r>
      <w:r>
        <w:rPr>
          <w:rFonts w:ascii="Times New Roman" w:eastAsia="Times New Roman" w:hAnsi="Times New Roman" w:cs="Times New Roman"/>
          <w:color w:val="000000"/>
          <w:sz w:val="24"/>
          <w:szCs w:val="24"/>
        </w:rPr>
        <w:t>. Para obt</w:t>
      </w:r>
      <w:r>
        <w:rPr>
          <w:rFonts w:ascii="Times New Roman" w:eastAsia="Times New Roman" w:hAnsi="Times New Roman" w:cs="Times New Roman"/>
          <w:color w:val="000000"/>
          <w:sz w:val="24"/>
          <w:szCs w:val="24"/>
        </w:rPr>
        <w:t>er a autorização, as empresas devem atender a critérios como habilitação jurídica, regularidade fiscal e trabalhista, idoneidade, qualificação econômico-financeira e técnica, além de manter sede e canal de atendimento no Brasil. Também são exigidas polític</w:t>
      </w:r>
      <w:r>
        <w:rPr>
          <w:rFonts w:ascii="Times New Roman" w:eastAsia="Times New Roman" w:hAnsi="Times New Roman" w:cs="Times New Roman"/>
          <w:color w:val="000000"/>
          <w:sz w:val="24"/>
          <w:szCs w:val="24"/>
        </w:rPr>
        <w:t>as de governança, prevenção à lavagem de dinheiro, jogo responsável, integridade das apostas e publicidade ética. </w:t>
      </w:r>
    </w:p>
    <w:p w14:paraId="7BB42B43"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Cumpridas todas as exigências previstas na Lei nº 14.790/2023, em especial no seu artigo 35, e mediante o pagamento de R$ 30 milhões, a autor</w:t>
      </w:r>
      <w:r>
        <w:rPr>
          <w:rFonts w:ascii="Times New Roman" w:eastAsia="Times New Roman" w:hAnsi="Times New Roman" w:cs="Times New Roman"/>
          <w:sz w:val="24"/>
          <w:szCs w:val="24"/>
        </w:rPr>
        <w:t xml:space="preserve">ização para exploração </w:t>
      </w:r>
      <w:r>
        <w:rPr>
          <w:rFonts w:ascii="Times New Roman" w:eastAsia="Times New Roman" w:hAnsi="Times New Roman" w:cs="Times New Roman"/>
          <w:sz w:val="24"/>
          <w:szCs w:val="24"/>
        </w:rPr>
        <w:lastRenderedPageBreak/>
        <w:t>de apostas de quota fixa será válida por 05 (cinco) anos, permitindo a utilização de até três marcas comerciais sob o mesmo título autorizativo. As empresas já em operação no país tiveram até o final de 2024 para se regularizar, conf</w:t>
      </w:r>
      <w:r>
        <w:rPr>
          <w:rFonts w:ascii="Times New Roman" w:eastAsia="Times New Roman" w:hAnsi="Times New Roman" w:cs="Times New Roman"/>
          <w:sz w:val="24"/>
          <w:szCs w:val="24"/>
        </w:rPr>
        <w:t>orme o cronograma estabelecido, estando sujeitas, a partir de 1º de janeiro de 2025, às sanções previstas no artigo 36 da referida lei, que incluem multa, proibição de operação, inclusão em cadastro restritivo mantido pelo Ministério da Fazenda, além de ou</w:t>
      </w:r>
      <w:r>
        <w:rPr>
          <w:rFonts w:ascii="Times New Roman" w:eastAsia="Times New Roman" w:hAnsi="Times New Roman" w:cs="Times New Roman"/>
          <w:sz w:val="24"/>
          <w:szCs w:val="24"/>
        </w:rPr>
        <w:t>tras medidas administrativas e criminais cabíveis em caso de descumprimento das normas regulamentares.</w:t>
      </w:r>
    </w:p>
    <w:p w14:paraId="49EC95E9"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promulgação da Lei nº 14.790/2023 representa uma mudança na tentativa de compatibilizar a realidade econômica e tecnológica com o ordenamento jurídico </w:t>
      </w:r>
      <w:r>
        <w:rPr>
          <w:rFonts w:ascii="Times New Roman" w:eastAsia="Times New Roman" w:hAnsi="Times New Roman" w:cs="Times New Roman"/>
          <w:color w:val="000000"/>
          <w:sz w:val="24"/>
          <w:szCs w:val="24"/>
        </w:rPr>
        <w:t>brasileiro. Ao reconhecer a ineficácia da mera repressão e adotar uma abordagem regulatória, o legislador busca conferir segurança jurídica às atividades de apostas de quota fixa, promovendo um ambiente mais transparente, controlado e sujeito à fiscalizaçã</w:t>
      </w:r>
      <w:r>
        <w:rPr>
          <w:rFonts w:ascii="Times New Roman" w:eastAsia="Times New Roman" w:hAnsi="Times New Roman" w:cs="Times New Roman"/>
          <w:color w:val="000000"/>
          <w:sz w:val="24"/>
          <w:szCs w:val="24"/>
        </w:rPr>
        <w:t>o estatal. </w:t>
      </w:r>
    </w:p>
    <w:p w14:paraId="143FED21"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 inclusão de exigências robustas quanto à estruturação das casas de apostas e ao monitoramento dos usuários sinaliza um esforço do Estado em equilibrar a liberdade econômica com a proteção do consumidor e a prevenção de ilícitos, como a lavage</w:t>
      </w:r>
      <w:r>
        <w:rPr>
          <w:rFonts w:ascii="Times New Roman" w:eastAsia="Times New Roman" w:hAnsi="Times New Roman" w:cs="Times New Roman"/>
          <w:color w:val="000000"/>
          <w:sz w:val="24"/>
          <w:szCs w:val="24"/>
        </w:rPr>
        <w:t>m de dinheiro e a evasão fiscal.</w:t>
      </w:r>
    </w:p>
    <w:p w14:paraId="7378CA86" w14:textId="77777777" w:rsidR="00600B74" w:rsidRDefault="000B3CC5">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regulamentação dos jogos de apostas de quota fixa oferece uma estrutura legal que pode, a longo prazo, impulsionar a economia do país, atrair investimentos e criar um mercado mais seguro e transparente para os consumidore</w:t>
      </w:r>
      <w:r>
        <w:rPr>
          <w:rFonts w:ascii="Times New Roman" w:eastAsia="Times New Roman" w:hAnsi="Times New Roman" w:cs="Times New Roman"/>
          <w:sz w:val="24"/>
          <w:szCs w:val="24"/>
        </w:rPr>
        <w:t>s. No entanto, a efetividade da lei dependerá da implementação de um sistema de fiscalização robusto e da criação de um ambiente regulatório que leve em consideração as especificidades do setor e as melhores práticas internacionais.</w:t>
      </w:r>
    </w:p>
    <w:p w14:paraId="7BFE7814" w14:textId="77777777" w:rsidR="00600B74" w:rsidRDefault="000B3CC5">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Entretanto, persistem d</w:t>
      </w:r>
      <w:r>
        <w:rPr>
          <w:rFonts w:ascii="Times New Roman" w:eastAsia="Times New Roman" w:hAnsi="Times New Roman" w:cs="Times New Roman"/>
          <w:sz w:val="24"/>
          <w:szCs w:val="24"/>
        </w:rPr>
        <w:t>esafios significativos, especialmente no tocante à tributação incidente sobre as casas de apostas. Embora o caráter extrafiscal dessa carga tributária seja juridicamente justificável como instrumento de desestímulo à prática excessiva dos jogos, sua aplica</w:t>
      </w:r>
      <w:r>
        <w:rPr>
          <w:rFonts w:ascii="Times New Roman" w:eastAsia="Times New Roman" w:hAnsi="Times New Roman" w:cs="Times New Roman"/>
          <w:sz w:val="24"/>
          <w:szCs w:val="24"/>
        </w:rPr>
        <w:t>ção em um contexto de fiscalização ainda incipiente e potenciais prejuízos financeiros aos consumidores pode desencorajar a entrada de novos investidores no mercado formal, contribuindo, assim, para a manutenção de atividades clandestinas e à margem da leg</w:t>
      </w:r>
      <w:r>
        <w:rPr>
          <w:rFonts w:ascii="Times New Roman" w:eastAsia="Times New Roman" w:hAnsi="Times New Roman" w:cs="Times New Roman"/>
          <w:sz w:val="24"/>
          <w:szCs w:val="24"/>
        </w:rPr>
        <w:t>alidade.</w:t>
      </w:r>
    </w:p>
    <w:p w14:paraId="6C518BC7" w14:textId="77777777" w:rsidR="00600B74" w:rsidRDefault="000B3CC5">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disso, a harmonização da legislação com as normas internacionais e a proteção do consumidor vulnerável continuam sendo aspectos cruciais a serem trabalhados. Assim, a análise contínua e a adaptação da legislação serão fundamentais </w:t>
      </w:r>
      <w:r>
        <w:rPr>
          <w:rFonts w:ascii="Times New Roman" w:eastAsia="Times New Roman" w:hAnsi="Times New Roman" w:cs="Times New Roman"/>
          <w:sz w:val="24"/>
          <w:szCs w:val="24"/>
        </w:rPr>
        <w:lastRenderedPageBreak/>
        <w:t>para garant</w:t>
      </w:r>
      <w:r>
        <w:rPr>
          <w:rFonts w:ascii="Times New Roman" w:eastAsia="Times New Roman" w:hAnsi="Times New Roman" w:cs="Times New Roman"/>
          <w:sz w:val="24"/>
          <w:szCs w:val="24"/>
        </w:rPr>
        <w:t xml:space="preserve">ir que o novo regime regulatório atenda às necessidades econômicas, sociais e jurídicas do Brasil, sem comprometer a competitividade do mercado e a proteção dos cidadãos. </w:t>
      </w:r>
    </w:p>
    <w:p w14:paraId="0F6C3C85" w14:textId="77777777" w:rsidR="00600B74" w:rsidRDefault="00600B74">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14:paraId="465A6B18" w14:textId="77777777" w:rsidR="00600B74" w:rsidRDefault="000B3CC5">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 A TRIBUTAÇÃO DAS CASAS DE APOSTA E A EXTRAFISCALIDADE</w:t>
      </w:r>
    </w:p>
    <w:p w14:paraId="15CB5B14" w14:textId="77777777" w:rsidR="00600B74" w:rsidRDefault="00600B74">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p>
    <w:p w14:paraId="3571BC33"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regulamentação das apos</w:t>
      </w:r>
      <w:r>
        <w:rPr>
          <w:rFonts w:ascii="Times New Roman" w:eastAsia="Times New Roman" w:hAnsi="Times New Roman" w:cs="Times New Roman"/>
          <w:color w:val="000000"/>
          <w:sz w:val="24"/>
          <w:szCs w:val="24"/>
        </w:rPr>
        <w:t xml:space="preserve">tas de quota fixa no Brasil, por meio da Lei nº 14.790/2023, trouxe não apenas segurança jurídica e diretrizes operacionais ao setor, mas também inaugurou um novo regime tributário aplicável às atividades exploradas por casas de apostas e apostadores. </w:t>
      </w:r>
    </w:p>
    <w:p w14:paraId="674DB143"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t</w:t>
      </w:r>
      <w:r>
        <w:rPr>
          <w:rFonts w:ascii="Times New Roman" w:eastAsia="Times New Roman" w:hAnsi="Times New Roman" w:cs="Times New Roman"/>
          <w:color w:val="000000"/>
          <w:sz w:val="24"/>
          <w:szCs w:val="24"/>
        </w:rPr>
        <w:t>ributação dessas operações revela um evidente viés extrafiscal, ao buscar não apenas a arrecadação de receitas para o Estado, mas também a indução de comportamentos, o controle da atividade econômica e a prevenção de práticas ilícitas. Assim, a análise dos</w:t>
      </w:r>
      <w:r>
        <w:rPr>
          <w:rFonts w:ascii="Times New Roman" w:eastAsia="Times New Roman" w:hAnsi="Times New Roman" w:cs="Times New Roman"/>
          <w:color w:val="000000"/>
          <w:sz w:val="24"/>
          <w:szCs w:val="24"/>
        </w:rPr>
        <w:t xml:space="preserve"> dispositivos tributários da nova legislação exige uma abordagem que v</w:t>
      </w:r>
      <w:r>
        <w:rPr>
          <w:rFonts w:ascii="Times New Roman" w:eastAsia="Times New Roman" w:hAnsi="Times New Roman" w:cs="Times New Roman"/>
          <w:sz w:val="24"/>
          <w:szCs w:val="24"/>
        </w:rPr>
        <w:t>ai</w:t>
      </w:r>
      <w:r>
        <w:rPr>
          <w:rFonts w:ascii="Times New Roman" w:eastAsia="Times New Roman" w:hAnsi="Times New Roman" w:cs="Times New Roman"/>
          <w:color w:val="000000"/>
          <w:sz w:val="24"/>
          <w:szCs w:val="24"/>
        </w:rPr>
        <w:t xml:space="preserve"> além dos aspectos meramente arrecadatórios.</w:t>
      </w:r>
    </w:p>
    <w:p w14:paraId="2A965525"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Torna-se ainda mais evidente a necessidade de ampliar a base arrecadatória do Estado. Segundo alerta do Tribunal de Contas da União (TCU), </w:t>
      </w:r>
      <w:r>
        <w:rPr>
          <w:rFonts w:ascii="Times New Roman" w:eastAsia="Times New Roman" w:hAnsi="Times New Roman" w:cs="Times New Roman"/>
          <w:sz w:val="24"/>
          <w:szCs w:val="24"/>
        </w:rPr>
        <w:t xml:space="preserve">as despesas obrigatórias da União estão crescendo em ritmo acelerado, podendo comprometer a capacidade de funcionamento da máquina pública até 2028, caso não haja aumento nas receitas ou revisão dos gastos (G1, 2024). </w:t>
      </w:r>
    </w:p>
    <w:p w14:paraId="644D454E"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Diante desse cenário fiscal desafiado</w:t>
      </w:r>
      <w:r>
        <w:rPr>
          <w:rFonts w:ascii="Times New Roman" w:eastAsia="Times New Roman" w:hAnsi="Times New Roman" w:cs="Times New Roman"/>
          <w:sz w:val="24"/>
          <w:szCs w:val="24"/>
        </w:rPr>
        <w:t>r, a regulamentação e tributação das apostas de quota fixa surge como uma alternativa viável para ampliar a arrecadação sem onerar diretamente a população em geral, sobretudo se levar em consideração o alto índice de faturamento esperado por esse tipo de a</w:t>
      </w:r>
      <w:r>
        <w:rPr>
          <w:rFonts w:ascii="Times New Roman" w:eastAsia="Times New Roman" w:hAnsi="Times New Roman" w:cs="Times New Roman"/>
          <w:sz w:val="24"/>
          <w:szCs w:val="24"/>
        </w:rPr>
        <w:t xml:space="preserve">tividade. </w:t>
      </w:r>
    </w:p>
    <w:p w14:paraId="0368AB83"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Sob esta perspectiva</w:t>
      </w:r>
      <w:r>
        <w:rPr>
          <w:rFonts w:ascii="Times New Roman" w:eastAsia="Times New Roman" w:hAnsi="Times New Roman" w:cs="Times New Roman"/>
          <w:color w:val="000000"/>
          <w:sz w:val="24"/>
          <w:szCs w:val="24"/>
        </w:rPr>
        <w:t>, é fundamental compreender a estrutura tributária desenhada pela norma, que contempla a incidência de diferentes tributos sobre a receita das operadoras, os prêmios recebidos pelos apostadores e os contratos celebrados. Além</w:t>
      </w:r>
      <w:r>
        <w:rPr>
          <w:rFonts w:ascii="Times New Roman" w:eastAsia="Times New Roman" w:hAnsi="Times New Roman" w:cs="Times New Roman"/>
          <w:color w:val="000000"/>
          <w:sz w:val="24"/>
          <w:szCs w:val="24"/>
        </w:rPr>
        <w:t xml:space="preserve"> disso, observa-se a utilização de instrumentos típicos da extrafiscalidade, como alíquotas diferenciadas, obrigações acessórias e mecanismos de fiscalização intensiva, com vistas à formalização do setor, ao combate à evasão fiscal e à proteção da ordem ec</w:t>
      </w:r>
      <w:r>
        <w:rPr>
          <w:rFonts w:ascii="Times New Roman" w:eastAsia="Times New Roman" w:hAnsi="Times New Roman" w:cs="Times New Roman"/>
          <w:color w:val="000000"/>
          <w:sz w:val="24"/>
          <w:szCs w:val="24"/>
        </w:rPr>
        <w:t>onômica. </w:t>
      </w:r>
    </w:p>
    <w:p w14:paraId="618882D3"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Nesse contexto, a aplicação da extrafiscalidade evidencia-se como ferramenta de regulação da atividade econômica, em consonância com a função intervencionista do Estado prevista na Constituição Federal. Conforme leciona Ricardo Lobo Torres, a </w:t>
      </w:r>
      <w:r>
        <w:rPr>
          <w:rFonts w:ascii="Times New Roman" w:eastAsia="Times New Roman" w:hAnsi="Times New Roman" w:cs="Times New Roman"/>
          <w:sz w:val="24"/>
          <w:szCs w:val="24"/>
        </w:rPr>
        <w:lastRenderedPageBreak/>
        <w:t>extrafiscalid</w:t>
      </w:r>
      <w:r>
        <w:rPr>
          <w:rFonts w:ascii="Times New Roman" w:eastAsia="Times New Roman" w:hAnsi="Times New Roman" w:cs="Times New Roman"/>
          <w:sz w:val="24"/>
          <w:szCs w:val="24"/>
        </w:rPr>
        <w:t>ade manifesta-se:</w:t>
      </w:r>
      <w:r>
        <w:rPr>
          <w:rFonts w:ascii="Times New Roman" w:eastAsia="Times New Roman" w:hAnsi="Times New Roman" w:cs="Times New Roman"/>
        </w:rPr>
        <w:t xml:space="preserve"> </w:t>
      </w:r>
      <w:r>
        <w:rPr>
          <w:rFonts w:ascii="Times New Roman" w:eastAsia="Times New Roman" w:hAnsi="Times New Roman" w:cs="Times New Roman"/>
          <w:sz w:val="24"/>
          <w:szCs w:val="24"/>
        </w:rPr>
        <w:t xml:space="preserve">"quando o tributo é utilizado como meio de intervenção no domínio econômico ou na ordem social, visando finalidades que transcendem a simples obtenção de receita" (2009, p. 274). </w:t>
      </w:r>
    </w:p>
    <w:p w14:paraId="4D0FC85F"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Assim, a tributação sobre as apostas não se limita a gerar</w:t>
      </w:r>
      <w:r>
        <w:rPr>
          <w:rFonts w:ascii="Times New Roman" w:eastAsia="Times New Roman" w:hAnsi="Times New Roman" w:cs="Times New Roman"/>
          <w:sz w:val="24"/>
          <w:szCs w:val="24"/>
        </w:rPr>
        <w:t xml:space="preserve"> receita, mas atua como mecanismo de controle, induzindo a conformidade dos agentes econômicos com padrões jurídicos, sociais e econômicos desejados pelo Estado, inclusive para assegurar a proteção ao consumidor e a higidez do mercado de apostas.</w:t>
      </w:r>
    </w:p>
    <w:p w14:paraId="7186B7AE"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que se</w:t>
      </w:r>
      <w:r>
        <w:rPr>
          <w:rFonts w:ascii="Times New Roman" w:eastAsia="Times New Roman" w:hAnsi="Times New Roman" w:cs="Times New Roman"/>
          <w:sz w:val="24"/>
          <w:szCs w:val="24"/>
        </w:rPr>
        <w:t xml:space="preserve"> refere às empresas operadoras, a Lei nº 14.790/2023 estabelece diretrizes objetivas quanto ao regime de recolhimento tributário. De acordo com o seu artigo 32, as operadoras de apostas poderão reter até 88% (oitenta e oito por cento) de sua receita bruta </w:t>
      </w:r>
      <w:r>
        <w:rPr>
          <w:rFonts w:ascii="Times New Roman" w:eastAsia="Times New Roman" w:hAnsi="Times New Roman" w:cs="Times New Roman"/>
          <w:sz w:val="24"/>
          <w:szCs w:val="24"/>
        </w:rPr>
        <w:t>de jogos (</w:t>
      </w:r>
      <w:r>
        <w:rPr>
          <w:rFonts w:ascii="Times New Roman" w:eastAsia="Times New Roman" w:hAnsi="Times New Roman" w:cs="Times New Roman"/>
          <w:i/>
          <w:sz w:val="24"/>
          <w:szCs w:val="24"/>
        </w:rPr>
        <w:t>Gross Gaming Revenue</w:t>
      </w:r>
      <w:r>
        <w:rPr>
          <w:rFonts w:ascii="Times New Roman" w:eastAsia="Times New Roman" w:hAnsi="Times New Roman" w:cs="Times New Roman"/>
          <w:sz w:val="24"/>
          <w:szCs w:val="24"/>
        </w:rPr>
        <w:t xml:space="preserve"> – GGR) para fins de custeio da atividade, compreendendo despesas operacionais, pagamento de prêmios e demais encargos inerentes à exploração do serviço. Os 12% (doze por cento) restantes deverão ser destinados ao Estado, sendo distribuídos entre áreas de </w:t>
      </w:r>
      <w:r>
        <w:rPr>
          <w:rFonts w:ascii="Times New Roman" w:eastAsia="Times New Roman" w:hAnsi="Times New Roman" w:cs="Times New Roman"/>
          <w:sz w:val="24"/>
          <w:szCs w:val="24"/>
        </w:rPr>
        <w:t>interesse público, como saúde, educação, segurança, turismo e esporte, conforme previsão do artigo 32, §1º da norma.</w:t>
      </w:r>
    </w:p>
    <w:p w14:paraId="58417FE0"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Ressalte-se, ainda, que, dentro desse percentual, 2% (dois por cento) serão obrigatoriamente destinados à Contribuição para a Seguridade So</w:t>
      </w:r>
      <w:r>
        <w:rPr>
          <w:rFonts w:ascii="Times New Roman" w:eastAsia="Times New Roman" w:hAnsi="Times New Roman" w:cs="Times New Roman"/>
          <w:sz w:val="24"/>
          <w:szCs w:val="24"/>
        </w:rPr>
        <w:t xml:space="preserve">cial (Cofins-Especial), conforme previsto no artigo 32, §2º, em consonância com o Princípio da Solidariedade que orienta o sistema constitucional de proteção social, disposto no artigo 194, </w:t>
      </w:r>
      <w:r>
        <w:rPr>
          <w:rFonts w:ascii="Times New Roman" w:eastAsia="Times New Roman" w:hAnsi="Times New Roman" w:cs="Times New Roman"/>
          <w:i/>
          <w:sz w:val="24"/>
          <w:szCs w:val="24"/>
        </w:rPr>
        <w:t>caput</w:t>
      </w:r>
      <w:r>
        <w:rPr>
          <w:rFonts w:ascii="Times New Roman" w:eastAsia="Times New Roman" w:hAnsi="Times New Roman" w:cs="Times New Roman"/>
          <w:sz w:val="24"/>
          <w:szCs w:val="24"/>
        </w:rPr>
        <w:t>, da Constituição Federal, o qual estabelece que a seguridade</w:t>
      </w:r>
      <w:r>
        <w:rPr>
          <w:rFonts w:ascii="Times New Roman" w:eastAsia="Times New Roman" w:hAnsi="Times New Roman" w:cs="Times New Roman"/>
          <w:sz w:val="24"/>
          <w:szCs w:val="24"/>
        </w:rPr>
        <w:t xml:space="preserve"> social será financiada por toda a sociedade, de forma direta e indireta, mediante recursos provenientes dos orçamentos da União, dos Estados, do Distrito Federal e dos Municípios, bem como de contribuições sociais.</w:t>
      </w:r>
    </w:p>
    <w:p w14:paraId="63D3A358"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Embora muitas operadoras estejam sediada</w:t>
      </w:r>
      <w:r>
        <w:rPr>
          <w:rFonts w:ascii="Times New Roman" w:eastAsia="Times New Roman" w:hAnsi="Times New Roman" w:cs="Times New Roman"/>
          <w:color w:val="000000"/>
          <w:sz w:val="24"/>
          <w:szCs w:val="24"/>
        </w:rPr>
        <w:t xml:space="preserve">s no exterior e se beneficiem de regimes fiscais mais favoráveis, a </w:t>
      </w:r>
      <w:r>
        <w:rPr>
          <w:rFonts w:ascii="Times New Roman" w:eastAsia="Times New Roman" w:hAnsi="Times New Roman" w:cs="Times New Roman"/>
          <w:sz w:val="24"/>
          <w:szCs w:val="24"/>
        </w:rPr>
        <w:t>Lei nº 14.790/2023</w:t>
      </w:r>
      <w:r>
        <w:rPr>
          <w:rFonts w:ascii="Times New Roman" w:eastAsia="Times New Roman" w:hAnsi="Times New Roman" w:cs="Times New Roman"/>
          <w:b/>
          <w:sz w:val="24"/>
          <w:szCs w:val="24"/>
        </w:rPr>
        <w:t xml:space="preserve"> </w:t>
      </w:r>
      <w:r>
        <w:rPr>
          <w:rFonts w:ascii="Times New Roman" w:eastAsia="Times New Roman" w:hAnsi="Times New Roman" w:cs="Times New Roman"/>
          <w:color w:val="000000"/>
          <w:sz w:val="24"/>
          <w:szCs w:val="24"/>
        </w:rPr>
        <w:t xml:space="preserve">exige que essas plataformas mantenham vínculo com empresas licenciadas e estabelecidas no território nacional. </w:t>
      </w:r>
      <w:r>
        <w:rPr>
          <w:rFonts w:ascii="Times New Roman" w:eastAsia="Times New Roman" w:hAnsi="Times New Roman" w:cs="Times New Roman"/>
          <w:sz w:val="24"/>
          <w:szCs w:val="24"/>
        </w:rPr>
        <w:t>Conforme previsto em seu artigo 31, é obrigatória a consti</w:t>
      </w:r>
      <w:r>
        <w:rPr>
          <w:rFonts w:ascii="Times New Roman" w:eastAsia="Times New Roman" w:hAnsi="Times New Roman" w:cs="Times New Roman"/>
          <w:sz w:val="24"/>
          <w:szCs w:val="24"/>
        </w:rPr>
        <w:t>tuição de pessoa jurídica sob as leis brasileiras, com sede e administração no país, como condição para a obtenção da autorização para exploração das apostas de quota fixa. Tal exigência visa garantir o cumprimento do regime tributário adequado, assegurand</w:t>
      </w:r>
      <w:r>
        <w:rPr>
          <w:rFonts w:ascii="Times New Roman" w:eastAsia="Times New Roman" w:hAnsi="Times New Roman" w:cs="Times New Roman"/>
          <w:sz w:val="24"/>
          <w:szCs w:val="24"/>
        </w:rPr>
        <w:t xml:space="preserve">o o recolhimento dos tributos devidos e a observância das normas fiscais e regulatórias brasileiras, em conformidade com os princípios constitucionais da soberania nacional e da capacidade contributiva. </w:t>
      </w:r>
    </w:p>
    <w:p w14:paraId="492E412F"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 regulamentação da repartição dos valores arrecadad</w:t>
      </w:r>
      <w:r>
        <w:rPr>
          <w:rFonts w:ascii="Times New Roman" w:eastAsia="Times New Roman" w:hAnsi="Times New Roman" w:cs="Times New Roman"/>
          <w:color w:val="000000"/>
          <w:sz w:val="24"/>
          <w:szCs w:val="24"/>
        </w:rPr>
        <w:t>os foi posteriormente disciplinada pela Portaria SPA/MF nº 1.212/2024, que, com vigência a partir de 1º de janeiro de 2025, determinou que o recolhimento deverá ser realizado por meio do Documento de Arrecadação de Receitas Federais (DARF), devidamente pre</w:t>
      </w:r>
      <w:r>
        <w:rPr>
          <w:rFonts w:ascii="Times New Roman" w:eastAsia="Times New Roman" w:hAnsi="Times New Roman" w:cs="Times New Roman"/>
          <w:color w:val="000000"/>
          <w:sz w:val="24"/>
          <w:szCs w:val="24"/>
        </w:rPr>
        <w:t>enchido pelo próprio agente operador e destinado à Conta Única do Tesouro Nacional. A medida busca assegurar maior transparência, previsibilidade e controle sobre os recursos públicos provenientes da atividade de apostas, fortalecendo a fiscalização e o di</w:t>
      </w:r>
      <w:r>
        <w:rPr>
          <w:rFonts w:ascii="Times New Roman" w:eastAsia="Times New Roman" w:hAnsi="Times New Roman" w:cs="Times New Roman"/>
          <w:color w:val="000000"/>
          <w:sz w:val="24"/>
          <w:szCs w:val="24"/>
        </w:rPr>
        <w:t>recionamento adequado das verbas arrecadadas.</w:t>
      </w:r>
    </w:p>
    <w:p w14:paraId="0E87763A"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Não obstante, sua importância para a consolidação de um sistema arrecadatório eficaz e voltado ao financiamento de políticas públicas, o modelo tem sido objeto de críticas por representar, em certa medida, uma </w:t>
      </w:r>
      <w:r>
        <w:rPr>
          <w:rFonts w:ascii="Times New Roman" w:eastAsia="Times New Roman" w:hAnsi="Times New Roman" w:cs="Times New Roman"/>
          <w:color w:val="000000"/>
          <w:sz w:val="24"/>
          <w:szCs w:val="24"/>
        </w:rPr>
        <w:t xml:space="preserve">carga tributária excessiva. A elevada retenção incidente sobre os valores apostados pode reduzir o atrativo da atividade ao consumidor final, com potencial reflexo negativo sobre o volume arrecadado. </w:t>
      </w:r>
    </w:p>
    <w:p w14:paraId="7DCF53DA"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Tal crítica encontra respaldo na Teoria Econômica da Cu</w:t>
      </w:r>
      <w:r>
        <w:rPr>
          <w:rFonts w:ascii="Times New Roman" w:eastAsia="Times New Roman" w:hAnsi="Times New Roman" w:cs="Times New Roman"/>
          <w:color w:val="000000"/>
          <w:sz w:val="24"/>
          <w:szCs w:val="24"/>
        </w:rPr>
        <w:t>rva de Laffer (1979), que postula a existência de um ponto de inflexão a partir do qual o aumento da tributação deixa de produzir acréscimos na arrecadação estatal, gerando, ao contrário, incentivos à evasão fiscal e ao crescimento do mercado informal, fen</w:t>
      </w:r>
      <w:r>
        <w:rPr>
          <w:rFonts w:ascii="Times New Roman" w:eastAsia="Times New Roman" w:hAnsi="Times New Roman" w:cs="Times New Roman"/>
          <w:color w:val="000000"/>
          <w:sz w:val="24"/>
          <w:szCs w:val="24"/>
        </w:rPr>
        <w:t>ômenos particularmente relevantes no setor de apostas, tradicionalmente vulnerável à clandestinidade (L</w:t>
      </w:r>
      <w:r>
        <w:rPr>
          <w:rFonts w:ascii="Times New Roman" w:eastAsia="Times New Roman" w:hAnsi="Times New Roman" w:cs="Times New Roman"/>
          <w:sz w:val="24"/>
          <w:szCs w:val="24"/>
        </w:rPr>
        <w:t>AFFER, 2004). Nesse sentido, Arthur Laffer sustenta que: "há uma relação inversa entre a carga tributária e a arrecadação: taxas muito altas desestimulam</w:t>
      </w:r>
      <w:r>
        <w:rPr>
          <w:rFonts w:ascii="Times New Roman" w:eastAsia="Times New Roman" w:hAnsi="Times New Roman" w:cs="Times New Roman"/>
          <w:sz w:val="24"/>
          <w:szCs w:val="24"/>
        </w:rPr>
        <w:t xml:space="preserve"> a atividade econômica, reduzindo a base tributária e, por conseguinte, a receita governamental" (p. 1, 2004, tradução nossa).</w:t>
      </w:r>
    </w:p>
    <w:p w14:paraId="15D0C8A9"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que tange à tributação incidente sobre o apostador, a lei em questão, em seu artigo 31, estabelece que incidirá o Imposto sobr</w:t>
      </w:r>
      <w:r>
        <w:rPr>
          <w:rFonts w:ascii="Times New Roman" w:eastAsia="Times New Roman" w:hAnsi="Times New Roman" w:cs="Times New Roman"/>
          <w:color w:val="000000"/>
          <w:sz w:val="24"/>
          <w:szCs w:val="24"/>
        </w:rPr>
        <w:t>e a Renda da Pessoa Física (IRPF) à alíquota de 15% (quinze por cento) sobre os lucros líquidos obtidos nas apostas. A apuração do imposto deverá ser realizada anualmente, com o respectivo recolhimento até o último dia útil do mês subsequente ao da apuraçã</w:t>
      </w:r>
      <w:r>
        <w:rPr>
          <w:rFonts w:ascii="Times New Roman" w:eastAsia="Times New Roman" w:hAnsi="Times New Roman" w:cs="Times New Roman"/>
          <w:color w:val="000000"/>
          <w:sz w:val="24"/>
          <w:szCs w:val="24"/>
        </w:rPr>
        <w:t>o.</w:t>
      </w:r>
    </w:p>
    <w:p w14:paraId="05AEB59E"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Nos termos do artigo 43 do Código Tributário Nacional (CTN - </w:t>
      </w:r>
      <w:r>
        <w:rPr>
          <w:rFonts w:ascii="Times New Roman" w:eastAsia="Times New Roman" w:hAnsi="Times New Roman" w:cs="Times New Roman"/>
          <w:sz w:val="24"/>
          <w:szCs w:val="24"/>
        </w:rPr>
        <w:t>Lei nº 5.172/1966</w:t>
      </w:r>
      <w:r>
        <w:rPr>
          <w:rFonts w:ascii="Times New Roman" w:eastAsia="Times New Roman" w:hAnsi="Times New Roman" w:cs="Times New Roman"/>
          <w:color w:val="000000"/>
          <w:sz w:val="24"/>
          <w:szCs w:val="24"/>
        </w:rPr>
        <w:t>), o fato gerador do IR é a aquisição da disponibilidade econômica ou jurídica de renda ou de proventos de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qualquer natureza, compreendidos como acréscimos patrimoniais, indep</w:t>
      </w:r>
      <w:r>
        <w:rPr>
          <w:rFonts w:ascii="Times New Roman" w:eastAsia="Times New Roman" w:hAnsi="Times New Roman" w:cs="Times New Roman"/>
          <w:color w:val="000000"/>
          <w:sz w:val="24"/>
          <w:szCs w:val="24"/>
        </w:rPr>
        <w:t>endentemente da forma como se originam.</w:t>
      </w:r>
    </w:p>
    <w:p w14:paraId="1A7A270C"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O imposto incidirá sobre qualquer acréscimo patrimonial proveniente do capital, do trabalho ou de qualquer outra fonte geradora de renda, hipótese que abrange os ganhos oriundos de apostas, nos termos do </w:t>
      </w:r>
      <w:r>
        <w:rPr>
          <w:rFonts w:ascii="Times New Roman" w:eastAsia="Times New Roman" w:hAnsi="Times New Roman" w:cs="Times New Roman"/>
          <w:sz w:val="24"/>
          <w:szCs w:val="24"/>
        </w:rPr>
        <w:t>artigo 43 do</w:t>
      </w:r>
      <w:r>
        <w:rPr>
          <w:rFonts w:ascii="Times New Roman" w:eastAsia="Times New Roman" w:hAnsi="Times New Roman" w:cs="Times New Roman"/>
          <w:sz w:val="24"/>
          <w:szCs w:val="24"/>
        </w:rPr>
        <w:t xml:space="preserve"> CTN. </w:t>
      </w:r>
    </w:p>
    <w:p w14:paraId="5B38B71F"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Trata-se de um tributo sujeito ao regime de lançamento por homologação – assim entendido o lançamento que, conforme o artigo 150 do CTN, ocorre quando o contribuinte antecipa o pagamento do tributo devido, sem prévia análise da autoridade administra</w:t>
      </w:r>
      <w:r>
        <w:rPr>
          <w:rFonts w:ascii="Times New Roman" w:eastAsia="Times New Roman" w:hAnsi="Times New Roman" w:cs="Times New Roman"/>
          <w:color w:val="000000"/>
          <w:sz w:val="24"/>
          <w:szCs w:val="24"/>
        </w:rPr>
        <w:t>tiva, sujeitando-se à posterior homologação –, razão pela qual o próprio apostador deverá calcular e declarar, em sua Declaração Anual de Ajuste, os valores líquidos auferidos com apostas que superem o limite de isenção, atualmente fixado em R$ 2.259,20, c</w:t>
      </w:r>
      <w:r>
        <w:rPr>
          <w:rFonts w:ascii="Times New Roman" w:eastAsia="Times New Roman" w:hAnsi="Times New Roman" w:cs="Times New Roman"/>
          <w:color w:val="000000"/>
          <w:sz w:val="24"/>
          <w:szCs w:val="24"/>
        </w:rPr>
        <w:t>onforme tabela progressiva vigente regulamentada pela Instrução Normativa RFB nº 2.065/2022.</w:t>
      </w:r>
    </w:p>
    <w:p w14:paraId="29D61035"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 fins de apuração, considera-se “prêmio líquido” o resultado positivo auferido nas apostas de quota fixa realizadas a cada ano, após a dedução das perdas incor</w:t>
      </w:r>
      <w:r>
        <w:rPr>
          <w:rFonts w:ascii="Times New Roman" w:eastAsia="Times New Roman" w:hAnsi="Times New Roman" w:cs="Times New Roman"/>
          <w:color w:val="000000"/>
          <w:sz w:val="24"/>
          <w:szCs w:val="24"/>
        </w:rPr>
        <w:t>ridas com apostas da mesma natureza, nos termos do §1º do artigo 31 da Lei nº 14.790/2023. Caso esse montante ultrapasse a primeira faixa da tabela progressiva anual do IRPF, incidirá a alíquota de 15% (quinze por cento), conforme preceitua o artigo 31, §2</w:t>
      </w:r>
      <w:r>
        <w:rPr>
          <w:rFonts w:ascii="Times New Roman" w:eastAsia="Times New Roman" w:hAnsi="Times New Roman" w:cs="Times New Roman"/>
          <w:color w:val="000000"/>
          <w:sz w:val="24"/>
          <w:szCs w:val="24"/>
        </w:rPr>
        <w:t>º, da Lei nº 14.790/2023.</w:t>
      </w:r>
    </w:p>
    <w:p w14:paraId="143882F8"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Desse modo, verifica-se que a legislação já incorpora os princípios da capacidade contributiva e da disponibilidade econômica ao permitir que o imposto incida apenas sobre o ganho líquido, ou seja, o efetivo acréscimo patrimonial </w:t>
      </w:r>
      <w:r>
        <w:rPr>
          <w:rFonts w:ascii="Times New Roman" w:eastAsia="Times New Roman" w:hAnsi="Times New Roman" w:cs="Times New Roman"/>
          <w:color w:val="000000"/>
          <w:sz w:val="24"/>
          <w:szCs w:val="24"/>
        </w:rPr>
        <w:t>do apostador, considerando as perdas e os ganhos anuais. Assim, a própria norma legal garante a neutralização dos prejuízos no cálculo do tributo devido.</w:t>
      </w:r>
    </w:p>
    <w:p w14:paraId="57052308"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Nos termos do §1º do mesmo artigo, tal tributação recai exclusivamente sobre os prêmios recebidos em a</w:t>
      </w:r>
      <w:r>
        <w:rPr>
          <w:rFonts w:ascii="Times New Roman" w:eastAsia="Times New Roman" w:hAnsi="Times New Roman" w:cs="Times New Roman"/>
          <w:color w:val="000000"/>
          <w:sz w:val="24"/>
          <w:szCs w:val="24"/>
        </w:rPr>
        <w:t>postas de quota fixa realizadas em ambiente virtual licenciado. Desta feita, o apostador, ao obter ganho econômico, submete-se ao regime de tributação sobre a renda, em estrita consonância com os Princípios Constitucionais da Capacidade Contributiva e da I</w:t>
      </w:r>
      <w:r>
        <w:rPr>
          <w:rFonts w:ascii="Times New Roman" w:eastAsia="Times New Roman" w:hAnsi="Times New Roman" w:cs="Times New Roman"/>
          <w:color w:val="000000"/>
          <w:sz w:val="24"/>
          <w:szCs w:val="24"/>
        </w:rPr>
        <w:t>sonomia Fiscal.</w:t>
      </w:r>
    </w:p>
    <w:p w14:paraId="7B1DD9EC"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Nesse aspecto, por ter esse caráter extrafiscal, a atuação do Estado não visa apenas à arrecadação, mas também à regulação de condutas e à proteção de interesses públicos, o que pode justificar, em caráter excepcional, a relativização de ce</w:t>
      </w:r>
      <w:r>
        <w:rPr>
          <w:rFonts w:ascii="Times New Roman" w:eastAsia="Times New Roman" w:hAnsi="Times New Roman" w:cs="Times New Roman"/>
          <w:sz w:val="24"/>
          <w:szCs w:val="24"/>
        </w:rPr>
        <w:t xml:space="preserve">rtos princípios tributários, desde que respeitados os critérios de proporcionalidade, razoabilidade e finalidade legítima. </w:t>
      </w:r>
    </w:p>
    <w:p w14:paraId="433E21C7"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crescente expansão do mercado de apostas, notadamente após a regulamentação das apostas de quota fixa no Brasil, acende um alerta </w:t>
      </w:r>
      <w:r>
        <w:rPr>
          <w:rFonts w:ascii="Times New Roman" w:eastAsia="Times New Roman" w:hAnsi="Times New Roman" w:cs="Times New Roman"/>
          <w:sz w:val="24"/>
          <w:szCs w:val="24"/>
        </w:rPr>
        <w:t xml:space="preserve">quanto aos possíveis impactos </w:t>
      </w:r>
      <w:r>
        <w:rPr>
          <w:rFonts w:ascii="Times New Roman" w:eastAsia="Times New Roman" w:hAnsi="Times New Roman" w:cs="Times New Roman"/>
          <w:sz w:val="24"/>
          <w:szCs w:val="24"/>
        </w:rPr>
        <w:lastRenderedPageBreak/>
        <w:t>negativos sobre a saúde pública, especialmente no que se refere ao desenvolvimento de comportamentos aditivos. A ludopatia, também conhecida como jogo patológico, é reconhecida como um transtorno do controle do impulso, caract</w:t>
      </w:r>
      <w:r>
        <w:rPr>
          <w:rFonts w:ascii="Times New Roman" w:eastAsia="Times New Roman" w:hAnsi="Times New Roman" w:cs="Times New Roman"/>
          <w:sz w:val="24"/>
          <w:szCs w:val="24"/>
        </w:rPr>
        <w:t>erizado pela persistência e recorrência do comportamento de apostar, mesmo diante de consequências negativas pessoais, familiares e financeiras (AMERICAN PSYCHIATRIC ASSOCIATION, 2014).</w:t>
      </w:r>
    </w:p>
    <w:p w14:paraId="41A2B0A0"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Estudos realizados por pesquisadores da área da saúde mental apontam q</w:t>
      </w:r>
      <w:r>
        <w:rPr>
          <w:rFonts w:ascii="Times New Roman" w:eastAsia="Times New Roman" w:hAnsi="Times New Roman" w:cs="Times New Roman"/>
          <w:sz w:val="24"/>
          <w:szCs w:val="24"/>
        </w:rPr>
        <w:t xml:space="preserve">ue a proliferação de jogos de aposta, especialmente na forma </w:t>
      </w:r>
      <w:r>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está diretamente relacionada ao aumento da incidência de transtornos relacionados ao jogo, sobretudo em populações mais vulneráveis, como adolescentes, desempregados e indivíduos com hist</w:t>
      </w:r>
      <w:r>
        <w:rPr>
          <w:rFonts w:ascii="Times New Roman" w:eastAsia="Times New Roman" w:hAnsi="Times New Roman" w:cs="Times New Roman"/>
          <w:sz w:val="24"/>
          <w:szCs w:val="24"/>
        </w:rPr>
        <w:t xml:space="preserve">órico de comorbidades psiquiátricas (FERNANDES </w:t>
      </w:r>
      <w:r w:rsidRPr="00511444">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2021).</w:t>
      </w:r>
    </w:p>
    <w:p w14:paraId="195EC218" w14:textId="05115CA7" w:rsidR="00600B74" w:rsidRDefault="000B3CC5" w:rsidP="00511444">
      <w:pPr>
        <w:spacing w:line="360" w:lineRule="auto"/>
        <w:ind w:firstLine="709"/>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Nesse sentido, evidencia-se uma grave preocupação social: o uso de recursos públicos assistenciais, como os oriundos do Programa Bolsa Família, em plataformas de apostas. Segundo nota técnica do</w:t>
      </w:r>
      <w:r>
        <w:rPr>
          <w:rFonts w:ascii="Times New Roman" w:eastAsia="Times New Roman" w:hAnsi="Times New Roman" w:cs="Times New Roman"/>
          <w:sz w:val="24"/>
          <w:szCs w:val="24"/>
        </w:rPr>
        <w:t xml:space="preserve"> Banco Central, somente em 2024, cerca de R$ 3 bilhões foram transferidos por beneficiários do programa para sites de apostas via P</w:t>
      </w:r>
      <w:r w:rsidR="00511444">
        <w:rPr>
          <w:rFonts w:ascii="Times New Roman" w:eastAsia="Times New Roman" w:hAnsi="Times New Roman" w:cs="Times New Roman"/>
          <w:sz w:val="24"/>
          <w:szCs w:val="24"/>
        </w:rPr>
        <w:t>IX</w:t>
      </w:r>
      <w:r>
        <w:rPr>
          <w:rFonts w:ascii="Times New Roman" w:eastAsia="Times New Roman" w:hAnsi="Times New Roman" w:cs="Times New Roman"/>
          <w:sz w:val="24"/>
          <w:szCs w:val="24"/>
        </w:rPr>
        <w:t>. Em resposta, o governo federal, por meio do Ministério do Desenvolvimento Social, estuda mecanismos para impedir tais tra</w:t>
      </w:r>
      <w:r>
        <w:rPr>
          <w:rFonts w:ascii="Times New Roman" w:eastAsia="Times New Roman" w:hAnsi="Times New Roman" w:cs="Times New Roman"/>
          <w:sz w:val="24"/>
          <w:szCs w:val="24"/>
        </w:rPr>
        <w:t>nsações, propondo medidas como o bloqueio das operações por meio dos cartões do programa e a imposição de “limite zero” para transações associadas a jogos de azar. Tais ações visam proteger famílias em situação de vulnerabilidade social da exposição a risc</w:t>
      </w:r>
      <w:r>
        <w:rPr>
          <w:rFonts w:ascii="Times New Roman" w:eastAsia="Times New Roman" w:hAnsi="Times New Roman" w:cs="Times New Roman"/>
          <w:sz w:val="24"/>
          <w:szCs w:val="24"/>
        </w:rPr>
        <w:t xml:space="preserve">os financeiros e ao ciclo de endividamento provocado pela prática abusiva das apostas online (G1, 2024). </w:t>
      </w:r>
    </w:p>
    <w:p w14:paraId="6348CFA2"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Diante desse cenário, a utilização do sistema tributário como instrumento de desestímulo ao consumo dessas práticas torna-se não apenas legítima, mas </w:t>
      </w:r>
      <w:r>
        <w:rPr>
          <w:rFonts w:ascii="Times New Roman" w:eastAsia="Times New Roman" w:hAnsi="Times New Roman" w:cs="Times New Roman"/>
          <w:sz w:val="24"/>
          <w:szCs w:val="24"/>
        </w:rPr>
        <w:t>necessária. O Imposto Seletivo, instituído pela Emenda Constitucional nº 132/2023, presente no artigo153, inciso VIII, da CF/88, e regulamentado pela Lei Complementar nº 214/2025, é exemplo claro do emprego da tributação com finalidade extrafiscal, buscand</w:t>
      </w:r>
      <w:r>
        <w:rPr>
          <w:rFonts w:ascii="Times New Roman" w:eastAsia="Times New Roman" w:hAnsi="Times New Roman" w:cs="Times New Roman"/>
          <w:sz w:val="24"/>
          <w:szCs w:val="24"/>
        </w:rPr>
        <w:t>o coibir o consumo de bens e serviços prejudiciais à coletividade, como ocorre com as bebidas alcoólicas, cigarros e, agora, as apostas.</w:t>
      </w:r>
    </w:p>
    <w:p w14:paraId="7B526D8A"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Ademais, o doutrinador Ricardo Alexandre destaca que o Imposto Seletivo é expressão clara da função regulatória da trib</w:t>
      </w:r>
      <w:r>
        <w:rPr>
          <w:rFonts w:ascii="Times New Roman" w:eastAsia="Times New Roman" w:hAnsi="Times New Roman" w:cs="Times New Roman"/>
          <w:sz w:val="24"/>
          <w:szCs w:val="24"/>
        </w:rPr>
        <w:t>utação, servindo como instrumento para induzir comportamentos socialmente desejáveis. Segundo o autor, a escolha legislativa de incidir tributos sobre produtos nocivos à saúde, como os jogos de aposta, e ao meio ambiente visa conter o consumo e orientar po</w:t>
      </w:r>
      <w:r>
        <w:rPr>
          <w:rFonts w:ascii="Times New Roman" w:eastAsia="Times New Roman" w:hAnsi="Times New Roman" w:cs="Times New Roman"/>
          <w:sz w:val="24"/>
          <w:szCs w:val="24"/>
        </w:rPr>
        <w:t xml:space="preserve">líticas públicas preventivas, o que reforça a </w:t>
      </w:r>
      <w:r>
        <w:rPr>
          <w:rFonts w:ascii="Times New Roman" w:eastAsia="Times New Roman" w:hAnsi="Times New Roman" w:cs="Times New Roman"/>
          <w:sz w:val="24"/>
          <w:szCs w:val="24"/>
        </w:rPr>
        <w:lastRenderedPageBreak/>
        <w:t>legitimidade constitucional do tributo para além da arrecadação fiscal tradicional (ALEXANDRE, 2024).</w:t>
      </w:r>
    </w:p>
    <w:p w14:paraId="2441325B"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Assim, a imposição do Imposto Seletivo sobre os concursos de prognósticos e </w:t>
      </w:r>
      <w:r>
        <w:rPr>
          <w:rFonts w:ascii="Times New Roman" w:eastAsia="Times New Roman" w:hAnsi="Times New Roman" w:cs="Times New Roman"/>
          <w:i/>
          <w:sz w:val="24"/>
          <w:szCs w:val="24"/>
        </w:rPr>
        <w:t>fantasy sports</w:t>
      </w:r>
      <w:r>
        <w:rPr>
          <w:rFonts w:ascii="Times New Roman" w:eastAsia="Times New Roman" w:hAnsi="Times New Roman" w:cs="Times New Roman"/>
          <w:sz w:val="24"/>
          <w:szCs w:val="24"/>
        </w:rPr>
        <w:t>, conforme previsto no Anexo XVII da LC nº 214/2025, revela-se compatível com a atuação do Estado como promotor do bem-estar social e defensor da dignidade da pessoa humana. A arrecadação oriunda dessa tributação, quando destinada a políticas públicas volt</w:t>
      </w:r>
      <w:r>
        <w:rPr>
          <w:rFonts w:ascii="Times New Roman" w:eastAsia="Times New Roman" w:hAnsi="Times New Roman" w:cs="Times New Roman"/>
          <w:sz w:val="24"/>
          <w:szCs w:val="24"/>
        </w:rPr>
        <w:t>adas à prevenção e tratamento da ludopatia, reforça a função redistributiva e protetiva do sistema tributário, em consonância com os princípios constitucionais da saúde, disposto no artigo 196, e da ordem econômica, disposto no artigo 170, caput e inciso I</w:t>
      </w:r>
      <w:r>
        <w:rPr>
          <w:rFonts w:ascii="Times New Roman" w:eastAsia="Times New Roman" w:hAnsi="Times New Roman" w:cs="Times New Roman"/>
          <w:sz w:val="24"/>
          <w:szCs w:val="24"/>
        </w:rPr>
        <w:t>II, ambos da Constituição Federal.</w:t>
      </w:r>
    </w:p>
    <w:p w14:paraId="7435A433" w14:textId="77777777" w:rsidR="00600B74" w:rsidRDefault="000B3CC5">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Diante do exposto, constata-se que a tributação das casas de aposta no Brasil, conforme delineada pela Lei nº 14.790/2023 e pela recente Lei Complementar nº 214/2025, vai além da função arrecadatória tradicional, assumindo relevante papel extrafiscal. Ao e</w:t>
      </w:r>
      <w:r>
        <w:rPr>
          <w:rFonts w:ascii="Times New Roman" w:eastAsia="Times New Roman" w:hAnsi="Times New Roman" w:cs="Times New Roman"/>
          <w:sz w:val="24"/>
          <w:szCs w:val="24"/>
        </w:rPr>
        <w:t>stabelecer um regime tributário específico e rigoroso, o Estado busca não apenas ampliar sua receita diante de um cenário fiscal crítico, mas também regular uma atividade de risco social elevado, induzindo comportamentos economicamente saudáveis, prevenind</w:t>
      </w:r>
      <w:r>
        <w:rPr>
          <w:rFonts w:ascii="Times New Roman" w:eastAsia="Times New Roman" w:hAnsi="Times New Roman" w:cs="Times New Roman"/>
          <w:sz w:val="24"/>
          <w:szCs w:val="24"/>
        </w:rPr>
        <w:t>o ilícitos e protegendo populações vulneráveis dos efeitos nocivos do jogo patológico.</w:t>
      </w:r>
    </w:p>
    <w:p w14:paraId="48E91BE2" w14:textId="77777777" w:rsidR="00600B74" w:rsidRDefault="000B3CC5">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estrutura tributária adotada reflete uma estratégia de intervenção estatal pautada nos princípios da capacidade contributiva, da isonomia fiscal e da solidariedade soc</w:t>
      </w:r>
      <w:r>
        <w:rPr>
          <w:rFonts w:ascii="Times New Roman" w:eastAsia="Times New Roman" w:hAnsi="Times New Roman" w:cs="Times New Roman"/>
          <w:sz w:val="24"/>
          <w:szCs w:val="24"/>
        </w:rPr>
        <w:t xml:space="preserve">ial, ao mesmo tempo em que utiliza a tributação como instrumento legítimo de controle e indução. A imposição de obrigações acessórias, a exigência de estabelecimento nacional das operadoras e a incidência de tributos seletivos reforçam o papel da política </w:t>
      </w:r>
      <w:r>
        <w:rPr>
          <w:rFonts w:ascii="Times New Roman" w:eastAsia="Times New Roman" w:hAnsi="Times New Roman" w:cs="Times New Roman"/>
          <w:sz w:val="24"/>
          <w:szCs w:val="24"/>
        </w:rPr>
        <w:t>fiscal como meio de realização dos objetivos constitucionais, como a dignidade da pessoa humana, a proteção à saúde e o desenvolvimento econômico sustentável.</w:t>
      </w:r>
    </w:p>
    <w:p w14:paraId="31DF818C"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Portanto, a tributação das casas de aposta no Brasil, tal como estruturada pela Lei nº 14.790/202</w:t>
      </w:r>
      <w:r>
        <w:rPr>
          <w:rFonts w:ascii="Times New Roman" w:eastAsia="Times New Roman" w:hAnsi="Times New Roman" w:cs="Times New Roman"/>
          <w:sz w:val="24"/>
          <w:szCs w:val="24"/>
        </w:rPr>
        <w:t>3 e complementada pela Lei Complementar nº 214/2025, representa um avanço normativo que alia segurança jurídica, capacidade arrecadatória e função extrafiscal. Ao incidir sobre uma atividade de elevado risco social, o Estado não apenas garante recursos par</w:t>
      </w:r>
      <w:r>
        <w:rPr>
          <w:rFonts w:ascii="Times New Roman" w:eastAsia="Times New Roman" w:hAnsi="Times New Roman" w:cs="Times New Roman"/>
          <w:sz w:val="24"/>
          <w:szCs w:val="24"/>
        </w:rPr>
        <w:t>a financiar políticas públicas, mas também exerce seu papel de indutor de condutas alinhadas ao interesse coletivo, por meio de mecanismos tributários calibrados para conter excessos e proteger populações vulneráveis. A adoção do Imposto Seletivo como ferr</w:t>
      </w:r>
      <w:r>
        <w:rPr>
          <w:rFonts w:ascii="Times New Roman" w:eastAsia="Times New Roman" w:hAnsi="Times New Roman" w:cs="Times New Roman"/>
          <w:sz w:val="24"/>
          <w:szCs w:val="24"/>
        </w:rPr>
        <w:t xml:space="preserve">amenta de regulação evidencia o compromisso com uma tributação </w:t>
      </w:r>
      <w:r>
        <w:rPr>
          <w:rFonts w:ascii="Times New Roman" w:eastAsia="Times New Roman" w:hAnsi="Times New Roman" w:cs="Times New Roman"/>
          <w:sz w:val="24"/>
          <w:szCs w:val="24"/>
        </w:rPr>
        <w:lastRenderedPageBreak/>
        <w:t xml:space="preserve">socialmente orientada, como observa Ricardo Alexandre, ao destacar sua aptidão para influenciar positivamente padrões de consumo e reduzir danos coletivos. </w:t>
      </w:r>
    </w:p>
    <w:p w14:paraId="6679A688" w14:textId="77777777" w:rsidR="00600B74" w:rsidRDefault="000B3CC5">
      <w:pPr>
        <w:pBdr>
          <w:top w:val="nil"/>
          <w:left w:val="nil"/>
          <w:bottom w:val="nil"/>
          <w:right w:val="nil"/>
          <w:between w:val="nil"/>
        </w:pBdr>
        <w:spacing w:after="0" w:line="36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Resta, contudo, o desafio da fiscali</w:t>
      </w:r>
      <w:r>
        <w:rPr>
          <w:rFonts w:ascii="Times New Roman" w:eastAsia="Times New Roman" w:hAnsi="Times New Roman" w:cs="Times New Roman"/>
          <w:sz w:val="24"/>
          <w:szCs w:val="24"/>
        </w:rPr>
        <w:t>zação eficaz e da destinação transparente dos recursos arrecadados, de modo a assegurar que os objetivos constitucionais da justiça fiscal, proteção social e desenvolvimento sustentável sejam plenamente alcançados.</w:t>
      </w:r>
    </w:p>
    <w:p w14:paraId="63F6A4F8" w14:textId="77777777" w:rsidR="00600B74" w:rsidRDefault="00600B7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082397B6" w14:textId="77777777" w:rsidR="00600B74" w:rsidRDefault="000B3CC5">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 DESAFIOS NA TRIBUTAÇÃO: ANÁLISE DE AL</w:t>
      </w:r>
      <w:r>
        <w:rPr>
          <w:rFonts w:ascii="Times New Roman" w:eastAsia="Times New Roman" w:hAnsi="Times New Roman" w:cs="Times New Roman"/>
          <w:b/>
          <w:color w:val="000000"/>
          <w:sz w:val="24"/>
          <w:szCs w:val="24"/>
        </w:rPr>
        <w:t>GUMAS LEGISLAÇÕES EM VIGOR</w:t>
      </w:r>
    </w:p>
    <w:p w14:paraId="587FDDE2" w14:textId="77777777" w:rsidR="00600B74" w:rsidRDefault="00600B74">
      <w:pPr>
        <w:spacing w:after="0" w:line="360" w:lineRule="auto"/>
        <w:ind w:firstLine="709"/>
        <w:jc w:val="both"/>
        <w:rPr>
          <w:rFonts w:ascii="Times New Roman" w:eastAsia="Times New Roman" w:hAnsi="Times New Roman" w:cs="Times New Roman"/>
          <w:color w:val="00FF00"/>
          <w:sz w:val="24"/>
          <w:szCs w:val="24"/>
        </w:rPr>
      </w:pPr>
    </w:p>
    <w:p w14:paraId="3C700CDB" w14:textId="77777777" w:rsidR="00600B74" w:rsidRDefault="000B3CC5">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análise comparada das legislações internacionais se revela essencial para a compreensão e o aprimoramento do regime tributário aplicável à indústria de jogos de azar no Brasil. Em um contexto de crescente digitalização e globa</w:t>
      </w:r>
      <w:r>
        <w:rPr>
          <w:rFonts w:ascii="Times New Roman" w:eastAsia="Times New Roman" w:hAnsi="Times New Roman" w:cs="Times New Roman"/>
          <w:sz w:val="24"/>
          <w:szCs w:val="24"/>
        </w:rPr>
        <w:t xml:space="preserve">lização das atividades econômicas, especialmente no setor de jogos e apostas </w:t>
      </w:r>
      <w:r>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compreende as estratégias adotadas por outros países permite identificar soluções eficientes, evitar erros recorrentes e adaptar modelos bem-sucedidos às especificidades n</w:t>
      </w:r>
      <w:r>
        <w:rPr>
          <w:rFonts w:ascii="Times New Roman" w:eastAsia="Times New Roman" w:hAnsi="Times New Roman" w:cs="Times New Roman"/>
          <w:sz w:val="24"/>
          <w:szCs w:val="24"/>
        </w:rPr>
        <w:t xml:space="preserve">acionais. </w:t>
      </w:r>
    </w:p>
    <w:p w14:paraId="31A9FAA9" w14:textId="77777777" w:rsidR="00600B74" w:rsidRDefault="000B3CC5">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estudo de sistemas como o da União Europeia, com sua abordagem cooperativa e mecanismos de simplificação fiscal, ou o dos Estados Unidos, baseado em descentralização regulatória, fornece subsídios valiosos para a construção de uma política tri</w:t>
      </w:r>
      <w:r>
        <w:rPr>
          <w:rFonts w:ascii="Times New Roman" w:eastAsia="Times New Roman" w:hAnsi="Times New Roman" w:cs="Times New Roman"/>
          <w:sz w:val="24"/>
          <w:szCs w:val="24"/>
        </w:rPr>
        <w:t xml:space="preserve">butária equilibrada, que assegure tanto a arrecadação estatal quanto a sustentabilidade do mercado formal. </w:t>
      </w:r>
    </w:p>
    <w:p w14:paraId="6101FBB6" w14:textId="77777777" w:rsidR="00600B74" w:rsidRDefault="000B3CC5">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Segundo relatório da </w:t>
      </w:r>
      <w:r>
        <w:rPr>
          <w:rFonts w:ascii="Times New Roman" w:eastAsia="Times New Roman" w:hAnsi="Times New Roman" w:cs="Times New Roman"/>
          <w:i/>
          <w:sz w:val="24"/>
          <w:szCs w:val="24"/>
        </w:rPr>
        <w:t>European Gambling &amp; Betting Association</w:t>
      </w:r>
      <w:r>
        <w:rPr>
          <w:rFonts w:ascii="Times New Roman" w:eastAsia="Times New Roman" w:hAnsi="Times New Roman" w:cs="Times New Roman"/>
          <w:sz w:val="24"/>
          <w:szCs w:val="24"/>
        </w:rPr>
        <w:t xml:space="preserve"> (EGBA, 2024), os países da União Europeia arrecadaram aproximadamente €38 bilhões em im</w:t>
      </w:r>
      <w:r>
        <w:rPr>
          <w:rFonts w:ascii="Times New Roman" w:eastAsia="Times New Roman" w:hAnsi="Times New Roman" w:cs="Times New Roman"/>
          <w:sz w:val="24"/>
          <w:szCs w:val="24"/>
        </w:rPr>
        <w:t>postos oriundos do setor de jogos em 2023, evidenciando o potencial desse mercado como fonte relevante de receitas públicas.</w:t>
      </w:r>
    </w:p>
    <w:p w14:paraId="2422588D" w14:textId="77777777" w:rsidR="00600B74" w:rsidRDefault="000B3CC5">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Nesse cenário, observar experiências estrangeiras não significa mera importação de modelos, mas sim a oportunidade de refletir crit</w:t>
      </w:r>
      <w:r>
        <w:rPr>
          <w:rFonts w:ascii="Times New Roman" w:eastAsia="Times New Roman" w:hAnsi="Times New Roman" w:cs="Times New Roman"/>
          <w:sz w:val="24"/>
          <w:szCs w:val="24"/>
        </w:rPr>
        <w:t>icamente sobre a eficácia das escolhas normativas locais, sobretudo diante dos desafios de informalidade, evasão fiscal e proteção do consumidor.</w:t>
      </w:r>
    </w:p>
    <w:p w14:paraId="54ABCE1F" w14:textId="77777777" w:rsidR="00600B74" w:rsidRDefault="000B3CC5">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Diante disso, a análise da tributação das casas de apostas em outros países evidencia que a experiência da Uni</w:t>
      </w:r>
      <w:r>
        <w:rPr>
          <w:rFonts w:ascii="Times New Roman" w:eastAsia="Times New Roman" w:hAnsi="Times New Roman" w:cs="Times New Roman"/>
          <w:sz w:val="24"/>
          <w:szCs w:val="24"/>
        </w:rPr>
        <w:t xml:space="preserve">ão Europeia, sobretudo no contexto dos jogos </w:t>
      </w:r>
      <w:r>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xml:space="preserve"> transfronteiriços, oferece estratégias relevantes e eficazes para a regulação fiscal desse setor. </w:t>
      </w:r>
    </w:p>
    <w:p w14:paraId="5E0F5E3E" w14:textId="77777777" w:rsidR="00600B74" w:rsidRDefault="000B3CC5">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Na UE, os serviços eletrônicos, incluindo os jogos de azar </w:t>
      </w:r>
      <w:r>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estão sujeitos ao Imposto sobre o Valo</w:t>
      </w:r>
      <w:r>
        <w:rPr>
          <w:rFonts w:ascii="Times New Roman" w:eastAsia="Times New Roman" w:hAnsi="Times New Roman" w:cs="Times New Roman"/>
          <w:sz w:val="24"/>
          <w:szCs w:val="24"/>
        </w:rPr>
        <w:t>r Agregado (IVA)</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no local de consumo, ou seja, no país de residência do consumidor final. Para facilitar o cumprimento das obrigações fiscais por parte dos operadores estrangeiros, foi criado o sistema </w:t>
      </w:r>
      <w:r>
        <w:rPr>
          <w:rFonts w:ascii="Times New Roman" w:eastAsia="Times New Roman" w:hAnsi="Times New Roman" w:cs="Times New Roman"/>
          <w:i/>
          <w:sz w:val="24"/>
          <w:szCs w:val="24"/>
        </w:rPr>
        <w:t>Mini One Stop Shop</w:t>
      </w:r>
      <w:r>
        <w:rPr>
          <w:rFonts w:ascii="Times New Roman" w:eastAsia="Times New Roman" w:hAnsi="Times New Roman" w:cs="Times New Roman"/>
          <w:sz w:val="24"/>
          <w:szCs w:val="24"/>
        </w:rPr>
        <w:t xml:space="preserve"> (MOSS)</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permitindo o recolhimento centralizado do</w:t>
      </w:r>
      <w:r>
        <w:rPr>
          <w:rFonts w:ascii="Times New Roman" w:eastAsia="Times New Roman" w:hAnsi="Times New Roman" w:cs="Times New Roman"/>
          <w:sz w:val="24"/>
          <w:szCs w:val="24"/>
        </w:rPr>
        <w:t xml:space="preserve"> imposto em um único Estado-membro. Tal medida não apenas simplifica a conformidade tributária, como também evita a evasão decorrente de lacunas entre jurisdições.</w:t>
      </w:r>
    </w:p>
    <w:p w14:paraId="0E9F4858" w14:textId="77777777" w:rsidR="00600B74" w:rsidRDefault="000B3CC5">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tocante à tributação específica dos jogos de azar, muitos países da UE isentam essas ativ</w:t>
      </w:r>
      <w:r>
        <w:rPr>
          <w:rFonts w:ascii="Times New Roman" w:eastAsia="Times New Roman" w:hAnsi="Times New Roman" w:cs="Times New Roman"/>
          <w:sz w:val="24"/>
          <w:szCs w:val="24"/>
        </w:rPr>
        <w:t>idades do IVA, optando por instituir um imposto próprio sobre apostas, aplicado diretamente sobre os valores dos prêmios ou sobre a receita bruta das operadoras. Destaca-se o modelo adotado pela Holanda, que prevê a incidência do imposto sobre os prêmios p</w:t>
      </w:r>
      <w:r>
        <w:rPr>
          <w:rFonts w:ascii="Times New Roman" w:eastAsia="Times New Roman" w:hAnsi="Times New Roman" w:cs="Times New Roman"/>
          <w:sz w:val="24"/>
          <w:szCs w:val="24"/>
        </w:rPr>
        <w:t>agos por operadores estrangeiros acessíveis no território nacional, responsabilizando inclusive os próprios jogadores residentes, quando não for possível tributar a plataforma. Embora inovadora, essa abordagem levanta dúvidas quanto à sua efetividade práti</w:t>
      </w:r>
      <w:r>
        <w:rPr>
          <w:rFonts w:ascii="Times New Roman" w:eastAsia="Times New Roman" w:hAnsi="Times New Roman" w:cs="Times New Roman"/>
          <w:sz w:val="24"/>
          <w:szCs w:val="24"/>
        </w:rPr>
        <w:t>ca, já que a fiscalização direta do ganhador é limitada, sobretudo no caso de plataformas não regulamentadas.</w:t>
      </w:r>
    </w:p>
    <w:p w14:paraId="0FA706F4" w14:textId="77777777" w:rsidR="00600B74" w:rsidRDefault="000B3CC5">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comparação, o modelo brasileiro, consolidado pela nova lei, avança ao impor exigências estruturais para o licenciamento das plataformas, como a</w:t>
      </w:r>
      <w:r>
        <w:rPr>
          <w:rFonts w:ascii="Times New Roman" w:eastAsia="Times New Roman" w:hAnsi="Times New Roman" w:cs="Times New Roman"/>
          <w:sz w:val="24"/>
          <w:szCs w:val="24"/>
        </w:rPr>
        <w:t xml:space="preserve"> obrigatoriedade de sede no país e a existência de canais de atendimento ao consumidor. Contudo, a elevada carga tributária incidente, tanto sobre operadoras quanto sobre apostadores, pode ter o efeito inverso ao desejado, estimulando a informalidade, como</w:t>
      </w:r>
      <w:r>
        <w:rPr>
          <w:rFonts w:ascii="Times New Roman" w:eastAsia="Times New Roman" w:hAnsi="Times New Roman" w:cs="Times New Roman"/>
          <w:sz w:val="24"/>
          <w:szCs w:val="24"/>
        </w:rPr>
        <w:t xml:space="preserve"> já anunciado pela teoria da Curva de Laffer.</w:t>
      </w:r>
    </w:p>
    <w:p w14:paraId="15C26DD9" w14:textId="77777777" w:rsidR="00600B74" w:rsidRDefault="000B3CC5">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Parece que o legislador brasileiro, apesar de procurar regulamentar o setor, por força da inevitabilidade da situação posta pela realidade da prática de jogos de azar, resolveu se valer da extrafiscalidade trib</w:t>
      </w:r>
      <w:r>
        <w:rPr>
          <w:rFonts w:ascii="Times New Roman" w:eastAsia="Times New Roman" w:hAnsi="Times New Roman" w:cs="Times New Roman"/>
          <w:sz w:val="24"/>
          <w:szCs w:val="24"/>
        </w:rPr>
        <w:t xml:space="preserve">utária, para fins de desestimular a prática entre os consumidores, do que exclusivamente tributar o setor, desconsiderando as eventuais prejudicialidade que a prática excessiva pode causar. </w:t>
      </w:r>
    </w:p>
    <w:p w14:paraId="5EFCE1F1" w14:textId="77777777" w:rsidR="00600B74" w:rsidRDefault="000B3CC5">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Dessa forma, a experiência europeia demonstra que a eficácia da t</w:t>
      </w:r>
      <w:r>
        <w:rPr>
          <w:rFonts w:ascii="Times New Roman" w:eastAsia="Times New Roman" w:hAnsi="Times New Roman" w:cs="Times New Roman"/>
          <w:sz w:val="24"/>
          <w:szCs w:val="24"/>
        </w:rPr>
        <w:t xml:space="preserve">ributação no setor de apostas depende do equilíbrio entre rigor regulatório e viabilidade econômica, </w:t>
      </w:r>
      <w:r>
        <w:rPr>
          <w:rFonts w:ascii="Times New Roman" w:eastAsia="Times New Roman" w:hAnsi="Times New Roman" w:cs="Times New Roman"/>
          <w:sz w:val="24"/>
          <w:szCs w:val="24"/>
        </w:rPr>
        <w:lastRenderedPageBreak/>
        <w:t>além de mecanismos simplificados e cooperativos entre países para combater a evasão fiscal no ambiente digital.</w:t>
      </w:r>
    </w:p>
    <w:p w14:paraId="2674B8AA" w14:textId="77777777" w:rsidR="00600B74" w:rsidRDefault="000B3CC5">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Já no caso dos Estados Unidos, é possível i</w:t>
      </w:r>
      <w:r>
        <w:rPr>
          <w:rFonts w:ascii="Times New Roman" w:eastAsia="Times New Roman" w:hAnsi="Times New Roman" w:cs="Times New Roman"/>
          <w:sz w:val="24"/>
          <w:szCs w:val="24"/>
        </w:rPr>
        <w:t>dentificar diferenças significativas em relação ao modelo brasileiro de tributação das apostas. O sistema norte-americano é marcado por forte descentralização regulatória, na qual a competência para legalizar, regulamentar e tributar os jogos de azar, incl</w:t>
      </w:r>
      <w:r>
        <w:rPr>
          <w:rFonts w:ascii="Times New Roman" w:eastAsia="Times New Roman" w:hAnsi="Times New Roman" w:cs="Times New Roman"/>
          <w:sz w:val="24"/>
          <w:szCs w:val="24"/>
        </w:rPr>
        <w:t>uindo as apostas esportivas, é predominantemente dos estados federados. Assim, cada estado pode decidir se permite ou não a atividade, quais modalidades serão admitidas, quais requisitos serão impostos às operadoras e qual será o regime fiscal aplicável.</w:t>
      </w:r>
    </w:p>
    <w:p w14:paraId="66DD0AA0" w14:textId="77777777" w:rsidR="00600B74" w:rsidRDefault="000B3CC5">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Diferentemente do Brasil, onde a Lei nº 14.790/2023 estabelece um modelo tributário uniforme, com retenção de até 12% da receita bruta das operadoras e incidência de Imposto de Renda sobre os ganhos dos apostadores, nos Estados Unidos não existe um regime </w:t>
      </w:r>
      <w:r>
        <w:rPr>
          <w:rFonts w:ascii="Times New Roman" w:eastAsia="Times New Roman" w:hAnsi="Times New Roman" w:cs="Times New Roman"/>
          <w:sz w:val="24"/>
          <w:szCs w:val="24"/>
        </w:rPr>
        <w:t xml:space="preserve">tributário nacional unificado para o setor. </w:t>
      </w:r>
    </w:p>
    <w:p w14:paraId="48ED9728" w14:textId="77777777" w:rsidR="00600B74" w:rsidRDefault="000B3CC5">
      <w:pPr>
        <w:spacing w:after="0" w:line="360" w:lineRule="auto"/>
        <w:ind w:firstLine="709"/>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Estados como Nevada e Nova Jersey possuem regimes próprios, com licenciamento e tributação direta sobre a receita bruta ou líquida das operadoras, conforme regulamento local.</w:t>
      </w:r>
      <w:r>
        <w:rPr>
          <w:rFonts w:ascii="Times New Roman" w:eastAsia="Times New Roman" w:hAnsi="Times New Roman" w:cs="Times New Roman"/>
          <w:color w:val="FF0000"/>
          <w:sz w:val="24"/>
          <w:szCs w:val="24"/>
        </w:rPr>
        <w:t xml:space="preserve"> </w:t>
      </w:r>
    </w:p>
    <w:p w14:paraId="5DCCBD1C" w14:textId="77777777" w:rsidR="00600B74" w:rsidRDefault="000B3CC5">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Nevada, por exemplo, além de um </w:t>
      </w:r>
      <w:r>
        <w:rPr>
          <w:rFonts w:ascii="Times New Roman" w:eastAsia="Times New Roman" w:hAnsi="Times New Roman" w:cs="Times New Roman"/>
          <w:sz w:val="24"/>
          <w:szCs w:val="24"/>
        </w:rPr>
        <w:t xml:space="preserve">rígido controle exercido pelo </w:t>
      </w:r>
      <w:r>
        <w:rPr>
          <w:rFonts w:ascii="Times New Roman" w:eastAsia="Times New Roman" w:hAnsi="Times New Roman" w:cs="Times New Roman"/>
          <w:i/>
          <w:sz w:val="24"/>
          <w:szCs w:val="24"/>
        </w:rPr>
        <w:t>Nevada Gaming Control Board (NGCB)</w:t>
      </w:r>
      <w:r>
        <w:rPr>
          <w:rFonts w:ascii="Times New Roman" w:eastAsia="Times New Roman" w:hAnsi="Times New Roman" w:cs="Times New Roman"/>
          <w:sz w:val="24"/>
          <w:szCs w:val="24"/>
        </w:rPr>
        <w:t xml:space="preserve">, os operadores devem manter sua infraestrutura no território estadual e pagar tributos incidentes sobre a receita proveniente das apostas, especialmente no setor de pôquer online, conforme a </w:t>
      </w:r>
      <w:r>
        <w:rPr>
          <w:rFonts w:ascii="Times New Roman" w:eastAsia="Times New Roman" w:hAnsi="Times New Roman" w:cs="Times New Roman"/>
          <w:i/>
          <w:sz w:val="24"/>
          <w:szCs w:val="24"/>
        </w:rPr>
        <w:t>Nevada Gaming Commission Regulation</w:t>
      </w:r>
      <w:r>
        <w:rPr>
          <w:rFonts w:ascii="Times New Roman" w:eastAsia="Times New Roman" w:hAnsi="Times New Roman" w:cs="Times New Roman"/>
          <w:sz w:val="24"/>
          <w:szCs w:val="24"/>
        </w:rPr>
        <w:t xml:space="preserve">. </w:t>
      </w:r>
    </w:p>
    <w:p w14:paraId="127FC460" w14:textId="77777777" w:rsidR="00600B74" w:rsidRDefault="000B3CC5">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estado arrecadou mais de US$ 15,5 bilhões com jogos em 2023, com uma taxa efetiva de 6,75% sobre a receita bruta (NEVADA GAMING CONTROL BOARD, 2024). Já no estado de Nova Jersey, a arrecadação com jogos atingiu US$ 5</w:t>
      </w:r>
      <w:r>
        <w:rPr>
          <w:rFonts w:ascii="Times New Roman" w:eastAsia="Times New Roman" w:hAnsi="Times New Roman" w:cs="Times New Roman"/>
          <w:sz w:val="24"/>
          <w:szCs w:val="24"/>
        </w:rPr>
        <w:t>,77 bilhões em 2023, representando um crescimento de 10% em relação ao ano anterior (NEW JERSEY DIVISION OF GAMING ENFORCEMENT, 2024).</w:t>
      </w:r>
    </w:p>
    <w:p w14:paraId="4A9D4B40" w14:textId="77777777" w:rsidR="00600B74" w:rsidRDefault="000B3CC5">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disso, operadoras que atuam em reservas indígenas seguem regras específicas estabelecidas pelo </w:t>
      </w:r>
      <w:r>
        <w:rPr>
          <w:rFonts w:ascii="Times New Roman" w:eastAsia="Times New Roman" w:hAnsi="Times New Roman" w:cs="Times New Roman"/>
          <w:i/>
          <w:sz w:val="24"/>
          <w:szCs w:val="24"/>
        </w:rPr>
        <w:t>Indian Gaming Regulat</w:t>
      </w:r>
      <w:r>
        <w:rPr>
          <w:rFonts w:ascii="Times New Roman" w:eastAsia="Times New Roman" w:hAnsi="Times New Roman" w:cs="Times New Roman"/>
          <w:i/>
          <w:sz w:val="24"/>
          <w:szCs w:val="24"/>
        </w:rPr>
        <w:t>ory Act</w:t>
      </w:r>
      <w:r>
        <w:rPr>
          <w:rFonts w:ascii="Times New Roman" w:eastAsia="Times New Roman" w:hAnsi="Times New Roman" w:cs="Times New Roman"/>
          <w:sz w:val="24"/>
          <w:szCs w:val="24"/>
        </w:rPr>
        <w:t xml:space="preserve"> (IGRA), com acordos firmados entre tribos e estados, resultando em regimes tributários autônomos. Paralelamente, a tributação sobre os ganhos dos apostadores, embora também exigida </w:t>
      </w:r>
      <w:r>
        <w:rPr>
          <w:rFonts w:ascii="Times New Roman" w:eastAsia="Times New Roman" w:hAnsi="Times New Roman" w:cs="Times New Roman"/>
          <w:sz w:val="24"/>
          <w:szCs w:val="24"/>
        </w:rPr>
        <w:lastRenderedPageBreak/>
        <w:t xml:space="preserve">pelo </w:t>
      </w:r>
      <w:r>
        <w:rPr>
          <w:rFonts w:ascii="Times New Roman" w:eastAsia="Times New Roman" w:hAnsi="Times New Roman" w:cs="Times New Roman"/>
          <w:i/>
          <w:sz w:val="24"/>
          <w:szCs w:val="24"/>
        </w:rPr>
        <w:t>Internal Revenue Service</w:t>
      </w:r>
      <w:r>
        <w:rPr>
          <w:rFonts w:ascii="Times New Roman" w:eastAsia="Times New Roman" w:hAnsi="Times New Roman" w:cs="Times New Roman"/>
          <w:sz w:val="24"/>
          <w:szCs w:val="24"/>
        </w:rPr>
        <w:t xml:space="preserve"> (IRS)</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depende da declaração dos pr</w:t>
      </w:r>
      <w:r>
        <w:rPr>
          <w:rFonts w:ascii="Times New Roman" w:eastAsia="Times New Roman" w:hAnsi="Times New Roman" w:cs="Times New Roman"/>
          <w:sz w:val="24"/>
          <w:szCs w:val="24"/>
        </w:rPr>
        <w:t>êmios obtidos, cuja fiscalização ocorre de forma individualizada.</w:t>
      </w:r>
    </w:p>
    <w:p w14:paraId="0F5CAED2" w14:textId="77777777" w:rsidR="00600B74" w:rsidRDefault="000B3CC5">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contraposição, o modelo brasileiro, embora mais recente, adota uma abordagem centralizada, com regras unificadas aplicáveis em todo o território nacional. A imposição de uma alíquota de 1</w:t>
      </w:r>
      <w:r>
        <w:rPr>
          <w:rFonts w:ascii="Times New Roman" w:eastAsia="Times New Roman" w:hAnsi="Times New Roman" w:cs="Times New Roman"/>
          <w:sz w:val="24"/>
          <w:szCs w:val="24"/>
        </w:rPr>
        <w:t>5%,</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sobre o lucro líquido dos apostadores, conforme estabelece o artigo 31, §2º, da Lei nº 14.790/2023, bem como a destinação das receitas públicas a áreas como saúde, educação e esporte, demonstra uma tentativa de conjugar os princípios da extrafiscalidad</w:t>
      </w:r>
      <w:r>
        <w:rPr>
          <w:rFonts w:ascii="Times New Roman" w:eastAsia="Times New Roman" w:hAnsi="Times New Roman" w:cs="Times New Roman"/>
          <w:sz w:val="24"/>
          <w:szCs w:val="24"/>
        </w:rPr>
        <w:t xml:space="preserve">e e da justiça distributiva. </w:t>
      </w:r>
    </w:p>
    <w:p w14:paraId="71AB5639" w14:textId="77777777" w:rsidR="00600B74" w:rsidRDefault="000B3CC5">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Nessa toada, a extrafiscalidade tributária, conforme ensina o doutrinador Ricardo Lobo Torres, visa à utilização do tributo não apenas para a arrecadação, mas também como ferramenta para a promoção de objetivos sociais e econô</w:t>
      </w:r>
      <w:r>
        <w:rPr>
          <w:rFonts w:ascii="Times New Roman" w:eastAsia="Times New Roman" w:hAnsi="Times New Roman" w:cs="Times New Roman"/>
          <w:sz w:val="24"/>
          <w:szCs w:val="24"/>
        </w:rPr>
        <w:t>micos, como o financiamento de políticas públicas essenciais (TORRES, 2009). Já o princípio da justiça distributiva, de acordo com o ministro do STF, Alexandre de Moraes, busca assegurar que os recursos públicos sejam aplicados de forma equitativa, promove</w:t>
      </w:r>
      <w:r>
        <w:rPr>
          <w:rFonts w:ascii="Times New Roman" w:eastAsia="Times New Roman" w:hAnsi="Times New Roman" w:cs="Times New Roman"/>
          <w:sz w:val="24"/>
          <w:szCs w:val="24"/>
        </w:rPr>
        <w:t xml:space="preserve">ndo a redução das desigualdades sociais (MORAES, 2021). </w:t>
      </w:r>
    </w:p>
    <w:p w14:paraId="5517C1CA" w14:textId="77777777" w:rsidR="00600B74" w:rsidRDefault="000B3CC5">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Portanto, enquanto os Estados Unidos adotam uma abordagem pluralista e territorializada da tributação, o Brasil opta por um modelo centralizado e uniformizado. Ambas as estratégias apresentam vantage</w:t>
      </w:r>
      <w:r>
        <w:rPr>
          <w:rFonts w:ascii="Times New Roman" w:eastAsia="Times New Roman" w:hAnsi="Times New Roman" w:cs="Times New Roman"/>
          <w:sz w:val="24"/>
          <w:szCs w:val="24"/>
        </w:rPr>
        <w:t>ns e limitações, sendo que a eficácia do regime brasileiro dependerá, em grande medida, de sua capacidade de adaptação às dinâmicas do setor, bem como da articulação entre fiscalização, transparência e estímulo à legalidade.</w:t>
      </w:r>
    </w:p>
    <w:p w14:paraId="0B72509B" w14:textId="77777777" w:rsidR="00600B74" w:rsidRDefault="00600B74">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14:paraId="3B8B0534" w14:textId="77777777" w:rsidR="00600B74" w:rsidRDefault="000B3CC5">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 CONSIDERAÇÕES FINAIS</w:t>
      </w:r>
    </w:p>
    <w:p w14:paraId="5F536CE3" w14:textId="77777777" w:rsidR="00600B74" w:rsidRDefault="000B3CC5">
      <w:pPr>
        <w:spacing w:before="240" w:after="240"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regu</w:t>
      </w:r>
      <w:r>
        <w:rPr>
          <w:rFonts w:ascii="Times New Roman" w:eastAsia="Times New Roman" w:hAnsi="Times New Roman" w:cs="Times New Roman"/>
          <w:sz w:val="24"/>
          <w:szCs w:val="24"/>
        </w:rPr>
        <w:t>lamentação e a tributação das apostas esportivas no Brasil, sob a égide da Lei nº 14.790/2023, representam um marco decisivo na conformação de um setor até então permeado pela informalidade, pela evasão fiscal e pela insegurança jurídica. A partir da promu</w:t>
      </w:r>
      <w:r>
        <w:rPr>
          <w:rFonts w:ascii="Times New Roman" w:eastAsia="Times New Roman" w:hAnsi="Times New Roman" w:cs="Times New Roman"/>
          <w:sz w:val="24"/>
          <w:szCs w:val="24"/>
        </w:rPr>
        <w:t>lgação da referida norma, vislumbra-se não apenas a incorporação desse mercado ao sistema jurídico e tributário nacional, mas também a possibilidade de concretização de interesses públicos relevantes, tais como o incremento da arrecadação, a proteção dos c</w:t>
      </w:r>
      <w:r>
        <w:rPr>
          <w:rFonts w:ascii="Times New Roman" w:eastAsia="Times New Roman" w:hAnsi="Times New Roman" w:cs="Times New Roman"/>
          <w:sz w:val="24"/>
          <w:szCs w:val="24"/>
        </w:rPr>
        <w:t>onsumidores e a prevenção à lavagem de dinheiro.</w:t>
      </w:r>
    </w:p>
    <w:p w14:paraId="1E8527DE" w14:textId="77777777" w:rsidR="00600B74" w:rsidRDefault="000B3CC5">
      <w:pPr>
        <w:spacing w:before="240" w:after="240"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 presente trabalho demonstrou que, embora o ordenamento jurídico brasileiro tenha historicamente adotado postura restritiva quanto aos jogos de azar, a evolução da tecnologia, o crescimento exponencial das </w:t>
      </w:r>
      <w:r>
        <w:rPr>
          <w:rFonts w:ascii="Times New Roman" w:eastAsia="Times New Roman" w:hAnsi="Times New Roman" w:cs="Times New Roman"/>
          <w:sz w:val="24"/>
          <w:szCs w:val="24"/>
        </w:rPr>
        <w:t>plataformas digitais e o interesse econômico envolvido tornaram inevitável a revisão desse paradigma. A nova legislação, nesse sentido, buscou equilibrar os interesses do Estado e da iniciativa privada, estabelecendo diretrizes mínimas para a exploração co</w:t>
      </w:r>
      <w:r>
        <w:rPr>
          <w:rFonts w:ascii="Times New Roman" w:eastAsia="Times New Roman" w:hAnsi="Times New Roman" w:cs="Times New Roman"/>
          <w:sz w:val="24"/>
          <w:szCs w:val="24"/>
        </w:rPr>
        <w:t>mercial das apostas, ao mesmo tempo em que criou exigências fiscais e regulatórias voltadas à higidez do setor.</w:t>
      </w:r>
    </w:p>
    <w:p w14:paraId="75573C99" w14:textId="77777777" w:rsidR="00600B74" w:rsidRDefault="000B3CC5">
      <w:pPr>
        <w:spacing w:before="240" w:after="240"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Contudo, observou-se que a efetividade da tributação sobre as apostas esportivas depende não apenas da edição da lei, mas da implementação de mecanismos eficientes de fiscalização, da integração com órgãos de controle e da cooperação com operadores interna</w:t>
      </w:r>
      <w:r>
        <w:rPr>
          <w:rFonts w:ascii="Times New Roman" w:eastAsia="Times New Roman" w:hAnsi="Times New Roman" w:cs="Times New Roman"/>
          <w:sz w:val="24"/>
          <w:szCs w:val="24"/>
        </w:rPr>
        <w:t>cionais. Ainda há desafios relevantes quanto à delimitação da base de cálculo, à progressividade da carga tributária e à própria segurança jurídica dos investidores. Nesse contexto, a doutrina e a jurisprudência terão papel fundamental na consolidação de i</w:t>
      </w:r>
      <w:r>
        <w:rPr>
          <w:rFonts w:ascii="Times New Roman" w:eastAsia="Times New Roman" w:hAnsi="Times New Roman" w:cs="Times New Roman"/>
          <w:sz w:val="24"/>
          <w:szCs w:val="24"/>
        </w:rPr>
        <w:t>nterpretações que assegurem a coerência e a estabilidade do novo regime jurídico.</w:t>
      </w:r>
    </w:p>
    <w:p w14:paraId="2EBCA854" w14:textId="77777777" w:rsidR="00600B74" w:rsidRDefault="000B3CC5">
      <w:pPr>
        <w:spacing w:before="240" w:after="240"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 disso, destaca-se que o regime tributário estabelecido pela Lei nº 14.790/2023 deve ser constantemente avaliado à luz dos princípios constitucionais da capacidade contri</w:t>
      </w:r>
      <w:r>
        <w:rPr>
          <w:rFonts w:ascii="Times New Roman" w:eastAsia="Times New Roman" w:hAnsi="Times New Roman" w:cs="Times New Roman"/>
          <w:sz w:val="24"/>
          <w:szCs w:val="24"/>
        </w:rPr>
        <w:t>butiva, da razoabilidade e da eficiência, a fim de garantir que a tributação não inviabilize a atividade econômica nem favoreça distorções concorrenciais. Nesse contexto, a função extrafiscal dos tributos assume papel relevante, na medida em que a tributaç</w:t>
      </w:r>
      <w:r>
        <w:rPr>
          <w:rFonts w:ascii="Times New Roman" w:eastAsia="Times New Roman" w:hAnsi="Times New Roman" w:cs="Times New Roman"/>
          <w:sz w:val="24"/>
          <w:szCs w:val="24"/>
        </w:rPr>
        <w:t xml:space="preserve">ão das apostas não se destina exclusivamente à arrecadação, mas também ao cumprimento de finalidades sociais, como o desestímulo ao consumo excessivo, a prevenção da ludopatia e a indução de comportamentos economicamente responsáveis. É imprescindível que </w:t>
      </w:r>
      <w:r>
        <w:rPr>
          <w:rFonts w:ascii="Times New Roman" w:eastAsia="Times New Roman" w:hAnsi="Times New Roman" w:cs="Times New Roman"/>
          <w:sz w:val="24"/>
          <w:szCs w:val="24"/>
        </w:rPr>
        <w:t>o Estado atue como ente regulador e fiscalizador, e não meramente arrecadador, priorizando a transparência, a integridade e a proteção dos envolvidos, utilizando o sistema tributário como instrumento legítimo de intervenção na ordem econômica, conforme aut</w:t>
      </w:r>
      <w:r>
        <w:rPr>
          <w:rFonts w:ascii="Times New Roman" w:eastAsia="Times New Roman" w:hAnsi="Times New Roman" w:cs="Times New Roman"/>
          <w:sz w:val="24"/>
          <w:szCs w:val="24"/>
        </w:rPr>
        <w:t>orizado pela Constituição Federal.</w:t>
      </w:r>
    </w:p>
    <w:p w14:paraId="169263FA" w14:textId="77777777" w:rsidR="00600B74" w:rsidRDefault="000B3CC5">
      <w:pPr>
        <w:spacing w:before="240" w:after="240"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Conclui-se, portanto, que a regulamentação das apostas esportivas no Brasil inaugura uma nova fase na relação entre o Direito, o mercado e a sociedade, exigindo uma atuação proativa do Poder Público e uma vigilância const</w:t>
      </w:r>
      <w:r>
        <w:rPr>
          <w:rFonts w:ascii="Times New Roman" w:eastAsia="Times New Roman" w:hAnsi="Times New Roman" w:cs="Times New Roman"/>
          <w:sz w:val="24"/>
          <w:szCs w:val="24"/>
        </w:rPr>
        <w:t xml:space="preserve">ante da comunidade jurídica quanto aos efeitos econômicos, sociais e tributários decorrentes da exploração dessa atividade. A consolidação de um modelo eficiente, justo e sustentável dependerá do </w:t>
      </w:r>
      <w:r>
        <w:rPr>
          <w:rFonts w:ascii="Times New Roman" w:eastAsia="Times New Roman" w:hAnsi="Times New Roman" w:cs="Times New Roman"/>
          <w:sz w:val="24"/>
          <w:szCs w:val="24"/>
        </w:rPr>
        <w:lastRenderedPageBreak/>
        <w:t>aperfeiçoamento normativo, do amadurecimento institucional e</w:t>
      </w:r>
      <w:r>
        <w:rPr>
          <w:rFonts w:ascii="Times New Roman" w:eastAsia="Times New Roman" w:hAnsi="Times New Roman" w:cs="Times New Roman"/>
          <w:sz w:val="24"/>
          <w:szCs w:val="24"/>
        </w:rPr>
        <w:t xml:space="preserve"> do comprometimento com os valores constitucionais que norteiam a ordem tributária e econômica nacional.</w:t>
      </w:r>
    </w:p>
    <w:p w14:paraId="09122FE9" w14:textId="77777777" w:rsidR="00600B74" w:rsidRDefault="000B3CC5">
      <w:pPr>
        <w:spacing w:before="240" w:after="240" w:line="360"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Nesse cenário, o Imposto Seletivo desponta como ferramenta estratégica de extrafiscalidade, ao permitir que o Estado module os efeitos da atividade eco</w:t>
      </w:r>
      <w:r>
        <w:rPr>
          <w:rFonts w:ascii="Times New Roman" w:eastAsia="Times New Roman" w:hAnsi="Times New Roman" w:cs="Times New Roman"/>
          <w:sz w:val="24"/>
          <w:szCs w:val="24"/>
        </w:rPr>
        <w:t>nômica por meio de incentivos ou desincentivos tributários. Sua aplicação às apostas esportivas representa oportunidade de orientar o setor rumo à responsabilidade social, ao controle dos riscos à saúde pública e à preservação do interesse coletivo, sem co</w:t>
      </w:r>
      <w:r>
        <w:rPr>
          <w:rFonts w:ascii="Times New Roman" w:eastAsia="Times New Roman" w:hAnsi="Times New Roman" w:cs="Times New Roman"/>
          <w:sz w:val="24"/>
          <w:szCs w:val="24"/>
        </w:rPr>
        <w:t>mprometer a viabilidade econômica da atividade. A consolidação de um modelo eficiente, justo e sustentável dependerá, assim, do aperfeiçoamento normativo, do amadurecimento institucional e do comprometimento com os valores constitucionais que norteiam a or</w:t>
      </w:r>
      <w:r>
        <w:rPr>
          <w:rFonts w:ascii="Times New Roman" w:eastAsia="Times New Roman" w:hAnsi="Times New Roman" w:cs="Times New Roman"/>
          <w:sz w:val="24"/>
          <w:szCs w:val="24"/>
        </w:rPr>
        <w:t>dem tributária e econômica nacional, valores esses que legitimam o uso inteligente da tributação como instrumento de política pública.</w:t>
      </w:r>
    </w:p>
    <w:p w14:paraId="19C4B911" w14:textId="77777777" w:rsidR="00600B74" w:rsidRDefault="00600B74">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14:paraId="2AFC763A" w14:textId="061C166A" w:rsidR="00600B74" w:rsidRDefault="000B3CC5" w:rsidP="0051144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REFERÊNCIAS</w:t>
      </w:r>
    </w:p>
    <w:p w14:paraId="325059A0" w14:textId="77777777" w:rsidR="00600B74" w:rsidRDefault="00600B74">
      <w:pPr>
        <w:spacing w:after="0" w:line="360" w:lineRule="auto"/>
        <w:jc w:val="both"/>
        <w:rPr>
          <w:rFonts w:ascii="Times New Roman" w:eastAsia="Times New Roman" w:hAnsi="Times New Roman" w:cs="Times New Roman"/>
          <w:sz w:val="24"/>
          <w:szCs w:val="24"/>
        </w:rPr>
      </w:pPr>
    </w:p>
    <w:p w14:paraId="4F8B1EB3" w14:textId="77777777" w:rsidR="00600B74" w:rsidRDefault="000B3C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ALEXANDRE, Ricardo. </w:t>
      </w:r>
      <w:r w:rsidRPr="00511444">
        <w:rPr>
          <w:rFonts w:ascii="Times New Roman" w:eastAsia="Times New Roman" w:hAnsi="Times New Roman" w:cs="Times New Roman"/>
          <w:b/>
          <w:bCs/>
          <w:iCs/>
          <w:sz w:val="24"/>
          <w:szCs w:val="24"/>
        </w:rPr>
        <w:t>Direito tributário esquematizado</w:t>
      </w:r>
      <w:r>
        <w:rPr>
          <w:rFonts w:ascii="Times New Roman" w:eastAsia="Times New Roman" w:hAnsi="Times New Roman" w:cs="Times New Roman"/>
          <w:sz w:val="24"/>
          <w:szCs w:val="24"/>
        </w:rPr>
        <w:t>. 19. ed. rev. e atual. Salvador: Juspodivm, 2024.</w:t>
      </w:r>
    </w:p>
    <w:p w14:paraId="27258F1F" w14:textId="77777777" w:rsidR="00600B74" w:rsidRDefault="00600B74">
      <w:pPr>
        <w:spacing w:after="0" w:line="240" w:lineRule="auto"/>
        <w:jc w:val="both"/>
        <w:rPr>
          <w:rFonts w:ascii="Times New Roman" w:eastAsia="Times New Roman" w:hAnsi="Times New Roman" w:cs="Times New Roman"/>
          <w:sz w:val="24"/>
          <w:szCs w:val="24"/>
        </w:rPr>
      </w:pPr>
    </w:p>
    <w:p w14:paraId="66F066C9" w14:textId="77777777" w:rsidR="00600B74" w:rsidRPr="00511444" w:rsidRDefault="000B3CC5">
      <w:pPr>
        <w:spacing w:after="0" w:line="240" w:lineRule="auto"/>
        <w:jc w:val="both"/>
        <w:rPr>
          <w:rFonts w:ascii="Times New Roman" w:eastAsia="Times New Roman" w:hAnsi="Times New Roman" w:cs="Times New Roman"/>
          <w:sz w:val="24"/>
          <w:szCs w:val="24"/>
          <w:lang w:val="en-US"/>
        </w:rPr>
      </w:pPr>
      <w:r w:rsidRPr="00511444">
        <w:rPr>
          <w:rFonts w:ascii="Times New Roman" w:eastAsia="Times New Roman" w:hAnsi="Times New Roman" w:cs="Times New Roman"/>
          <w:sz w:val="24"/>
          <w:szCs w:val="24"/>
          <w:lang w:val="en-US"/>
        </w:rPr>
        <w:t xml:space="preserve">AMERICAN GAMING ASSOCIATION. </w:t>
      </w:r>
      <w:r w:rsidRPr="00FF17F2">
        <w:rPr>
          <w:rFonts w:ascii="Times New Roman" w:eastAsia="Times New Roman" w:hAnsi="Times New Roman" w:cs="Times New Roman"/>
          <w:b/>
          <w:bCs/>
          <w:i/>
          <w:sz w:val="24"/>
          <w:szCs w:val="24"/>
          <w:lang w:val="en-US"/>
        </w:rPr>
        <w:t>State of the states 2024: the AGA survey of the commercial casino industry</w:t>
      </w:r>
      <w:r w:rsidRPr="00FF17F2">
        <w:rPr>
          <w:rFonts w:ascii="Times New Roman" w:eastAsia="Times New Roman" w:hAnsi="Times New Roman" w:cs="Times New Roman"/>
          <w:b/>
          <w:bCs/>
          <w:i/>
          <w:sz w:val="24"/>
          <w:szCs w:val="24"/>
          <w:lang w:val="en-US"/>
        </w:rPr>
        <w:t>.</w:t>
      </w:r>
      <w:r w:rsidRPr="0051144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[S. l.], 2024. Disponível em: </w:t>
      </w:r>
      <w:hyperlink r:id="rId7">
        <w:r>
          <w:rPr>
            <w:rFonts w:ascii="Times New Roman" w:eastAsia="Times New Roman" w:hAnsi="Times New Roman" w:cs="Times New Roman"/>
            <w:color w:val="000000"/>
            <w:sz w:val="24"/>
            <w:szCs w:val="24"/>
            <w:u w:val="single"/>
          </w:rPr>
          <w:t>https://www.americangaming.org/resources/state-of-the-states-2024/</w:t>
        </w:r>
      </w:hyperlink>
      <w:r>
        <w:rPr>
          <w:rFonts w:ascii="Times New Roman" w:eastAsia="Times New Roman" w:hAnsi="Times New Roman" w:cs="Times New Roman"/>
          <w:sz w:val="24"/>
          <w:szCs w:val="24"/>
        </w:rPr>
        <w:t xml:space="preserve">. </w:t>
      </w:r>
      <w:r w:rsidRPr="00511444">
        <w:rPr>
          <w:rFonts w:ascii="Times New Roman" w:eastAsia="Times New Roman" w:hAnsi="Times New Roman" w:cs="Times New Roman"/>
          <w:sz w:val="24"/>
          <w:szCs w:val="24"/>
          <w:lang w:val="en-US"/>
        </w:rPr>
        <w:t>Acesso em: 8 maio 2025.</w:t>
      </w:r>
    </w:p>
    <w:p w14:paraId="2FA414A6" w14:textId="77777777" w:rsidR="00600B74" w:rsidRPr="00511444" w:rsidRDefault="00600B74">
      <w:pPr>
        <w:spacing w:after="0" w:line="240" w:lineRule="auto"/>
        <w:jc w:val="both"/>
        <w:rPr>
          <w:rFonts w:ascii="Times New Roman" w:eastAsia="Times New Roman" w:hAnsi="Times New Roman" w:cs="Times New Roman"/>
          <w:sz w:val="24"/>
          <w:szCs w:val="24"/>
          <w:lang w:val="en-US"/>
        </w:rPr>
      </w:pPr>
    </w:p>
    <w:p w14:paraId="44B8DFCC" w14:textId="77777777" w:rsidR="00600B74" w:rsidRDefault="000B3CC5">
      <w:pPr>
        <w:spacing w:after="0" w:line="240" w:lineRule="auto"/>
        <w:jc w:val="both"/>
        <w:rPr>
          <w:rFonts w:ascii="Times New Roman" w:eastAsia="Times New Roman" w:hAnsi="Times New Roman" w:cs="Times New Roman"/>
          <w:sz w:val="24"/>
          <w:szCs w:val="24"/>
        </w:rPr>
      </w:pPr>
      <w:r w:rsidRPr="00511444">
        <w:rPr>
          <w:rFonts w:ascii="Times New Roman" w:eastAsia="Times New Roman" w:hAnsi="Times New Roman" w:cs="Times New Roman"/>
          <w:sz w:val="24"/>
          <w:szCs w:val="24"/>
          <w:lang w:val="en-US"/>
        </w:rPr>
        <w:t>AMERICAN PSYCHIATRIC ASSOCIATION</w:t>
      </w:r>
      <w:r w:rsidRPr="00FF17F2">
        <w:rPr>
          <w:rFonts w:ascii="Times New Roman" w:eastAsia="Times New Roman" w:hAnsi="Times New Roman" w:cs="Times New Roman"/>
          <w:b/>
          <w:bCs/>
          <w:i/>
          <w:iCs/>
          <w:sz w:val="24"/>
          <w:szCs w:val="24"/>
          <w:lang w:val="en-US"/>
        </w:rPr>
        <w:t xml:space="preserve">. </w:t>
      </w:r>
      <w:r w:rsidRPr="00FF17F2">
        <w:rPr>
          <w:rFonts w:ascii="Times New Roman" w:eastAsia="Times New Roman" w:hAnsi="Times New Roman" w:cs="Times New Roman"/>
          <w:b/>
          <w:bCs/>
          <w:i/>
          <w:iCs/>
          <w:sz w:val="24"/>
          <w:szCs w:val="24"/>
          <w:lang w:val="en-US"/>
        </w:rPr>
        <w:t>Diagnostic and statistical manual of mental disorders: DSM-5</w:t>
      </w:r>
      <w:r w:rsidRPr="0051144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5. ed. Arlington: American Psychiatric Publishing,</w:t>
      </w:r>
      <w:r>
        <w:rPr>
          <w:rFonts w:ascii="Times New Roman" w:eastAsia="Times New Roman" w:hAnsi="Times New Roman" w:cs="Times New Roman"/>
          <w:sz w:val="24"/>
          <w:szCs w:val="24"/>
        </w:rPr>
        <w:t xml:space="preserve"> 2014.</w:t>
      </w:r>
    </w:p>
    <w:p w14:paraId="036E777F" w14:textId="77777777" w:rsidR="00600B74" w:rsidRDefault="00600B74">
      <w:pPr>
        <w:spacing w:after="0" w:line="240" w:lineRule="auto"/>
        <w:jc w:val="both"/>
        <w:rPr>
          <w:rFonts w:ascii="Times New Roman" w:eastAsia="Times New Roman" w:hAnsi="Times New Roman" w:cs="Times New Roman"/>
          <w:sz w:val="24"/>
          <w:szCs w:val="24"/>
        </w:rPr>
      </w:pPr>
    </w:p>
    <w:p w14:paraId="3FEAE335" w14:textId="77777777" w:rsidR="00600B74" w:rsidRPr="00511444" w:rsidRDefault="000B3CC5">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ARAÚJO, J. V. de O.; SILVA, D. J. de S.; ACIOLI, B. de L. </w:t>
      </w:r>
      <w:r w:rsidRPr="00FF17F2">
        <w:rPr>
          <w:rFonts w:ascii="Times New Roman" w:eastAsia="Times New Roman" w:hAnsi="Times New Roman" w:cs="Times New Roman"/>
          <w:b/>
          <w:bCs/>
          <w:sz w:val="24"/>
          <w:szCs w:val="24"/>
        </w:rPr>
        <w:t>Legalização dos jogos de azar no Brasil: uma análise sobre seus possíveis benefícios.</w:t>
      </w:r>
      <w:r>
        <w:rPr>
          <w:rFonts w:ascii="Times New Roman" w:eastAsia="Times New Roman" w:hAnsi="Times New Roman" w:cs="Times New Roman"/>
          <w:sz w:val="24"/>
          <w:szCs w:val="24"/>
        </w:rPr>
        <w:t xml:space="preserve"> </w:t>
      </w:r>
      <w:r w:rsidRPr="00511444">
        <w:rPr>
          <w:rFonts w:ascii="Times New Roman" w:eastAsia="Times New Roman" w:hAnsi="Times New Roman" w:cs="Times New Roman"/>
          <w:i/>
          <w:sz w:val="24"/>
          <w:szCs w:val="24"/>
          <w:lang w:val="en-US"/>
        </w:rPr>
        <w:t>Brazilian Journal of Development</w:t>
      </w:r>
      <w:r w:rsidRPr="00511444">
        <w:rPr>
          <w:rFonts w:ascii="Times New Roman" w:eastAsia="Times New Roman" w:hAnsi="Times New Roman" w:cs="Times New Roman"/>
          <w:sz w:val="24"/>
          <w:szCs w:val="24"/>
          <w:lang w:val="en-US"/>
        </w:rPr>
        <w:t xml:space="preserve">, Curitiba, v. 9, n. 9, p. 25886–25901, 2023. DOI: </w:t>
      </w:r>
      <w:hyperlink r:id="rId8">
        <w:r w:rsidRPr="00511444">
          <w:rPr>
            <w:rFonts w:ascii="Times New Roman" w:eastAsia="Times New Roman" w:hAnsi="Times New Roman" w:cs="Times New Roman"/>
            <w:color w:val="000000"/>
            <w:sz w:val="24"/>
            <w:szCs w:val="24"/>
            <w:u w:val="single"/>
            <w:lang w:val="en-US"/>
          </w:rPr>
          <w:t>https://doi.org/10.34117/bjdv9n9-021</w:t>
        </w:r>
      </w:hyperlink>
      <w:r w:rsidRPr="00511444">
        <w:rPr>
          <w:rFonts w:ascii="Times New Roman" w:eastAsia="Times New Roman" w:hAnsi="Times New Roman" w:cs="Times New Roman"/>
          <w:sz w:val="24"/>
          <w:szCs w:val="24"/>
          <w:lang w:val="en-US"/>
        </w:rPr>
        <w:t>.</w:t>
      </w:r>
    </w:p>
    <w:p w14:paraId="311B3834" w14:textId="77777777" w:rsidR="00600B74" w:rsidRPr="00511444" w:rsidRDefault="00600B74">
      <w:pPr>
        <w:spacing w:after="0" w:line="240" w:lineRule="auto"/>
        <w:jc w:val="both"/>
        <w:rPr>
          <w:rFonts w:ascii="Times New Roman" w:eastAsia="Times New Roman" w:hAnsi="Times New Roman" w:cs="Times New Roman"/>
          <w:sz w:val="24"/>
          <w:szCs w:val="24"/>
          <w:lang w:val="en-US"/>
        </w:rPr>
      </w:pPr>
    </w:p>
    <w:p w14:paraId="7C47F575" w14:textId="77777777" w:rsidR="00600B74" w:rsidRDefault="000B3C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COUTO E SILVA, Clóvis do. </w:t>
      </w:r>
      <w:r w:rsidRPr="00FF17F2">
        <w:rPr>
          <w:rFonts w:ascii="Times New Roman" w:eastAsia="Times New Roman" w:hAnsi="Times New Roman" w:cs="Times New Roman"/>
          <w:b/>
          <w:bCs/>
          <w:iCs/>
          <w:sz w:val="24"/>
          <w:szCs w:val="24"/>
        </w:rPr>
        <w:t>A obrigação como processo</w:t>
      </w:r>
      <w:r>
        <w:rPr>
          <w:rFonts w:ascii="Times New Roman" w:eastAsia="Times New Roman" w:hAnsi="Times New Roman" w:cs="Times New Roman"/>
          <w:sz w:val="24"/>
          <w:szCs w:val="24"/>
        </w:rPr>
        <w:t>. São Paulo: José Bushatsky, 1976.</w:t>
      </w:r>
    </w:p>
    <w:p w14:paraId="6FA09026" w14:textId="77777777" w:rsidR="00600B74" w:rsidRDefault="00600B74">
      <w:pPr>
        <w:spacing w:after="0" w:line="240" w:lineRule="auto"/>
        <w:jc w:val="both"/>
        <w:rPr>
          <w:rFonts w:ascii="Times New Roman" w:eastAsia="Times New Roman" w:hAnsi="Times New Roman" w:cs="Times New Roman"/>
          <w:sz w:val="24"/>
          <w:szCs w:val="24"/>
        </w:rPr>
      </w:pPr>
    </w:p>
    <w:p w14:paraId="7DC6EB60" w14:textId="77777777" w:rsidR="00600B74" w:rsidRPr="00511444" w:rsidRDefault="000B3CC5">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DE OLIVEIRA BUSTAMANTE, Aline; SILVÉRIO RAMOS, José Eduardo. A tributação em casas de apostas e</w:t>
      </w:r>
      <w:r>
        <w:rPr>
          <w:rFonts w:ascii="Times New Roman" w:eastAsia="Times New Roman" w:hAnsi="Times New Roman" w:cs="Times New Roman"/>
          <w:sz w:val="24"/>
          <w:szCs w:val="24"/>
        </w:rPr>
        <w:t xml:space="preserve">sportivas: uma análise à luz da Lei 14.790/23. </w:t>
      </w:r>
      <w:r w:rsidRPr="00FF17F2">
        <w:rPr>
          <w:rFonts w:ascii="Times New Roman" w:eastAsia="Times New Roman" w:hAnsi="Times New Roman" w:cs="Times New Roman"/>
          <w:b/>
          <w:bCs/>
          <w:iCs/>
          <w:sz w:val="24"/>
          <w:szCs w:val="24"/>
        </w:rPr>
        <w:t>Repositório dos Trabalhos de Curso da Faculdade de Direito de Cachoeiro de Itapemirim</w:t>
      </w:r>
      <w:r>
        <w:rPr>
          <w:rFonts w:ascii="Times New Roman" w:eastAsia="Times New Roman" w:hAnsi="Times New Roman" w:cs="Times New Roman"/>
          <w:sz w:val="24"/>
          <w:szCs w:val="24"/>
        </w:rPr>
        <w:t xml:space="preserve">, Cachoeiro de Itapemirim, v. 3, n. 1, 2025. Disponível em: </w:t>
      </w:r>
      <w:hyperlink r:id="rId9">
        <w:r>
          <w:rPr>
            <w:rFonts w:ascii="Times New Roman" w:eastAsia="Times New Roman" w:hAnsi="Times New Roman" w:cs="Times New Roman"/>
            <w:color w:val="000000"/>
            <w:sz w:val="24"/>
            <w:szCs w:val="24"/>
            <w:u w:val="single"/>
          </w:rPr>
          <w:t>https://repositorio.fdci.edu.br/index.php/repositorio/article/view/278</w:t>
        </w:r>
      </w:hyperlink>
      <w:r>
        <w:rPr>
          <w:rFonts w:ascii="Times New Roman" w:eastAsia="Times New Roman" w:hAnsi="Times New Roman" w:cs="Times New Roman"/>
          <w:sz w:val="24"/>
          <w:szCs w:val="24"/>
        </w:rPr>
        <w:t xml:space="preserve">. </w:t>
      </w:r>
      <w:r w:rsidRPr="00511444">
        <w:rPr>
          <w:rFonts w:ascii="Times New Roman" w:eastAsia="Times New Roman" w:hAnsi="Times New Roman" w:cs="Times New Roman"/>
          <w:sz w:val="24"/>
          <w:szCs w:val="24"/>
          <w:lang w:val="en-US"/>
        </w:rPr>
        <w:t>Acesso em: 16 abr. 2025.</w:t>
      </w:r>
    </w:p>
    <w:p w14:paraId="5340BF87" w14:textId="77777777" w:rsidR="00600B74" w:rsidRPr="00511444" w:rsidRDefault="00600B74">
      <w:pPr>
        <w:spacing w:after="0" w:line="240" w:lineRule="auto"/>
        <w:jc w:val="both"/>
        <w:rPr>
          <w:rFonts w:ascii="Times New Roman" w:eastAsia="Times New Roman" w:hAnsi="Times New Roman" w:cs="Times New Roman"/>
          <w:sz w:val="24"/>
          <w:szCs w:val="24"/>
          <w:lang w:val="en-US"/>
        </w:rPr>
      </w:pPr>
    </w:p>
    <w:p w14:paraId="76008F68" w14:textId="77777777" w:rsidR="00600B74" w:rsidRDefault="000B3CC5">
      <w:pPr>
        <w:spacing w:after="0" w:line="240" w:lineRule="auto"/>
        <w:jc w:val="both"/>
        <w:rPr>
          <w:rFonts w:ascii="Times New Roman" w:eastAsia="Times New Roman" w:hAnsi="Times New Roman" w:cs="Times New Roman"/>
          <w:sz w:val="24"/>
          <w:szCs w:val="24"/>
        </w:rPr>
      </w:pPr>
      <w:r w:rsidRPr="00511444">
        <w:rPr>
          <w:rFonts w:ascii="Times New Roman" w:eastAsia="Times New Roman" w:hAnsi="Times New Roman" w:cs="Times New Roman"/>
          <w:sz w:val="24"/>
          <w:szCs w:val="24"/>
          <w:lang w:val="en-US"/>
        </w:rPr>
        <w:t xml:space="preserve">EUROPEAN GAMBLING &amp; BETTING ASSOCIATION. </w:t>
      </w:r>
      <w:r w:rsidRPr="00FF17F2">
        <w:rPr>
          <w:rFonts w:ascii="Times New Roman" w:eastAsia="Times New Roman" w:hAnsi="Times New Roman" w:cs="Times New Roman"/>
          <w:b/>
          <w:bCs/>
          <w:i/>
          <w:sz w:val="24"/>
          <w:szCs w:val="24"/>
          <w:lang w:val="en-US"/>
        </w:rPr>
        <w:t>Annual activity report 2023</w:t>
      </w:r>
      <w:r w:rsidRPr="00FF17F2">
        <w:rPr>
          <w:rFonts w:ascii="Times New Roman" w:eastAsia="Times New Roman" w:hAnsi="Times New Roman" w:cs="Times New Roman"/>
          <w:i/>
          <w:sz w:val="24"/>
          <w:szCs w:val="24"/>
          <w:lang w:val="en-US"/>
        </w:rPr>
        <w:t>.</w:t>
      </w:r>
      <w:r w:rsidRPr="0051144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Bruxelas, 2024. Disponível em: </w:t>
      </w:r>
      <w:hyperlink r:id="rId10">
        <w:r>
          <w:rPr>
            <w:rFonts w:ascii="Times New Roman" w:eastAsia="Times New Roman" w:hAnsi="Times New Roman" w:cs="Times New Roman"/>
            <w:color w:val="000000"/>
            <w:sz w:val="24"/>
            <w:szCs w:val="24"/>
            <w:u w:val="single"/>
          </w:rPr>
          <w:t>https://www.egba.eu/publications/</w:t>
        </w:r>
      </w:hyperlink>
      <w:r>
        <w:rPr>
          <w:rFonts w:ascii="Times New Roman" w:eastAsia="Times New Roman" w:hAnsi="Times New Roman" w:cs="Times New Roman"/>
          <w:sz w:val="24"/>
          <w:szCs w:val="24"/>
        </w:rPr>
        <w:t>. Acesso em: 8 maio 2025.</w:t>
      </w:r>
    </w:p>
    <w:p w14:paraId="0E8A822B" w14:textId="77777777" w:rsidR="00600B74" w:rsidRDefault="00600B74">
      <w:pPr>
        <w:spacing w:after="0" w:line="240" w:lineRule="auto"/>
        <w:jc w:val="both"/>
        <w:rPr>
          <w:rFonts w:ascii="Times New Roman" w:eastAsia="Times New Roman" w:hAnsi="Times New Roman" w:cs="Times New Roman"/>
          <w:sz w:val="24"/>
          <w:szCs w:val="24"/>
        </w:rPr>
      </w:pPr>
    </w:p>
    <w:p w14:paraId="72B068FC" w14:textId="77777777" w:rsidR="00600B74" w:rsidRDefault="000B3C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FERNANDES, M. A. M. </w:t>
      </w:r>
      <w:r w:rsidRPr="00FF17F2">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xml:space="preserve">. </w:t>
      </w:r>
      <w:r w:rsidRPr="00FF17F2">
        <w:rPr>
          <w:rFonts w:ascii="Times New Roman" w:eastAsia="Times New Roman" w:hAnsi="Times New Roman" w:cs="Times New Roman"/>
          <w:b/>
          <w:bCs/>
          <w:sz w:val="24"/>
          <w:szCs w:val="24"/>
        </w:rPr>
        <w:t>Apostas online e saúde mental: uma análise sobre os impactos da ludopatia no Brasil</w:t>
      </w:r>
      <w:r w:rsidRPr="00FF17F2">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FF17F2">
        <w:rPr>
          <w:rFonts w:ascii="Times New Roman" w:eastAsia="Times New Roman" w:hAnsi="Times New Roman" w:cs="Times New Roman"/>
          <w:iCs/>
          <w:sz w:val="24"/>
          <w:szCs w:val="24"/>
        </w:rPr>
        <w:t>Revista Brasileira de Psiquiatria</w:t>
      </w:r>
      <w:r>
        <w:rPr>
          <w:rFonts w:ascii="Times New Roman" w:eastAsia="Times New Roman" w:hAnsi="Times New Roman" w:cs="Times New Roman"/>
          <w:sz w:val="24"/>
          <w:szCs w:val="24"/>
        </w:rPr>
        <w:t>, v. 43, n. 4, p. 301–309, 2021.</w:t>
      </w:r>
    </w:p>
    <w:p w14:paraId="74B882AE" w14:textId="77777777" w:rsidR="00600B74" w:rsidRDefault="00600B74">
      <w:pPr>
        <w:spacing w:after="0" w:line="240" w:lineRule="auto"/>
        <w:jc w:val="both"/>
        <w:rPr>
          <w:rFonts w:ascii="Times New Roman" w:eastAsia="Times New Roman" w:hAnsi="Times New Roman" w:cs="Times New Roman"/>
          <w:sz w:val="24"/>
          <w:szCs w:val="24"/>
        </w:rPr>
      </w:pPr>
    </w:p>
    <w:p w14:paraId="657A4638" w14:textId="77777777" w:rsidR="00600B74" w:rsidRDefault="000B3C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G1. Governo analisa forma de proibir que dinheiro do Bolsa Família seja usado em apostas online. </w:t>
      </w:r>
      <w:r w:rsidRPr="00FF17F2">
        <w:rPr>
          <w:rFonts w:ascii="Times New Roman" w:eastAsia="Times New Roman" w:hAnsi="Times New Roman" w:cs="Times New Roman"/>
          <w:b/>
          <w:bCs/>
          <w:iCs/>
          <w:sz w:val="24"/>
          <w:szCs w:val="24"/>
        </w:rPr>
        <w:t>Jornal Nacional</w:t>
      </w:r>
      <w:r>
        <w:rPr>
          <w:rFonts w:ascii="Times New Roman" w:eastAsia="Times New Roman" w:hAnsi="Times New Roman" w:cs="Times New Roman"/>
          <w:sz w:val="24"/>
          <w:szCs w:val="24"/>
        </w:rPr>
        <w:t xml:space="preserve">, 27 set. 2024. Disponível em: </w:t>
      </w:r>
      <w:hyperlink r:id="rId11">
        <w:r>
          <w:rPr>
            <w:rFonts w:ascii="Times New Roman" w:eastAsia="Times New Roman" w:hAnsi="Times New Roman" w:cs="Times New Roman"/>
            <w:color w:val="000000"/>
            <w:sz w:val="24"/>
            <w:szCs w:val="24"/>
            <w:u w:val="single"/>
          </w:rPr>
          <w:t>https://g1.globo.com/jornal-nacional/noticia/2024/09/27/governo-analisa-forma-de-proi</w:t>
        </w:r>
        <w:r>
          <w:rPr>
            <w:rFonts w:ascii="Times New Roman" w:eastAsia="Times New Roman" w:hAnsi="Times New Roman" w:cs="Times New Roman"/>
            <w:color w:val="000000"/>
            <w:sz w:val="24"/>
            <w:szCs w:val="24"/>
            <w:u w:val="single"/>
          </w:rPr>
          <w:t>bir-que-dinheiro-do-bolsa-familia-seja-usado-em-apostas-online.ghtml</w:t>
        </w:r>
      </w:hyperlink>
      <w:r>
        <w:rPr>
          <w:rFonts w:ascii="Times New Roman" w:eastAsia="Times New Roman" w:hAnsi="Times New Roman" w:cs="Times New Roman"/>
          <w:sz w:val="24"/>
          <w:szCs w:val="24"/>
        </w:rPr>
        <w:t>. Acesso em: 12 maio 2025.</w:t>
      </w:r>
    </w:p>
    <w:p w14:paraId="1EE4B9AC" w14:textId="77777777" w:rsidR="00600B74" w:rsidRDefault="00600B74">
      <w:pPr>
        <w:spacing w:after="0" w:line="240" w:lineRule="auto"/>
        <w:jc w:val="both"/>
        <w:rPr>
          <w:rFonts w:ascii="Times New Roman" w:eastAsia="Times New Roman" w:hAnsi="Times New Roman" w:cs="Times New Roman"/>
          <w:sz w:val="24"/>
          <w:szCs w:val="24"/>
        </w:rPr>
      </w:pPr>
    </w:p>
    <w:p w14:paraId="47B3C178" w14:textId="77777777" w:rsidR="00600B74" w:rsidRDefault="000B3C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G1. TCU alerta para risco de paralisação da máquina pública até 2028 com alta das despesas obrigatórias. </w:t>
      </w:r>
      <w:r w:rsidRPr="00FF17F2">
        <w:rPr>
          <w:rFonts w:ascii="Times New Roman" w:eastAsia="Times New Roman" w:hAnsi="Times New Roman" w:cs="Times New Roman"/>
          <w:b/>
          <w:bCs/>
          <w:iCs/>
          <w:sz w:val="24"/>
          <w:szCs w:val="24"/>
        </w:rPr>
        <w:t>G1 Economia</w:t>
      </w:r>
      <w:r>
        <w:rPr>
          <w:rFonts w:ascii="Times New Roman" w:eastAsia="Times New Roman" w:hAnsi="Times New Roman" w:cs="Times New Roman"/>
          <w:sz w:val="24"/>
          <w:szCs w:val="24"/>
        </w:rPr>
        <w:t xml:space="preserve">, 22 ago. 2024. Disponível em: </w:t>
      </w:r>
      <w:hyperlink r:id="rId12">
        <w:r>
          <w:rPr>
            <w:rFonts w:ascii="Times New Roman" w:eastAsia="Times New Roman" w:hAnsi="Times New Roman" w:cs="Times New Roman"/>
            <w:color w:val="000000"/>
            <w:sz w:val="24"/>
            <w:szCs w:val="24"/>
            <w:u w:val="single"/>
          </w:rPr>
          <w:t>https://g1.globo.com/economia/noticia/2024/08/22/tcu-alerta-para-risco-de-paralisacao-da-maquin</w:t>
        </w:r>
        <w:r>
          <w:rPr>
            <w:rFonts w:ascii="Times New Roman" w:eastAsia="Times New Roman" w:hAnsi="Times New Roman" w:cs="Times New Roman"/>
            <w:color w:val="000000"/>
            <w:sz w:val="24"/>
            <w:szCs w:val="24"/>
            <w:u w:val="single"/>
          </w:rPr>
          <w:t>a-publica-ate-2028-com-alta-das-despesas-obrigatorias.ghtml</w:t>
        </w:r>
      </w:hyperlink>
      <w:r>
        <w:rPr>
          <w:rFonts w:ascii="Times New Roman" w:eastAsia="Times New Roman" w:hAnsi="Times New Roman" w:cs="Times New Roman"/>
          <w:sz w:val="24"/>
          <w:szCs w:val="24"/>
        </w:rPr>
        <w:t>. Acesso em: 8 maio 2025.</w:t>
      </w:r>
    </w:p>
    <w:p w14:paraId="5611E518" w14:textId="77777777" w:rsidR="00600B74" w:rsidRDefault="00600B74">
      <w:pPr>
        <w:spacing w:after="0" w:line="240" w:lineRule="auto"/>
        <w:jc w:val="both"/>
        <w:rPr>
          <w:rFonts w:ascii="Times New Roman" w:eastAsia="Times New Roman" w:hAnsi="Times New Roman" w:cs="Times New Roman"/>
          <w:sz w:val="24"/>
          <w:szCs w:val="24"/>
        </w:rPr>
      </w:pPr>
    </w:p>
    <w:p w14:paraId="078EB505" w14:textId="77777777" w:rsidR="00600B74" w:rsidRDefault="000B3C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G1. TCU alerta risco de colapso nas contas públicas até 2028. </w:t>
      </w:r>
      <w:r w:rsidRPr="00FF17F2">
        <w:rPr>
          <w:rFonts w:ascii="Times New Roman" w:eastAsia="Times New Roman" w:hAnsi="Times New Roman" w:cs="Times New Roman"/>
          <w:b/>
          <w:bCs/>
          <w:iCs/>
          <w:sz w:val="24"/>
          <w:szCs w:val="24"/>
        </w:rPr>
        <w:t>G1 Economia</w:t>
      </w:r>
      <w:r>
        <w:rPr>
          <w:rFonts w:ascii="Times New Roman" w:eastAsia="Times New Roman" w:hAnsi="Times New Roman" w:cs="Times New Roman"/>
          <w:sz w:val="24"/>
          <w:szCs w:val="24"/>
        </w:rPr>
        <w:t xml:space="preserve">, 30 abr. 2024. Disponível em: </w:t>
      </w:r>
      <w:hyperlink r:id="rId13">
        <w:r>
          <w:rPr>
            <w:rFonts w:ascii="Times New Roman" w:eastAsia="Times New Roman" w:hAnsi="Times New Roman" w:cs="Times New Roman"/>
            <w:color w:val="000000"/>
            <w:sz w:val="24"/>
            <w:szCs w:val="24"/>
            <w:u w:val="single"/>
          </w:rPr>
          <w:t>https://g1.globo.com/economia/noticia/2024/04/30/tcu-alerta-risco-de-colapso.ghtml</w:t>
        </w:r>
      </w:hyperlink>
      <w:r>
        <w:rPr>
          <w:rFonts w:ascii="Times New Roman" w:eastAsia="Times New Roman" w:hAnsi="Times New Roman" w:cs="Times New Roman"/>
          <w:sz w:val="24"/>
          <w:szCs w:val="24"/>
        </w:rPr>
        <w:t>. Acesso em: 10 maio 2025.</w:t>
      </w:r>
    </w:p>
    <w:p w14:paraId="08C3387E" w14:textId="77777777" w:rsidR="00600B74" w:rsidRDefault="00600B74">
      <w:pPr>
        <w:spacing w:after="0" w:line="240" w:lineRule="auto"/>
        <w:jc w:val="both"/>
        <w:rPr>
          <w:rFonts w:ascii="Times New Roman" w:eastAsia="Times New Roman" w:hAnsi="Times New Roman" w:cs="Times New Roman"/>
          <w:sz w:val="24"/>
          <w:szCs w:val="24"/>
        </w:rPr>
      </w:pPr>
    </w:p>
    <w:p w14:paraId="445AEBAD" w14:textId="77777777" w:rsidR="00600B74" w:rsidRPr="00511444" w:rsidRDefault="000B3CC5">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INTERNAL REVENUE SERVICE</w:t>
      </w:r>
      <w:r w:rsidRPr="00FF17F2">
        <w:rPr>
          <w:rFonts w:ascii="Times New Roman" w:eastAsia="Times New Roman" w:hAnsi="Times New Roman" w:cs="Times New Roman"/>
          <w:i/>
          <w:iCs/>
          <w:sz w:val="24"/>
          <w:szCs w:val="24"/>
        </w:rPr>
        <w:t xml:space="preserve">. </w:t>
      </w:r>
      <w:r w:rsidRPr="00FF17F2">
        <w:rPr>
          <w:rFonts w:ascii="Times New Roman" w:eastAsia="Times New Roman" w:hAnsi="Times New Roman" w:cs="Times New Roman"/>
          <w:b/>
          <w:bCs/>
          <w:i/>
          <w:iCs/>
          <w:sz w:val="24"/>
          <w:szCs w:val="24"/>
        </w:rPr>
        <w:t>Gambling winnings</w:t>
      </w:r>
      <w:r>
        <w:rPr>
          <w:rFonts w:ascii="Times New Roman" w:eastAsia="Times New Roman" w:hAnsi="Times New Roman" w:cs="Times New Roman"/>
          <w:sz w:val="24"/>
          <w:szCs w:val="24"/>
        </w:rPr>
        <w:t xml:space="preserve">. [S. l.], 2024. Disponível em: </w:t>
      </w:r>
      <w:hyperlink r:id="rId14">
        <w:r>
          <w:rPr>
            <w:rFonts w:ascii="Times New Roman" w:eastAsia="Times New Roman" w:hAnsi="Times New Roman" w:cs="Times New Roman"/>
            <w:color w:val="000000"/>
            <w:sz w:val="24"/>
            <w:szCs w:val="24"/>
            <w:u w:val="single"/>
          </w:rPr>
          <w:t>https://www.irs.gov/taxtopics/tc419</w:t>
        </w:r>
      </w:hyperlink>
      <w:r>
        <w:rPr>
          <w:rFonts w:ascii="Times New Roman" w:eastAsia="Times New Roman" w:hAnsi="Times New Roman" w:cs="Times New Roman"/>
          <w:sz w:val="24"/>
          <w:szCs w:val="24"/>
        </w:rPr>
        <w:t xml:space="preserve">. </w:t>
      </w:r>
      <w:r w:rsidRPr="00511444">
        <w:rPr>
          <w:rFonts w:ascii="Times New Roman" w:eastAsia="Times New Roman" w:hAnsi="Times New Roman" w:cs="Times New Roman"/>
          <w:sz w:val="24"/>
          <w:szCs w:val="24"/>
          <w:lang w:val="en-US"/>
        </w:rPr>
        <w:t>Acesso em: 8 maio 2025.</w:t>
      </w:r>
    </w:p>
    <w:p w14:paraId="6F1024A3" w14:textId="77777777" w:rsidR="00600B74" w:rsidRPr="00511444" w:rsidRDefault="00600B74">
      <w:pPr>
        <w:spacing w:after="0" w:line="240" w:lineRule="auto"/>
        <w:jc w:val="both"/>
        <w:rPr>
          <w:rFonts w:ascii="Times New Roman" w:eastAsia="Times New Roman" w:hAnsi="Times New Roman" w:cs="Times New Roman"/>
          <w:sz w:val="24"/>
          <w:szCs w:val="24"/>
          <w:lang w:val="en-US"/>
        </w:rPr>
      </w:pPr>
    </w:p>
    <w:p w14:paraId="595A646B" w14:textId="77777777" w:rsidR="00600B74" w:rsidRDefault="000B3CC5">
      <w:pPr>
        <w:spacing w:after="0" w:line="240" w:lineRule="auto"/>
        <w:jc w:val="both"/>
        <w:rPr>
          <w:rFonts w:ascii="Times New Roman" w:eastAsia="Times New Roman" w:hAnsi="Times New Roman" w:cs="Times New Roman"/>
          <w:sz w:val="24"/>
          <w:szCs w:val="24"/>
        </w:rPr>
      </w:pPr>
      <w:r w:rsidRPr="00511444">
        <w:rPr>
          <w:rFonts w:ascii="Times New Roman" w:eastAsia="Times New Roman" w:hAnsi="Times New Roman" w:cs="Times New Roman"/>
          <w:sz w:val="24"/>
          <w:szCs w:val="24"/>
          <w:lang w:val="en-US"/>
        </w:rPr>
        <w:t xml:space="preserve">LAFFER, Arthur. </w:t>
      </w:r>
      <w:r w:rsidRPr="00FF17F2">
        <w:rPr>
          <w:rFonts w:ascii="Times New Roman" w:eastAsia="Times New Roman" w:hAnsi="Times New Roman" w:cs="Times New Roman"/>
          <w:b/>
          <w:bCs/>
          <w:i/>
          <w:sz w:val="24"/>
          <w:szCs w:val="24"/>
          <w:lang w:val="en-US"/>
        </w:rPr>
        <w:t>The Laffer Curve: past, present, and future</w:t>
      </w:r>
      <w:r w:rsidRPr="00FF17F2">
        <w:rPr>
          <w:rFonts w:ascii="Times New Roman" w:eastAsia="Times New Roman" w:hAnsi="Times New Roman" w:cs="Times New Roman"/>
          <w:b/>
          <w:bCs/>
          <w:sz w:val="24"/>
          <w:szCs w:val="24"/>
          <w:lang w:val="en-US"/>
        </w:rPr>
        <w:t>.</w:t>
      </w:r>
      <w:r w:rsidRPr="00511444">
        <w:rPr>
          <w:rFonts w:ascii="Times New Roman" w:eastAsia="Times New Roman" w:hAnsi="Times New Roman" w:cs="Times New Roman"/>
          <w:sz w:val="24"/>
          <w:szCs w:val="24"/>
          <w:lang w:val="en-US"/>
        </w:rPr>
        <w:t xml:space="preserve"> Washington, DC: </w:t>
      </w:r>
      <w:r w:rsidRPr="00511444">
        <w:rPr>
          <w:rFonts w:ascii="Times New Roman" w:eastAsia="Times New Roman" w:hAnsi="Times New Roman" w:cs="Times New Roman"/>
          <w:sz w:val="24"/>
          <w:szCs w:val="24"/>
          <w:lang w:val="en-US"/>
        </w:rPr>
        <w:t>The Heritage Foundation</w:t>
      </w:r>
      <w:r w:rsidRPr="00511444">
        <w:rPr>
          <w:rFonts w:ascii="Times New Roman" w:eastAsia="Times New Roman" w:hAnsi="Times New Roman" w:cs="Times New Roman"/>
          <w:sz w:val="24"/>
          <w:szCs w:val="24"/>
          <w:lang w:val="en-US"/>
        </w:rPr>
        <w:t xml:space="preserve">, 2004. </w:t>
      </w:r>
      <w:r>
        <w:rPr>
          <w:rFonts w:ascii="Times New Roman" w:eastAsia="Times New Roman" w:hAnsi="Times New Roman" w:cs="Times New Roman"/>
          <w:sz w:val="24"/>
          <w:szCs w:val="24"/>
        </w:rPr>
        <w:t xml:space="preserve">Disponível em: </w:t>
      </w:r>
      <w:hyperlink r:id="rId15">
        <w:r>
          <w:rPr>
            <w:rFonts w:ascii="Times New Roman" w:eastAsia="Times New Roman" w:hAnsi="Times New Roman" w:cs="Times New Roman"/>
            <w:color w:val="000000"/>
            <w:sz w:val="24"/>
            <w:szCs w:val="24"/>
            <w:u w:val="single"/>
          </w:rPr>
          <w:t>https://www.heritage.org/taxes/report/the-laffer-curve-past-present-and-future</w:t>
        </w:r>
      </w:hyperlink>
      <w:r>
        <w:rPr>
          <w:rFonts w:ascii="Times New Roman" w:eastAsia="Times New Roman" w:hAnsi="Times New Roman" w:cs="Times New Roman"/>
          <w:sz w:val="24"/>
          <w:szCs w:val="24"/>
        </w:rPr>
        <w:t>. Acesso em: 8 maio 2025.</w:t>
      </w:r>
    </w:p>
    <w:p w14:paraId="7BCB4997" w14:textId="77777777" w:rsidR="00600B74" w:rsidRDefault="00600B74">
      <w:pPr>
        <w:spacing w:after="0" w:line="240" w:lineRule="auto"/>
        <w:jc w:val="both"/>
        <w:rPr>
          <w:rFonts w:ascii="Times New Roman" w:eastAsia="Times New Roman" w:hAnsi="Times New Roman" w:cs="Times New Roman"/>
          <w:sz w:val="24"/>
          <w:szCs w:val="24"/>
        </w:rPr>
      </w:pPr>
    </w:p>
    <w:p w14:paraId="40D31533" w14:textId="77777777" w:rsidR="00600B74" w:rsidRDefault="000B3C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MARTINS-COSTA, Judith. </w:t>
      </w:r>
      <w:r w:rsidRPr="00FF17F2">
        <w:rPr>
          <w:rFonts w:ascii="Times New Roman" w:eastAsia="Times New Roman" w:hAnsi="Times New Roman" w:cs="Times New Roman"/>
          <w:b/>
          <w:bCs/>
          <w:iCs/>
          <w:sz w:val="24"/>
          <w:szCs w:val="24"/>
        </w:rPr>
        <w:t>A boa-fé no direito privado</w:t>
      </w:r>
      <w:r>
        <w:rPr>
          <w:rFonts w:ascii="Times New Roman" w:eastAsia="Times New Roman" w:hAnsi="Times New Roman" w:cs="Times New Roman"/>
          <w:sz w:val="24"/>
          <w:szCs w:val="24"/>
        </w:rPr>
        <w:t xml:space="preserve">. 3. ed. rev., atual. e ampl. São Paulo: Saraiva Jur, </w:t>
      </w:r>
      <w:r>
        <w:rPr>
          <w:rFonts w:ascii="Times New Roman" w:eastAsia="Times New Roman" w:hAnsi="Times New Roman" w:cs="Times New Roman"/>
          <w:sz w:val="24"/>
          <w:szCs w:val="24"/>
        </w:rPr>
        <w:t>2024.</w:t>
      </w:r>
    </w:p>
    <w:p w14:paraId="7CE11C5E" w14:textId="77777777" w:rsidR="00600B74" w:rsidRDefault="00600B74">
      <w:pPr>
        <w:spacing w:after="0" w:line="240" w:lineRule="auto"/>
        <w:jc w:val="both"/>
        <w:rPr>
          <w:rFonts w:ascii="Times New Roman" w:eastAsia="Times New Roman" w:hAnsi="Times New Roman" w:cs="Times New Roman"/>
          <w:sz w:val="24"/>
          <w:szCs w:val="24"/>
        </w:rPr>
      </w:pPr>
    </w:p>
    <w:p w14:paraId="630A2FFE" w14:textId="77777777" w:rsidR="00600B74" w:rsidRDefault="000B3C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MORAES, Alexandre de. </w:t>
      </w:r>
      <w:r w:rsidRPr="00FF17F2">
        <w:rPr>
          <w:rFonts w:ascii="Times New Roman" w:eastAsia="Times New Roman" w:hAnsi="Times New Roman" w:cs="Times New Roman"/>
          <w:b/>
          <w:bCs/>
          <w:iCs/>
          <w:sz w:val="24"/>
          <w:szCs w:val="24"/>
        </w:rPr>
        <w:t>Constituição do Brasil interpretada e legislação constitucional</w:t>
      </w:r>
      <w:r>
        <w:rPr>
          <w:rFonts w:ascii="Times New Roman" w:eastAsia="Times New Roman" w:hAnsi="Times New Roman" w:cs="Times New Roman"/>
          <w:sz w:val="24"/>
          <w:szCs w:val="24"/>
        </w:rPr>
        <w:t>. 10. ed. São Paulo: Atlas, 2021.</w:t>
      </w:r>
    </w:p>
    <w:p w14:paraId="18E00834" w14:textId="77777777" w:rsidR="00600B74" w:rsidRDefault="00600B74">
      <w:pPr>
        <w:spacing w:after="0" w:line="240" w:lineRule="auto"/>
        <w:jc w:val="both"/>
        <w:rPr>
          <w:rFonts w:ascii="Times New Roman" w:eastAsia="Times New Roman" w:hAnsi="Times New Roman" w:cs="Times New Roman"/>
          <w:sz w:val="24"/>
          <w:szCs w:val="24"/>
        </w:rPr>
      </w:pPr>
    </w:p>
    <w:p w14:paraId="65A78011" w14:textId="77777777" w:rsidR="00600B74" w:rsidRPr="00511444" w:rsidRDefault="000B3CC5">
      <w:pPr>
        <w:spacing w:after="0" w:line="240" w:lineRule="auto"/>
        <w:jc w:val="both"/>
        <w:rPr>
          <w:rFonts w:ascii="Times New Roman" w:eastAsia="Times New Roman" w:hAnsi="Times New Roman" w:cs="Times New Roman"/>
          <w:sz w:val="24"/>
          <w:szCs w:val="24"/>
          <w:lang w:val="en-US"/>
        </w:rPr>
      </w:pPr>
      <w:r w:rsidRPr="00511444">
        <w:rPr>
          <w:rFonts w:ascii="Times New Roman" w:eastAsia="Times New Roman" w:hAnsi="Times New Roman" w:cs="Times New Roman"/>
          <w:sz w:val="24"/>
          <w:szCs w:val="24"/>
          <w:lang w:val="en-US"/>
        </w:rPr>
        <w:t xml:space="preserve">NEVADA GAMING CONTROL BOARD. </w:t>
      </w:r>
      <w:r w:rsidRPr="00FF17F2">
        <w:rPr>
          <w:rFonts w:ascii="Times New Roman" w:eastAsia="Times New Roman" w:hAnsi="Times New Roman" w:cs="Times New Roman"/>
          <w:b/>
          <w:bCs/>
          <w:i/>
          <w:sz w:val="24"/>
          <w:szCs w:val="24"/>
          <w:lang w:val="en-US"/>
        </w:rPr>
        <w:t>Gaming revenue report – December 2023</w:t>
      </w:r>
      <w:r w:rsidRPr="0051144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[S. l.], 2024. Disponível em: </w:t>
      </w:r>
      <w:hyperlink r:id="rId16">
        <w:r>
          <w:rPr>
            <w:rFonts w:ascii="Times New Roman" w:eastAsia="Times New Roman" w:hAnsi="Times New Roman" w:cs="Times New Roman"/>
            <w:color w:val="000000"/>
            <w:sz w:val="24"/>
            <w:szCs w:val="24"/>
            <w:u w:val="single"/>
          </w:rPr>
          <w:t>https://gaming.nv.gov/modules/showdocument.aspx?documentid=19464</w:t>
        </w:r>
      </w:hyperlink>
      <w:r>
        <w:rPr>
          <w:rFonts w:ascii="Times New Roman" w:eastAsia="Times New Roman" w:hAnsi="Times New Roman" w:cs="Times New Roman"/>
          <w:sz w:val="24"/>
          <w:szCs w:val="24"/>
        </w:rPr>
        <w:t xml:space="preserve">. </w:t>
      </w:r>
      <w:r w:rsidRPr="00511444">
        <w:rPr>
          <w:rFonts w:ascii="Times New Roman" w:eastAsia="Times New Roman" w:hAnsi="Times New Roman" w:cs="Times New Roman"/>
          <w:sz w:val="24"/>
          <w:szCs w:val="24"/>
          <w:lang w:val="en-US"/>
        </w:rPr>
        <w:t>Acesso em: 8 maio 2025.</w:t>
      </w:r>
    </w:p>
    <w:p w14:paraId="65E8E976" w14:textId="77777777" w:rsidR="00600B74" w:rsidRPr="00511444" w:rsidRDefault="00600B74">
      <w:pPr>
        <w:spacing w:after="0" w:line="240" w:lineRule="auto"/>
        <w:jc w:val="both"/>
        <w:rPr>
          <w:rFonts w:ascii="Times New Roman" w:eastAsia="Times New Roman" w:hAnsi="Times New Roman" w:cs="Times New Roman"/>
          <w:sz w:val="24"/>
          <w:szCs w:val="24"/>
          <w:lang w:val="en-US"/>
        </w:rPr>
      </w:pPr>
    </w:p>
    <w:p w14:paraId="3351332D" w14:textId="77777777" w:rsidR="00600B74" w:rsidRDefault="000B3CC5">
      <w:pPr>
        <w:spacing w:after="0" w:line="240" w:lineRule="auto"/>
        <w:jc w:val="both"/>
        <w:rPr>
          <w:rFonts w:ascii="Times New Roman" w:eastAsia="Times New Roman" w:hAnsi="Times New Roman" w:cs="Times New Roman"/>
          <w:sz w:val="24"/>
          <w:szCs w:val="24"/>
        </w:rPr>
      </w:pPr>
      <w:r w:rsidRPr="00511444">
        <w:rPr>
          <w:rFonts w:ascii="Times New Roman" w:eastAsia="Times New Roman" w:hAnsi="Times New Roman" w:cs="Times New Roman"/>
          <w:sz w:val="24"/>
          <w:szCs w:val="24"/>
          <w:lang w:val="en-US"/>
        </w:rPr>
        <w:t xml:space="preserve">NEW JERSEY DIVISION OF GAMING ENFORCEMENT. </w:t>
      </w:r>
      <w:r w:rsidRPr="00FF17F2">
        <w:rPr>
          <w:rFonts w:ascii="Times New Roman" w:eastAsia="Times New Roman" w:hAnsi="Times New Roman" w:cs="Times New Roman"/>
          <w:b/>
          <w:bCs/>
          <w:i/>
          <w:sz w:val="24"/>
          <w:szCs w:val="24"/>
          <w:lang w:val="en-US"/>
        </w:rPr>
        <w:t>Monthly gaming revenue reports</w:t>
      </w:r>
      <w:r w:rsidRPr="0051144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Trenton, 2024. Disponível em: </w:t>
      </w:r>
      <w:hyperlink r:id="rId17">
        <w:r>
          <w:rPr>
            <w:rFonts w:ascii="Times New Roman" w:eastAsia="Times New Roman" w:hAnsi="Times New Roman" w:cs="Times New Roman"/>
            <w:color w:val="000000"/>
            <w:sz w:val="24"/>
            <w:szCs w:val="24"/>
            <w:u w:val="single"/>
          </w:rPr>
          <w:t>https://www.njoag.gov/about/divisions-and-offices/division-of-gaming-enforcement-home/monthly-revenue/</w:t>
        </w:r>
      </w:hyperlink>
      <w:r>
        <w:rPr>
          <w:rFonts w:ascii="Times New Roman" w:eastAsia="Times New Roman" w:hAnsi="Times New Roman" w:cs="Times New Roman"/>
          <w:sz w:val="24"/>
          <w:szCs w:val="24"/>
        </w:rPr>
        <w:t>. Acesso em: 8 maio 2025.</w:t>
      </w:r>
    </w:p>
    <w:p w14:paraId="4D2520FC" w14:textId="77777777" w:rsidR="00600B74" w:rsidRDefault="00600B74">
      <w:pPr>
        <w:spacing w:after="0" w:line="240" w:lineRule="auto"/>
        <w:jc w:val="both"/>
        <w:rPr>
          <w:rFonts w:ascii="Times New Roman" w:eastAsia="Times New Roman" w:hAnsi="Times New Roman" w:cs="Times New Roman"/>
          <w:sz w:val="24"/>
          <w:szCs w:val="24"/>
        </w:rPr>
      </w:pPr>
    </w:p>
    <w:p w14:paraId="246F4302" w14:textId="77777777" w:rsidR="00600B74" w:rsidRDefault="000B3C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SILVA, E. C.</w:t>
      </w:r>
      <w:r>
        <w:rPr>
          <w:rFonts w:ascii="Times New Roman" w:eastAsia="Times New Roman" w:hAnsi="Times New Roman" w:cs="Times New Roman"/>
          <w:sz w:val="24"/>
          <w:szCs w:val="24"/>
        </w:rPr>
        <w:t xml:space="preserve"> da; REZENDE, P. I. da S. </w:t>
      </w:r>
      <w:r w:rsidRPr="00FF17F2">
        <w:rPr>
          <w:rFonts w:ascii="Times New Roman" w:eastAsia="Times New Roman" w:hAnsi="Times New Roman" w:cs="Times New Roman"/>
          <w:b/>
          <w:bCs/>
          <w:sz w:val="24"/>
          <w:szCs w:val="24"/>
        </w:rPr>
        <w:t>A regulamentação das apostas esportivas no Brasil: a Lei nº 14.790 de 29 de dezembro de 2023</w:t>
      </w:r>
      <w:r>
        <w:rPr>
          <w:rFonts w:ascii="Times New Roman" w:eastAsia="Times New Roman" w:hAnsi="Times New Roman" w:cs="Times New Roman"/>
          <w:sz w:val="24"/>
          <w:szCs w:val="24"/>
        </w:rPr>
        <w:t xml:space="preserve">. </w:t>
      </w:r>
      <w:r w:rsidRPr="00FF17F2">
        <w:rPr>
          <w:rFonts w:ascii="Times New Roman" w:eastAsia="Times New Roman" w:hAnsi="Times New Roman" w:cs="Times New Roman"/>
          <w:iCs/>
          <w:sz w:val="24"/>
          <w:szCs w:val="24"/>
        </w:rPr>
        <w:t>Revista Ibero-Americana de Humanidades, Ciências e Educação</w:t>
      </w:r>
      <w:r>
        <w:rPr>
          <w:rFonts w:ascii="Times New Roman" w:eastAsia="Times New Roman" w:hAnsi="Times New Roman" w:cs="Times New Roman"/>
          <w:sz w:val="24"/>
          <w:szCs w:val="24"/>
        </w:rPr>
        <w:t xml:space="preserve">, São Paulo, v. 10, n. 10, p. 5552–5565, 2024. DOI: </w:t>
      </w:r>
      <w:hyperlink r:id="rId18">
        <w:r>
          <w:rPr>
            <w:rFonts w:ascii="Times New Roman" w:eastAsia="Times New Roman" w:hAnsi="Times New Roman" w:cs="Times New Roman"/>
            <w:color w:val="000000"/>
            <w:sz w:val="24"/>
            <w:szCs w:val="24"/>
            <w:u w:val="single"/>
          </w:rPr>
          <w:t>https://doi.org/10.51891/rease.v10i10.16433</w:t>
        </w:r>
      </w:hyperlink>
      <w:r>
        <w:rPr>
          <w:rFonts w:ascii="Times New Roman" w:eastAsia="Times New Roman" w:hAnsi="Times New Roman" w:cs="Times New Roman"/>
          <w:sz w:val="24"/>
          <w:szCs w:val="24"/>
        </w:rPr>
        <w:t>.</w:t>
      </w:r>
    </w:p>
    <w:p w14:paraId="5B6A66F0" w14:textId="77777777" w:rsidR="00600B74" w:rsidRDefault="00600B74">
      <w:pPr>
        <w:spacing w:after="0" w:line="240" w:lineRule="auto"/>
        <w:jc w:val="both"/>
        <w:rPr>
          <w:rFonts w:ascii="Times New Roman" w:eastAsia="Times New Roman" w:hAnsi="Times New Roman" w:cs="Times New Roman"/>
          <w:sz w:val="24"/>
          <w:szCs w:val="24"/>
        </w:rPr>
      </w:pPr>
    </w:p>
    <w:p w14:paraId="1BFBDC68" w14:textId="77777777" w:rsidR="00600B74" w:rsidRDefault="000B3C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SILVÉRIO RAMOS, José Eduardo; DE OLIVEIRA BUSTAMANTE, Aline. </w:t>
      </w:r>
      <w:r w:rsidRPr="00FF17F2">
        <w:rPr>
          <w:rFonts w:ascii="Times New Roman" w:eastAsia="Times New Roman" w:hAnsi="Times New Roman" w:cs="Times New Roman"/>
          <w:b/>
          <w:bCs/>
          <w:sz w:val="24"/>
          <w:szCs w:val="24"/>
        </w:rPr>
        <w:t>A tributação em casas de apostas esportivas: uma análise à luz da Lei 14.790/23</w:t>
      </w:r>
      <w:r>
        <w:rPr>
          <w:rFonts w:ascii="Times New Roman" w:eastAsia="Times New Roman" w:hAnsi="Times New Roman" w:cs="Times New Roman"/>
          <w:sz w:val="24"/>
          <w:szCs w:val="24"/>
        </w:rPr>
        <w:t xml:space="preserve">. </w:t>
      </w:r>
      <w:r w:rsidRPr="00FF17F2">
        <w:rPr>
          <w:rFonts w:ascii="Times New Roman" w:eastAsia="Times New Roman" w:hAnsi="Times New Roman" w:cs="Times New Roman"/>
          <w:iCs/>
          <w:sz w:val="24"/>
          <w:szCs w:val="24"/>
        </w:rPr>
        <w:t>Revista</w:t>
      </w:r>
      <w:r w:rsidRPr="00FF17F2">
        <w:rPr>
          <w:rFonts w:ascii="Times New Roman" w:eastAsia="Times New Roman" w:hAnsi="Times New Roman" w:cs="Times New Roman"/>
          <w:iCs/>
          <w:sz w:val="24"/>
          <w:szCs w:val="24"/>
        </w:rPr>
        <w:t xml:space="preserve"> do Direito – FDCI</w:t>
      </w:r>
      <w:r w:rsidRPr="00FF17F2">
        <w:rPr>
          <w:rFonts w:ascii="Times New Roman" w:eastAsia="Times New Roman" w:hAnsi="Times New Roman" w:cs="Times New Roman"/>
          <w:iCs/>
          <w:sz w:val="24"/>
          <w:szCs w:val="24"/>
        </w:rPr>
        <w:t>,</w:t>
      </w:r>
      <w:r>
        <w:rPr>
          <w:rFonts w:ascii="Times New Roman" w:eastAsia="Times New Roman" w:hAnsi="Times New Roman" w:cs="Times New Roman"/>
          <w:sz w:val="24"/>
          <w:szCs w:val="24"/>
        </w:rPr>
        <w:t xml:space="preserve"> Cachoeiro de Itapemirim, v. 6, n. 2, p. 68–89, 2025.</w:t>
      </w:r>
    </w:p>
    <w:p w14:paraId="284345BE" w14:textId="77777777" w:rsidR="00600B74" w:rsidRDefault="00600B74">
      <w:pPr>
        <w:spacing w:after="0" w:line="240" w:lineRule="auto"/>
        <w:jc w:val="both"/>
        <w:rPr>
          <w:rFonts w:ascii="Times New Roman" w:eastAsia="Times New Roman" w:hAnsi="Times New Roman" w:cs="Times New Roman"/>
          <w:sz w:val="24"/>
          <w:szCs w:val="24"/>
        </w:rPr>
      </w:pPr>
    </w:p>
    <w:p w14:paraId="37D75A33" w14:textId="77777777" w:rsidR="00600B74" w:rsidRDefault="000B3C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SIMILARWEB. </w:t>
      </w:r>
      <w:r w:rsidRPr="00FF17F2">
        <w:rPr>
          <w:rFonts w:ascii="Times New Roman" w:eastAsia="Times New Roman" w:hAnsi="Times New Roman" w:cs="Times New Roman"/>
          <w:b/>
          <w:bCs/>
          <w:sz w:val="24"/>
          <w:szCs w:val="24"/>
        </w:rPr>
        <w:t>O mercado de apostas online brasileiro continua surpreendendo com um crescimento de 95% e mantém uma trajetória ascendente até o final de 2023.</w:t>
      </w:r>
      <w:r>
        <w:rPr>
          <w:rFonts w:ascii="Times New Roman" w:eastAsia="Times New Roman" w:hAnsi="Times New Roman" w:cs="Times New Roman"/>
          <w:sz w:val="24"/>
          <w:szCs w:val="24"/>
        </w:rPr>
        <w:t xml:space="preserve"> [S. l.], 19 dez. 2023. Dis</w:t>
      </w:r>
      <w:r>
        <w:rPr>
          <w:rFonts w:ascii="Times New Roman" w:eastAsia="Times New Roman" w:hAnsi="Times New Roman" w:cs="Times New Roman"/>
          <w:sz w:val="24"/>
          <w:szCs w:val="24"/>
        </w:rPr>
        <w:t xml:space="preserve">ponível em: </w:t>
      </w:r>
      <w:hyperlink r:id="rId19">
        <w:r>
          <w:rPr>
            <w:rFonts w:ascii="Times New Roman" w:eastAsia="Times New Roman" w:hAnsi="Times New Roman" w:cs="Times New Roman"/>
            <w:color w:val="000000"/>
            <w:sz w:val="24"/>
            <w:szCs w:val="24"/>
            <w:u w:val="single"/>
          </w:rPr>
          <w:t>https://www.similarweb.com/blog/pt/ins</w:t>
        </w:r>
        <w:r>
          <w:rPr>
            <w:rFonts w:ascii="Times New Roman" w:eastAsia="Times New Roman" w:hAnsi="Times New Roman" w:cs="Times New Roman"/>
            <w:color w:val="000000"/>
            <w:sz w:val="24"/>
            <w:szCs w:val="24"/>
            <w:u w:val="single"/>
          </w:rPr>
          <w:t>ights/o-mercado-de-apostas-online-brasileiro-continua-surpreendendo-com-um-crescimento-de-95-e-mantem-uma-trajetoria-ascendente-ate-o-final-de-2023/</w:t>
        </w:r>
      </w:hyperlink>
      <w:r>
        <w:rPr>
          <w:rFonts w:ascii="Times New Roman" w:eastAsia="Times New Roman" w:hAnsi="Times New Roman" w:cs="Times New Roman"/>
          <w:sz w:val="24"/>
          <w:szCs w:val="24"/>
        </w:rPr>
        <w:t>. Acesso em: 8 maio 2025.</w:t>
      </w:r>
    </w:p>
    <w:p w14:paraId="5BAC17A3" w14:textId="77777777" w:rsidR="00600B74" w:rsidRDefault="00600B74">
      <w:pPr>
        <w:spacing w:after="0" w:line="240" w:lineRule="auto"/>
        <w:jc w:val="both"/>
        <w:rPr>
          <w:rFonts w:ascii="Times New Roman" w:eastAsia="Times New Roman" w:hAnsi="Times New Roman" w:cs="Times New Roman"/>
          <w:sz w:val="24"/>
          <w:szCs w:val="24"/>
        </w:rPr>
      </w:pPr>
    </w:p>
    <w:p w14:paraId="7413C27F" w14:textId="77777777" w:rsidR="00600B74" w:rsidRDefault="000B3C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TORRES, Ricardo Lobo. </w:t>
      </w:r>
      <w:r w:rsidRPr="00FF17F2">
        <w:rPr>
          <w:rFonts w:ascii="Times New Roman" w:eastAsia="Times New Roman" w:hAnsi="Times New Roman" w:cs="Times New Roman"/>
          <w:b/>
          <w:bCs/>
          <w:iCs/>
          <w:sz w:val="24"/>
          <w:szCs w:val="24"/>
        </w:rPr>
        <w:t>Curso de direito financeiro e tributário</w:t>
      </w:r>
      <w:r>
        <w:rPr>
          <w:rFonts w:ascii="Times New Roman" w:eastAsia="Times New Roman" w:hAnsi="Times New Roman" w:cs="Times New Roman"/>
          <w:sz w:val="24"/>
          <w:szCs w:val="24"/>
        </w:rPr>
        <w:t>. 16. ed. Rio de Janeiro: Renovar, 2009.</w:t>
      </w:r>
    </w:p>
    <w:p w14:paraId="35196CC3" w14:textId="77777777" w:rsidR="00600B74" w:rsidRDefault="00600B74">
      <w:pPr>
        <w:spacing w:after="0" w:line="240" w:lineRule="auto"/>
        <w:jc w:val="both"/>
        <w:rPr>
          <w:rFonts w:ascii="Times New Roman" w:eastAsia="Times New Roman" w:hAnsi="Times New Roman" w:cs="Times New Roman"/>
          <w:sz w:val="24"/>
          <w:szCs w:val="24"/>
        </w:rPr>
      </w:pPr>
    </w:p>
    <w:p w14:paraId="2B6E3A9A" w14:textId="77777777" w:rsidR="00600B74" w:rsidRDefault="000B3CC5">
      <w:pPr>
        <w:spacing w:after="0" w:line="240" w:lineRule="auto"/>
        <w:jc w:val="both"/>
        <w:rPr>
          <w:rFonts w:ascii="Times New Roman" w:eastAsia="Times New Roman" w:hAnsi="Times New Roman" w:cs="Times New Roman"/>
          <w:sz w:val="24"/>
          <w:szCs w:val="24"/>
        </w:rPr>
      </w:pPr>
      <w:r w:rsidRPr="00511444">
        <w:rPr>
          <w:rFonts w:ascii="Times New Roman" w:eastAsia="Times New Roman" w:hAnsi="Times New Roman" w:cs="Times New Roman"/>
          <w:sz w:val="24"/>
          <w:szCs w:val="24"/>
          <w:lang w:val="en-US"/>
        </w:rPr>
        <w:t xml:space="preserve">VAN DER PAARDT, R. N. G. </w:t>
      </w:r>
      <w:r w:rsidRPr="00FF17F2">
        <w:rPr>
          <w:rFonts w:ascii="Times New Roman" w:eastAsia="Times New Roman" w:hAnsi="Times New Roman" w:cs="Times New Roman"/>
          <w:b/>
          <w:bCs/>
          <w:i/>
          <w:iCs/>
          <w:sz w:val="24"/>
          <w:szCs w:val="24"/>
          <w:lang w:val="en-US"/>
        </w:rPr>
        <w:t>Taxation of internet gaming and gambling in the European Union.</w:t>
      </w:r>
      <w:r w:rsidRPr="00FF17F2">
        <w:rPr>
          <w:rFonts w:ascii="Times New Roman" w:eastAsia="Times New Roman" w:hAnsi="Times New Roman" w:cs="Times New Roman"/>
          <w:b/>
          <w:bCs/>
          <w:sz w:val="24"/>
          <w:szCs w:val="24"/>
          <w:lang w:val="en-US"/>
        </w:rPr>
        <w:t xml:space="preserve"> </w:t>
      </w:r>
      <w:r>
        <w:rPr>
          <w:rFonts w:ascii="Times New Roman" w:eastAsia="Times New Roman" w:hAnsi="Times New Roman" w:cs="Times New Roman"/>
          <w:i/>
          <w:sz w:val="24"/>
          <w:szCs w:val="24"/>
        </w:rPr>
        <w:t>ERA Forum</w:t>
      </w:r>
      <w:r>
        <w:rPr>
          <w:rFonts w:ascii="Times New Roman" w:eastAsia="Times New Roman" w:hAnsi="Times New Roman" w:cs="Times New Roman"/>
          <w:sz w:val="24"/>
          <w:szCs w:val="24"/>
        </w:rPr>
        <w:t xml:space="preserve">, v. 10, p. 525–531, 2009. DOI: </w:t>
      </w:r>
      <w:hyperlink r:id="rId20">
        <w:r>
          <w:rPr>
            <w:rFonts w:ascii="Times New Roman" w:eastAsia="Times New Roman" w:hAnsi="Times New Roman" w:cs="Times New Roman"/>
            <w:color w:val="000000"/>
            <w:sz w:val="24"/>
            <w:szCs w:val="24"/>
            <w:u w:val="single"/>
          </w:rPr>
          <w:t>https://doi.org/10.1007/s12027-009-0144-1</w:t>
        </w:r>
      </w:hyperlink>
      <w:r>
        <w:rPr>
          <w:rFonts w:ascii="Times New Roman" w:eastAsia="Times New Roman" w:hAnsi="Times New Roman" w:cs="Times New Roman"/>
          <w:sz w:val="24"/>
          <w:szCs w:val="24"/>
        </w:rPr>
        <w:t>.</w:t>
      </w:r>
    </w:p>
    <w:p w14:paraId="3ECADD8B" w14:textId="77777777" w:rsidR="00600B74" w:rsidRDefault="00600B74">
      <w:pPr>
        <w:spacing w:after="0" w:line="240" w:lineRule="auto"/>
        <w:jc w:val="both"/>
        <w:rPr>
          <w:rFonts w:ascii="Times New Roman" w:eastAsia="Times New Roman" w:hAnsi="Times New Roman" w:cs="Times New Roman"/>
          <w:sz w:val="24"/>
          <w:szCs w:val="24"/>
        </w:rPr>
      </w:pPr>
    </w:p>
    <w:p w14:paraId="07A1EECC" w14:textId="77777777" w:rsidR="00600B74" w:rsidRDefault="000B3C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VIEIRA, M. </w:t>
      </w:r>
      <w:r w:rsidRPr="00FF17F2">
        <w:rPr>
          <w:rFonts w:ascii="Times New Roman" w:eastAsia="Times New Roman" w:hAnsi="Times New Roman" w:cs="Times New Roman"/>
          <w:b/>
          <w:bCs/>
          <w:sz w:val="24"/>
          <w:szCs w:val="24"/>
        </w:rPr>
        <w:t>Bichos de coturno: a relação entre bicheiros e milicianos da Zona Oeste.</w:t>
      </w:r>
      <w:r>
        <w:rPr>
          <w:rFonts w:ascii="Times New Roman" w:eastAsia="Times New Roman" w:hAnsi="Times New Roman" w:cs="Times New Roman"/>
          <w:sz w:val="24"/>
          <w:szCs w:val="24"/>
        </w:rPr>
        <w:t xml:space="preserve"> </w:t>
      </w:r>
      <w:r w:rsidRPr="00FF17F2">
        <w:rPr>
          <w:rFonts w:ascii="Times New Roman" w:eastAsia="Times New Roman" w:hAnsi="Times New Roman" w:cs="Times New Roman"/>
          <w:iCs/>
          <w:sz w:val="24"/>
          <w:szCs w:val="24"/>
        </w:rPr>
        <w:t>Cadernos Metrópole</w:t>
      </w:r>
      <w:r>
        <w:rPr>
          <w:rFonts w:ascii="Times New Roman" w:eastAsia="Times New Roman" w:hAnsi="Times New Roman" w:cs="Times New Roman"/>
          <w:sz w:val="24"/>
          <w:szCs w:val="24"/>
        </w:rPr>
        <w:t xml:space="preserve">, São Paulo, v. 26, n. 61, e6164729, 2024. DOI: </w:t>
      </w:r>
      <w:hyperlink r:id="rId21">
        <w:r>
          <w:rPr>
            <w:rFonts w:ascii="Times New Roman" w:eastAsia="Times New Roman" w:hAnsi="Times New Roman" w:cs="Times New Roman"/>
            <w:color w:val="000000"/>
            <w:sz w:val="24"/>
            <w:szCs w:val="24"/>
            <w:u w:val="single"/>
          </w:rPr>
          <w:t>https://doi.org/10.1590/2236-9996.2024-6164729-pt</w:t>
        </w:r>
      </w:hyperlink>
      <w:r>
        <w:rPr>
          <w:rFonts w:ascii="Times New Roman" w:eastAsia="Times New Roman" w:hAnsi="Times New Roman" w:cs="Times New Roman"/>
          <w:sz w:val="24"/>
          <w:szCs w:val="24"/>
        </w:rPr>
        <w:t>.</w:t>
      </w:r>
    </w:p>
    <w:p w14:paraId="6A52BEA8" w14:textId="77777777" w:rsidR="00600B74" w:rsidRDefault="00600B74">
      <w:pPr>
        <w:spacing w:after="0" w:line="240" w:lineRule="auto"/>
        <w:jc w:val="both"/>
        <w:rPr>
          <w:rFonts w:ascii="Times New Roman" w:eastAsia="Times New Roman" w:hAnsi="Times New Roman" w:cs="Times New Roman"/>
          <w:sz w:val="24"/>
          <w:szCs w:val="24"/>
        </w:rPr>
      </w:pPr>
    </w:p>
    <w:p w14:paraId="036915DE" w14:textId="77777777" w:rsidR="00600B74" w:rsidRDefault="000B3CC5">
      <w:pPr>
        <w:spacing w:after="0" w:line="240" w:lineRule="auto"/>
        <w:jc w:val="both"/>
        <w:rPr>
          <w:rFonts w:ascii="Times New Roman" w:eastAsia="Times New Roman" w:hAnsi="Times New Roman" w:cs="Times New Roman"/>
          <w:sz w:val="24"/>
          <w:szCs w:val="24"/>
        </w:rPr>
      </w:pPr>
      <w:r w:rsidRPr="00511444">
        <w:rPr>
          <w:rFonts w:ascii="Times New Roman" w:eastAsia="Times New Roman" w:hAnsi="Times New Roman" w:cs="Times New Roman"/>
          <w:sz w:val="24"/>
          <w:szCs w:val="24"/>
          <w:lang w:val="en-US"/>
        </w:rPr>
        <w:t xml:space="preserve">ZHOU, Yudi. </w:t>
      </w:r>
      <w:r w:rsidRPr="00FF17F2">
        <w:rPr>
          <w:rFonts w:ascii="Times New Roman" w:eastAsia="Times New Roman" w:hAnsi="Times New Roman" w:cs="Times New Roman"/>
          <w:b/>
          <w:bCs/>
          <w:i/>
          <w:sz w:val="24"/>
          <w:szCs w:val="24"/>
          <w:lang w:val="en-US"/>
        </w:rPr>
        <w:t>Comparative law of online gambling – legal and tax framework</w:t>
      </w:r>
      <w:r w:rsidRPr="0051144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2021. Dissertação (Mestrado) – Universidade de Coimbra, Coimbra, Portugal.</w:t>
      </w:r>
    </w:p>
    <w:p w14:paraId="71788929" w14:textId="77777777" w:rsidR="00600B74" w:rsidRDefault="00600B74">
      <w:pPr>
        <w:spacing w:after="0" w:line="360" w:lineRule="auto"/>
        <w:jc w:val="both"/>
        <w:rPr>
          <w:rFonts w:ascii="Times New Roman" w:eastAsia="Times New Roman" w:hAnsi="Times New Roman" w:cs="Times New Roman"/>
          <w:sz w:val="24"/>
          <w:szCs w:val="24"/>
        </w:rPr>
      </w:pPr>
    </w:p>
    <w:sectPr w:rsidR="00600B74">
      <w:headerReference w:type="default" r:id="rId22"/>
      <w:footerReference w:type="default" r:id="rId23"/>
      <w:pgSz w:w="11906" w:h="16838"/>
      <w:pgMar w:top="1417" w:right="1701"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D8762" w14:textId="77777777" w:rsidR="000B3CC5" w:rsidRDefault="000B3CC5">
      <w:pPr>
        <w:spacing w:after="0" w:line="240" w:lineRule="auto"/>
      </w:pPr>
      <w:r>
        <w:separator/>
      </w:r>
    </w:p>
  </w:endnote>
  <w:endnote w:type="continuationSeparator" w:id="0">
    <w:p w14:paraId="60EE4468" w14:textId="77777777" w:rsidR="000B3CC5" w:rsidRDefault="000B3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5C7B5" w14:textId="77777777" w:rsidR="00600B74" w:rsidRDefault="00600B74">
    <w:pPr>
      <w:widowControl w:val="0"/>
      <w:pBdr>
        <w:top w:val="nil"/>
        <w:left w:val="nil"/>
        <w:bottom w:val="nil"/>
        <w:right w:val="nil"/>
        <w:between w:val="nil"/>
      </w:pBdr>
      <w:spacing w:after="0"/>
      <w:rPr>
        <w:color w:val="000000"/>
      </w:rPr>
    </w:pPr>
  </w:p>
  <w:tbl>
    <w:tblPr>
      <w:tblStyle w:val="a2"/>
      <w:tblW w:w="8490" w:type="dxa"/>
      <w:tblInd w:w="-115" w:type="dxa"/>
      <w:tblLayout w:type="fixed"/>
      <w:tblLook w:val="0600" w:firstRow="0" w:lastRow="0" w:firstColumn="0" w:lastColumn="0" w:noHBand="1" w:noVBand="1"/>
    </w:tblPr>
    <w:tblGrid>
      <w:gridCol w:w="2830"/>
      <w:gridCol w:w="2830"/>
      <w:gridCol w:w="2830"/>
    </w:tblGrid>
    <w:tr w:rsidR="00600B74" w14:paraId="4953C9C0" w14:textId="77777777">
      <w:trPr>
        <w:trHeight w:val="285"/>
      </w:trPr>
      <w:tc>
        <w:tcPr>
          <w:tcW w:w="2830" w:type="dxa"/>
        </w:tcPr>
        <w:p w14:paraId="6F0B5560" w14:textId="77777777" w:rsidR="00600B74" w:rsidRDefault="00600B74">
          <w:pPr>
            <w:pBdr>
              <w:top w:val="nil"/>
              <w:left w:val="nil"/>
              <w:bottom w:val="nil"/>
              <w:right w:val="nil"/>
              <w:between w:val="nil"/>
            </w:pBdr>
            <w:tabs>
              <w:tab w:val="center" w:pos="4252"/>
              <w:tab w:val="right" w:pos="8504"/>
            </w:tabs>
            <w:spacing w:after="0" w:line="240" w:lineRule="auto"/>
            <w:ind w:left="-115"/>
            <w:rPr>
              <w:color w:val="000000"/>
            </w:rPr>
          </w:pPr>
        </w:p>
      </w:tc>
      <w:tc>
        <w:tcPr>
          <w:tcW w:w="2830" w:type="dxa"/>
        </w:tcPr>
        <w:p w14:paraId="20D73000" w14:textId="77777777" w:rsidR="00600B74" w:rsidRDefault="00600B74">
          <w:pPr>
            <w:pBdr>
              <w:top w:val="nil"/>
              <w:left w:val="nil"/>
              <w:bottom w:val="nil"/>
              <w:right w:val="nil"/>
              <w:between w:val="nil"/>
            </w:pBdr>
            <w:tabs>
              <w:tab w:val="center" w:pos="4252"/>
              <w:tab w:val="right" w:pos="8504"/>
            </w:tabs>
            <w:spacing w:after="0" w:line="240" w:lineRule="auto"/>
            <w:jc w:val="center"/>
            <w:rPr>
              <w:color w:val="000000"/>
            </w:rPr>
          </w:pPr>
        </w:p>
      </w:tc>
      <w:tc>
        <w:tcPr>
          <w:tcW w:w="2830" w:type="dxa"/>
        </w:tcPr>
        <w:p w14:paraId="7A5927AB" w14:textId="77777777" w:rsidR="00600B74" w:rsidRDefault="00600B74">
          <w:pPr>
            <w:pBdr>
              <w:top w:val="nil"/>
              <w:left w:val="nil"/>
              <w:bottom w:val="nil"/>
              <w:right w:val="nil"/>
              <w:between w:val="nil"/>
            </w:pBdr>
            <w:tabs>
              <w:tab w:val="center" w:pos="4252"/>
              <w:tab w:val="right" w:pos="8504"/>
            </w:tabs>
            <w:spacing w:after="0" w:line="240" w:lineRule="auto"/>
            <w:ind w:right="-115"/>
            <w:jc w:val="right"/>
            <w:rPr>
              <w:color w:val="000000"/>
            </w:rPr>
          </w:pPr>
        </w:p>
      </w:tc>
    </w:tr>
  </w:tbl>
  <w:p w14:paraId="2E6FA3B1" w14:textId="77777777" w:rsidR="00600B74" w:rsidRDefault="00600B74">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3B419" w14:textId="77777777" w:rsidR="000B3CC5" w:rsidRDefault="000B3CC5">
      <w:pPr>
        <w:spacing w:after="0" w:line="240" w:lineRule="auto"/>
      </w:pPr>
      <w:r>
        <w:separator/>
      </w:r>
    </w:p>
  </w:footnote>
  <w:footnote w:type="continuationSeparator" w:id="0">
    <w:p w14:paraId="7AD892F1" w14:textId="77777777" w:rsidR="000B3CC5" w:rsidRDefault="000B3CC5">
      <w:pPr>
        <w:spacing w:after="0" w:line="240" w:lineRule="auto"/>
      </w:pPr>
      <w:r>
        <w:continuationSeparator/>
      </w:r>
    </w:p>
  </w:footnote>
  <w:footnote w:id="1">
    <w:p w14:paraId="0BD2A81F" w14:textId="77777777" w:rsidR="00600B74" w:rsidRDefault="000B3CC5">
      <w:pPr>
        <w:pBdr>
          <w:top w:val="nil"/>
          <w:left w:val="nil"/>
          <w:bottom w:val="nil"/>
          <w:right w:val="nil"/>
          <w:between w:val="nil"/>
        </w:pBdr>
        <w:spacing w:after="0"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Graduanda em Direito pela </w:t>
      </w:r>
      <w:proofErr w:type="spellStart"/>
      <w:r>
        <w:rPr>
          <w:rFonts w:ascii="Times New Roman" w:eastAsia="Times New Roman" w:hAnsi="Times New Roman" w:cs="Times New Roman"/>
          <w:sz w:val="20"/>
          <w:szCs w:val="20"/>
        </w:rPr>
        <w:t>UniFacisa</w:t>
      </w:r>
      <w:proofErr w:type="spellEnd"/>
      <w:r>
        <w:rPr>
          <w:rFonts w:ascii="Times New Roman" w:eastAsia="Times New Roman" w:hAnsi="Times New Roman" w:cs="Times New Roman"/>
          <w:sz w:val="20"/>
          <w:szCs w:val="20"/>
        </w:rPr>
        <w:t>. Endereço eletrônico: luizatoscanol@gmail.com</w:t>
      </w:r>
    </w:p>
  </w:footnote>
  <w:footnote w:id="2">
    <w:p w14:paraId="2B88568C" w14:textId="77777777" w:rsidR="00600B74" w:rsidRDefault="000B3CC5">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Advogada. Especialista em Direito Tributário. Especialista em Direito Empresarial. Especialista em Educação e Humanidades. Professora da UNIFACISA. d</w:t>
      </w:r>
      <w:hyperlink r:id="rId1">
        <w:r>
          <w:rPr>
            <w:rFonts w:ascii="Times New Roman" w:eastAsia="Times New Roman" w:hAnsi="Times New Roman" w:cs="Times New Roman"/>
            <w:color w:val="000000"/>
            <w:sz w:val="20"/>
            <w:szCs w:val="20"/>
            <w:u w:val="single"/>
          </w:rPr>
          <w:t>anielle.mendes@maisunifacisa.com.br</w:t>
        </w:r>
      </w:hyperlink>
    </w:p>
    <w:p w14:paraId="286D15EC" w14:textId="77777777" w:rsidR="00600B74" w:rsidRDefault="00600B74">
      <w:pPr>
        <w:pBdr>
          <w:top w:val="nil"/>
          <w:left w:val="nil"/>
          <w:bottom w:val="nil"/>
          <w:right w:val="nil"/>
          <w:between w:val="nil"/>
        </w:pBdr>
        <w:spacing w:after="0" w:line="240" w:lineRule="auto"/>
        <w:rPr>
          <w:color w:val="000000"/>
          <w:sz w:val="20"/>
          <w:szCs w:val="20"/>
        </w:rPr>
      </w:pPr>
    </w:p>
  </w:footnote>
  <w:footnote w:id="3">
    <w:p w14:paraId="7BEEC923" w14:textId="77777777" w:rsidR="00600B74" w:rsidRDefault="000B3CC5">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Disponível em: </w:t>
      </w:r>
      <w:hyperlink r:id="rId2">
        <w:r>
          <w:rPr>
            <w:rFonts w:ascii="Times New Roman" w:eastAsia="Times New Roman" w:hAnsi="Times New Roman" w:cs="Times New Roman"/>
            <w:sz w:val="20"/>
            <w:szCs w:val="20"/>
            <w:u w:val="single"/>
          </w:rPr>
          <w:t>https://www.similarweb.com/blog/pt/insights/o-mercado-de-apostas-online-brasileiro-continua-surpreendendo-com-um-crescimento-de-95-e-mantem-uma-trajetoria-ascendente-ate-o-final-de-2023/</w:t>
        </w:r>
      </w:hyperlink>
      <w:r>
        <w:rPr>
          <w:rFonts w:ascii="Times New Roman" w:eastAsia="Times New Roman" w:hAnsi="Times New Roman" w:cs="Times New Roman"/>
          <w:sz w:val="20"/>
          <w:szCs w:val="20"/>
        </w:rPr>
        <w:t xml:space="preserve"> Acesso: 05/05/2025</w:t>
      </w:r>
    </w:p>
  </w:footnote>
  <w:footnote w:id="4">
    <w:p w14:paraId="12A72BB8" w14:textId="77777777" w:rsidR="00600B74" w:rsidRDefault="000B3CC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Tipo de tributo cobrado de forma incremental, com base no </w:t>
      </w:r>
      <w:hyperlink r:id="rId3">
        <w:r>
          <w:rPr>
            <w:rFonts w:ascii="Times New Roman" w:eastAsia="Times New Roman" w:hAnsi="Times New Roman" w:cs="Times New Roman"/>
            <w:color w:val="000000"/>
            <w:sz w:val="20"/>
            <w:szCs w:val="20"/>
          </w:rPr>
          <w:t>valor econômico adicionado</w:t>
        </w:r>
      </w:hyperlink>
      <w:r>
        <w:rPr>
          <w:rFonts w:ascii="Times New Roman" w:eastAsia="Times New Roman" w:hAnsi="Times New Roman" w:cs="Times New Roman"/>
          <w:color w:val="000000"/>
          <w:sz w:val="20"/>
          <w:szCs w:val="20"/>
        </w:rPr>
        <w:t> ou valor agregado. É cobrado sobre o preço de um produto ou serviço em cada etapa da prod</w:t>
      </w:r>
      <w:r>
        <w:rPr>
          <w:rFonts w:ascii="Times New Roman" w:eastAsia="Times New Roman" w:hAnsi="Times New Roman" w:cs="Times New Roman"/>
          <w:color w:val="000000"/>
          <w:sz w:val="20"/>
          <w:szCs w:val="20"/>
        </w:rPr>
        <w:t>ução, distribuição ou venda ao consumidor final.</w:t>
      </w:r>
    </w:p>
  </w:footnote>
  <w:footnote w:id="5">
    <w:p w14:paraId="3244E9D1" w14:textId="77777777" w:rsidR="00600B74" w:rsidRDefault="000B3CC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Medida de simplificação do IVA introduzida pela União Europeia em 2015 para ajudar as empresas que fornecem serviços digitais transfronteiriços a pessoas não sujeitas a impostos na UE.</w:t>
      </w:r>
    </w:p>
  </w:footnote>
  <w:footnote w:id="6">
    <w:p w14:paraId="18CAC4B4" w14:textId="77777777" w:rsidR="00600B74" w:rsidRDefault="000B3CC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R</w:t>
      </w:r>
      <w:r>
        <w:rPr>
          <w:rFonts w:ascii="Times New Roman" w:eastAsia="Times New Roman" w:hAnsi="Times New Roman" w:cs="Times New Roman"/>
          <w:color w:val="000000"/>
          <w:sz w:val="20"/>
          <w:szCs w:val="20"/>
        </w:rPr>
        <w:t>esponsável pela c</w:t>
      </w:r>
      <w:r>
        <w:rPr>
          <w:rFonts w:ascii="Times New Roman" w:eastAsia="Times New Roman" w:hAnsi="Times New Roman" w:cs="Times New Roman"/>
          <w:color w:val="000000"/>
          <w:sz w:val="20"/>
          <w:szCs w:val="20"/>
        </w:rPr>
        <w:t>oleta de impostos e pela aplicação e interpretação </w:t>
      </w:r>
      <w:proofErr w:type="spellStart"/>
      <w:r>
        <w:fldChar w:fldCharType="begin"/>
      </w:r>
      <w:r>
        <w:instrText xml:space="preserve"> HYPERLINK "https://pt.wikipedia.org/w/index.php?title=Internal_Revenue_Code&amp;action=edit&amp;redlink=1" \h </w:instrText>
      </w:r>
      <w:r>
        <w:fldChar w:fldCharType="separate"/>
      </w:r>
      <w:r>
        <w:rPr>
          <w:rFonts w:ascii="Times New Roman" w:eastAsia="Times New Roman" w:hAnsi="Times New Roman" w:cs="Times New Roman"/>
          <w:color w:val="000000"/>
          <w:sz w:val="20"/>
          <w:szCs w:val="20"/>
        </w:rPr>
        <w:t>Internal</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Revenue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Code</w:t>
      </w:r>
      <w:proofErr w:type="spellEnd"/>
      <w:r>
        <w:rPr>
          <w:rFonts w:ascii="Times New Roman" w:eastAsia="Times New Roman" w:hAnsi="Times New Roman" w:cs="Times New Roman"/>
          <w:color w:val="000000"/>
          <w:sz w:val="20"/>
          <w:szCs w:val="20"/>
        </w:rPr>
        <w:fldChar w:fldCharType="end"/>
      </w:r>
      <w:r>
        <w:rPr>
          <w:rFonts w:ascii="Times New Roman" w:eastAsia="Times New Roman" w:hAnsi="Times New Roman" w:cs="Times New Roman"/>
          <w:color w:val="000000"/>
          <w:sz w:val="20"/>
          <w:szCs w:val="20"/>
        </w:rPr>
        <w:t>, o órgão do </w:t>
      </w:r>
      <w:hyperlink r:id="rId4">
        <w:r>
          <w:rPr>
            <w:rFonts w:ascii="Times New Roman" w:eastAsia="Times New Roman" w:hAnsi="Times New Roman" w:cs="Times New Roman"/>
            <w:color w:val="000000"/>
            <w:sz w:val="20"/>
            <w:szCs w:val="20"/>
          </w:rPr>
          <w:t>direito tributário</w:t>
        </w:r>
      </w:hyperlink>
      <w:r>
        <w:rPr>
          <w:rFonts w:ascii="Times New Roman" w:eastAsia="Times New Roman" w:hAnsi="Times New Roman" w:cs="Times New Roman"/>
          <w:color w:val="000000"/>
          <w:sz w:val="20"/>
          <w:szCs w:val="20"/>
        </w:rPr>
        <w:t> nos </w:t>
      </w:r>
      <w:hyperlink r:id="rId5">
        <w:r>
          <w:rPr>
            <w:rFonts w:ascii="Times New Roman" w:eastAsia="Times New Roman" w:hAnsi="Times New Roman" w:cs="Times New Roman"/>
            <w:color w:val="000000"/>
            <w:sz w:val="20"/>
            <w:szCs w:val="20"/>
          </w:rPr>
          <w:t>Estados Unidos</w:t>
        </w:r>
      </w:hyperlink>
      <w:r>
        <w:rPr>
          <w:rFonts w:ascii="Times New Roman" w:eastAsia="Times New Roman" w:hAnsi="Times New Roman" w:cs="Times New Roman"/>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10EDB" w14:textId="77777777" w:rsidR="00600B74" w:rsidRDefault="00600B74">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bl>
    <w:tblPr>
      <w:tblStyle w:val="a1"/>
      <w:tblW w:w="8490" w:type="dxa"/>
      <w:tblInd w:w="-115" w:type="dxa"/>
      <w:tblLayout w:type="fixed"/>
      <w:tblLook w:val="0600" w:firstRow="0" w:lastRow="0" w:firstColumn="0" w:lastColumn="0" w:noHBand="1" w:noVBand="1"/>
    </w:tblPr>
    <w:tblGrid>
      <w:gridCol w:w="2830"/>
      <w:gridCol w:w="2830"/>
      <w:gridCol w:w="2830"/>
    </w:tblGrid>
    <w:tr w:rsidR="00600B74" w14:paraId="2204C9FC" w14:textId="77777777">
      <w:trPr>
        <w:trHeight w:val="300"/>
      </w:trPr>
      <w:tc>
        <w:tcPr>
          <w:tcW w:w="2830" w:type="dxa"/>
        </w:tcPr>
        <w:p w14:paraId="2963A0A8" w14:textId="77777777" w:rsidR="00600B74" w:rsidRDefault="00600B74">
          <w:pPr>
            <w:pBdr>
              <w:top w:val="nil"/>
              <w:left w:val="nil"/>
              <w:bottom w:val="nil"/>
              <w:right w:val="nil"/>
              <w:between w:val="nil"/>
            </w:pBdr>
            <w:tabs>
              <w:tab w:val="center" w:pos="4252"/>
              <w:tab w:val="right" w:pos="8504"/>
            </w:tabs>
            <w:spacing w:after="0" w:line="240" w:lineRule="auto"/>
            <w:ind w:left="-115"/>
            <w:rPr>
              <w:color w:val="000000"/>
            </w:rPr>
          </w:pPr>
        </w:p>
      </w:tc>
      <w:tc>
        <w:tcPr>
          <w:tcW w:w="2830" w:type="dxa"/>
        </w:tcPr>
        <w:p w14:paraId="6E17103D" w14:textId="77777777" w:rsidR="00600B74" w:rsidRDefault="00600B74">
          <w:pPr>
            <w:pBdr>
              <w:top w:val="nil"/>
              <w:left w:val="nil"/>
              <w:bottom w:val="nil"/>
              <w:right w:val="nil"/>
              <w:between w:val="nil"/>
            </w:pBdr>
            <w:tabs>
              <w:tab w:val="center" w:pos="4252"/>
              <w:tab w:val="right" w:pos="8504"/>
            </w:tabs>
            <w:spacing w:after="0" w:line="240" w:lineRule="auto"/>
            <w:jc w:val="center"/>
            <w:rPr>
              <w:color w:val="000000"/>
            </w:rPr>
          </w:pPr>
        </w:p>
      </w:tc>
      <w:tc>
        <w:tcPr>
          <w:tcW w:w="2830" w:type="dxa"/>
        </w:tcPr>
        <w:p w14:paraId="05D6F1BE" w14:textId="77777777" w:rsidR="00600B74" w:rsidRDefault="00600B74">
          <w:pPr>
            <w:pBdr>
              <w:top w:val="nil"/>
              <w:left w:val="nil"/>
              <w:bottom w:val="nil"/>
              <w:right w:val="nil"/>
              <w:between w:val="nil"/>
            </w:pBdr>
            <w:tabs>
              <w:tab w:val="center" w:pos="4252"/>
              <w:tab w:val="right" w:pos="8504"/>
            </w:tabs>
            <w:spacing w:after="0" w:line="240" w:lineRule="auto"/>
            <w:ind w:right="-115"/>
            <w:jc w:val="right"/>
            <w:rPr>
              <w:color w:val="000000"/>
            </w:rPr>
          </w:pPr>
        </w:p>
      </w:tc>
    </w:tr>
  </w:tbl>
  <w:p w14:paraId="2CC598B9" w14:textId="77777777" w:rsidR="00600B74" w:rsidRDefault="00600B74">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B74"/>
    <w:rsid w:val="000B3CC5"/>
    <w:rsid w:val="00352F2E"/>
    <w:rsid w:val="0036637D"/>
    <w:rsid w:val="00511444"/>
    <w:rsid w:val="00600B74"/>
    <w:rsid w:val="00FF17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9FEC8"/>
  <w15:docId w15:val="{3438ED6F-9536-4BB1-99A2-10836AB23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34117/bjdv9n9-021" TargetMode="External"/><Relationship Id="rId13" Type="http://schemas.openxmlformats.org/officeDocument/2006/relationships/hyperlink" Target="https://g1.globo.com/economia/noticia/2024/04/30/tcu-alerta-risco-de-colapso.ghtml" TargetMode="External"/><Relationship Id="rId18" Type="http://schemas.openxmlformats.org/officeDocument/2006/relationships/hyperlink" Target="https://doi.org/10.51891/rease.v10i10.16433" TargetMode="External"/><Relationship Id="rId3" Type="http://schemas.openxmlformats.org/officeDocument/2006/relationships/settings" Target="settings.xml"/><Relationship Id="rId21" Type="http://schemas.openxmlformats.org/officeDocument/2006/relationships/hyperlink" Target="https://doi.org/10.1590/2236-9996.2024-6164729-pt" TargetMode="External"/><Relationship Id="rId7" Type="http://schemas.openxmlformats.org/officeDocument/2006/relationships/hyperlink" Target="https://www.americangaming.org/resources/state-of-the-states-2024/" TargetMode="External"/><Relationship Id="rId12" Type="http://schemas.openxmlformats.org/officeDocument/2006/relationships/hyperlink" Target="https://g1.globo.com/economia/noticia/2024/08/22/tcu-alerta-para-risco-de-paralisacao-da-maquina-publica-ate-2028-com-alta-das-despesas-obrigatorias.ghtml" TargetMode="External"/><Relationship Id="rId17" Type="http://schemas.openxmlformats.org/officeDocument/2006/relationships/hyperlink" Target="https://www.njoag.gov/about/divisions-and-offices/division-of-gaming-enforcement-home/monthly-revenu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gaming.nv.gov/modules/showdocument.aspx?documentid=19464" TargetMode="External"/><Relationship Id="rId20" Type="http://schemas.openxmlformats.org/officeDocument/2006/relationships/hyperlink" Target="https://doi.org/10.1007/s12027-009-0144-1"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g1.globo.com/jornal-nacional/noticia/2024/09/27/governo-analisa-forma-de-proibir-que-dinheiro-do-bolsa-familia-seja-usado-em-apostas-online.g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heritage.org/taxes/report/the-laffer-curve-past-present-and-future" TargetMode="External"/><Relationship Id="rId23" Type="http://schemas.openxmlformats.org/officeDocument/2006/relationships/footer" Target="footer1.xml"/><Relationship Id="rId10" Type="http://schemas.openxmlformats.org/officeDocument/2006/relationships/hyperlink" Target="https://www.egba.eu/publications/" TargetMode="External"/><Relationship Id="rId19" Type="http://schemas.openxmlformats.org/officeDocument/2006/relationships/hyperlink" Target="https://www.similarweb.com/blog/pt/insights/o-mercado-de-apostas-online-brasileiro-continua-surpreendendo-com-um-crescimento-de-95-e-mantem-uma-trajetoria-ascendente-ate-o-final-de-2023/" TargetMode="External"/><Relationship Id="rId4" Type="http://schemas.openxmlformats.org/officeDocument/2006/relationships/webSettings" Target="webSettings.xml"/><Relationship Id="rId9" Type="http://schemas.openxmlformats.org/officeDocument/2006/relationships/hyperlink" Target="https://repositorio.fdci.edu.br/index.php/repositorio/article/view/278" TargetMode="External"/><Relationship Id="rId14" Type="http://schemas.openxmlformats.org/officeDocument/2006/relationships/hyperlink" Target="https://www.irs.gov/taxtopics/tc419"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pt.wikipedia.org/wiki/Valor_econ%C3%B4mico_adicionado" TargetMode="External"/><Relationship Id="rId2" Type="http://schemas.openxmlformats.org/officeDocument/2006/relationships/hyperlink" Target="https://www.similarweb.com/blog/pt/insights/o-mercado-de-apostas-online-brasileiro-continua-surpreendendo-com-um-crescimento-de-95-e-mantem-uma-trajetoria-ascendente-ate-o-final-de-2023/" TargetMode="External"/><Relationship Id="rId1" Type="http://schemas.openxmlformats.org/officeDocument/2006/relationships/hyperlink" Target="mailto:anielle.mendes@maisunifacisa.com.br" TargetMode="External"/><Relationship Id="rId5" Type="http://schemas.openxmlformats.org/officeDocument/2006/relationships/hyperlink" Target="https://pt.wikipedia.org/wiki/Estados_Unidos" TargetMode="External"/><Relationship Id="rId4" Type="http://schemas.openxmlformats.org/officeDocument/2006/relationships/hyperlink" Target="https://pt.wikipedia.org/wiki/Direito_tribut%C3%A1r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UbOtcO0cI0spijr9zkg8J2N8yg==">CgMxLjAyDmguZDZ2MXl3YzZzZDR3OAByITFJNU9RVFJIelRMUzF4YzI0dmRkcjFNZEVDRk9FekJvNQ==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27</Pages>
  <Words>8874</Words>
  <Characters>47920</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Fabrínia Almeida</cp:lastModifiedBy>
  <cp:revision>8</cp:revision>
  <dcterms:created xsi:type="dcterms:W3CDTF">2025-05-13T18:48:00Z</dcterms:created>
  <dcterms:modified xsi:type="dcterms:W3CDTF">2025-05-14T18:11:00Z</dcterms:modified>
</cp:coreProperties>
</file>