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fontTable.xml" ContentType="application/vnd.openxmlformats-officedocument.wordprocessingml.fontTable+xml"/>
  <Override PartName="/word/_rels/footnotes.xml.rels" ContentType="application/vnd.openxmlformats-package.relationships+xml"/>
  <Override PartName="/word/_rels/document.xml.rels" ContentType="application/vnd.openxmlformats-package.relationships+xml"/>
  <Override PartName="/word/theme/theme1.xml" ContentType="application/vnd.openxmlformats-officedocument.theme+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spacing w:lineRule="auto" w:line="360"/>
        <w:jc w:val="both"/>
        <w:rPr>
          <w:rFonts w:ascii="Arial" w:hAnsi="Arial"/>
        </w:rPr>
      </w:pPr>
      <w:r>
        <w:rPr>
          <w:rFonts w:ascii="Arial" w:hAnsi="Arial"/>
          <w:b/>
          <w:bCs/>
        </w:rPr>
        <w:t>CESED – CENTRO DE ENSINO SUPERIOR E DESENVOLVIMENTO</w:t>
      </w:r>
    </w:p>
    <w:p>
      <w:pPr>
        <w:pStyle w:val="Normal"/>
        <w:spacing w:lineRule="auto" w:line="360"/>
        <w:jc w:val="both"/>
        <w:rPr>
          <w:rFonts w:ascii="Arial" w:hAnsi="Arial"/>
        </w:rPr>
      </w:pPr>
      <w:r>
        <w:rPr>
          <w:rFonts w:ascii="Arial" w:hAnsi="Arial"/>
          <w:b/>
          <w:bCs/>
        </w:rPr>
        <w:t>UNIFACISA – CENTRO UNIVERSITÁRIO</w:t>
      </w:r>
    </w:p>
    <w:p>
      <w:pPr>
        <w:pStyle w:val="Normal"/>
        <w:spacing w:lineRule="auto" w:line="360"/>
        <w:jc w:val="both"/>
        <w:rPr>
          <w:rFonts w:ascii="Arial" w:hAnsi="Arial"/>
        </w:rPr>
      </w:pPr>
      <w:r>
        <w:rPr>
          <w:rFonts w:ascii="Arial" w:hAnsi="Arial"/>
          <w:b/>
          <w:bCs/>
        </w:rPr>
        <w:t>CURSO DE BACHARELADO EM DIREITO</w:t>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b/>
          <w:bCs/>
        </w:rPr>
        <w:t>NATANAEL DE ARAÚJO SOUSA</w:t>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b/>
          <w:bCs/>
        </w:rPr>
      </w:pPr>
      <w:r>
        <w:rPr>
          <w:rFonts w:ascii="Arial" w:hAnsi="Arial"/>
          <w:b/>
          <w:bCs/>
        </w:rPr>
      </w:r>
    </w:p>
    <w:p>
      <w:pPr>
        <w:pStyle w:val="Normal"/>
        <w:spacing w:lineRule="auto" w:line="360"/>
        <w:jc w:val="center"/>
        <w:rPr>
          <w:rFonts w:ascii="Arial" w:hAnsi="Arial"/>
        </w:rPr>
      </w:pPr>
      <w:r>
        <w:rPr>
          <w:rFonts w:ascii="Arial" w:hAnsi="Arial"/>
          <w:b/>
          <w:bCs/>
          <w:sz w:val="28"/>
          <w:szCs w:val="28"/>
        </w:rPr>
        <w:t>A RESPONSABILIDADE SOLIDÁRIA DOS ENTES FEDERATIVOS NAS DEMANDAS JUDICIAIS QUE VERSEM SOBRE FORNECIMENTO DE MEDICAMENTOS NÃO PADRONIZADOS PELO SISTEMA ÚNICO DE SAÚDE</w:t>
      </w:r>
    </w:p>
    <w:p>
      <w:pPr>
        <w:pStyle w:val="Normal"/>
        <w:spacing w:lineRule="auto" w:line="360"/>
        <w:jc w:val="center"/>
        <w:rPr>
          <w:rFonts w:ascii="Arial" w:hAnsi="Arial"/>
          <w:sz w:val="28"/>
          <w:szCs w:val="28"/>
        </w:rPr>
      </w:pPr>
      <w:r>
        <w:rPr>
          <w:rFonts w:ascii="Arial" w:hAnsi="Arial"/>
          <w:sz w:val="28"/>
          <w:szCs w:val="28"/>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t>CAMPINA GRANDE – PB</w:t>
      </w:r>
    </w:p>
    <w:p>
      <w:pPr>
        <w:pStyle w:val="Normal"/>
        <w:spacing w:lineRule="auto" w:line="360"/>
        <w:jc w:val="center"/>
        <w:rPr>
          <w:rFonts w:ascii="Arial" w:hAnsi="Arial"/>
        </w:rPr>
      </w:pPr>
      <w:r>
        <w:rPr>
          <w:rFonts w:ascii="Arial" w:hAnsi="Arial"/>
        </w:rPr>
        <w:t>2023</w:t>
      </w:r>
    </w:p>
    <w:p>
      <w:pPr>
        <w:pStyle w:val="Normal"/>
        <w:spacing w:lineRule="auto" w:line="360"/>
        <w:jc w:val="center"/>
        <w:rPr>
          <w:rFonts w:ascii="Arial" w:hAnsi="Arial"/>
        </w:rPr>
      </w:pPr>
      <w:r>
        <w:rPr>
          <w:rFonts w:ascii="Arial" w:hAnsi="Arial"/>
        </w:rPr>
        <w:t>NATANAEL DE ARAÚJO SOUSA</w:t>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b/>
          <w:bCs/>
          <w:sz w:val="28"/>
          <w:szCs w:val="28"/>
        </w:rPr>
        <w:t>A RESPONSABILIDADE SOLIDÁRIA DOS ENTES FEDERATIVOS NAS DEMANDAS JUDICIAIS QUE VERSEM SOBRE FORNECIMENTO DE MEDICAMENTOS NÃO PADRONIZADOS PELO SISTEMA ÚNICO DE SAÚDE</w:t>
      </w:r>
    </w:p>
    <w:p>
      <w:pPr>
        <w:pStyle w:val="Normal"/>
        <w:spacing w:lineRule="auto" w:line="360"/>
        <w:jc w:val="center"/>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t>Trabalho de Conclusão de Curso – Artigo Científico – apresentado como pré-requisito para a obtenção do título de Bacharel em Direito pela UniFacisa – Centro Universitário.</w:t>
      </w:r>
    </w:p>
    <w:p>
      <w:pPr>
        <w:pStyle w:val="Normal"/>
        <w:spacing w:lineRule="auto" w:line="360"/>
        <w:ind w:left="3742"/>
        <w:jc w:val="both"/>
        <w:rPr>
          <w:rFonts w:ascii="Arial" w:hAnsi="Arial"/>
        </w:rPr>
      </w:pPr>
      <w:r>
        <w:rPr>
          <w:rFonts w:ascii="Arial" w:hAnsi="Arial"/>
        </w:rPr>
        <w:t>Área de Concentração: Direito Administrativo.</w:t>
      </w:r>
    </w:p>
    <w:p>
      <w:pPr>
        <w:pStyle w:val="Normal"/>
        <w:spacing w:lineRule="auto" w:line="360"/>
        <w:ind w:left="3742"/>
        <w:jc w:val="both"/>
        <w:rPr>
          <w:rFonts w:ascii="Arial" w:hAnsi="Arial"/>
        </w:rPr>
      </w:pPr>
      <w:r>
        <w:rPr>
          <w:rFonts w:ascii="Arial" w:hAnsi="Arial"/>
        </w:rPr>
        <w:t>Orientadora: Profª da UniFacisa Márcia Cavalcante de Araújo, Dra.</w:t>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jc w:val="center"/>
        <w:rPr>
          <w:rFonts w:ascii="Arial" w:hAnsi="Arial"/>
        </w:rPr>
      </w:pPr>
      <w:r>
        <w:rPr>
          <w:rFonts w:ascii="Arial" w:hAnsi="Arial"/>
        </w:rPr>
        <w:t>Campina Grande-PB</w:t>
        <w:br/>
        <w:t>2023</w:t>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r>
        <w:br w:type="page"/>
      </w:r>
    </w:p>
    <w:p>
      <w:pPr>
        <w:pStyle w:val="Normal"/>
        <w:spacing w:lineRule="auto" w:line="360" w:before="0" w:after="0"/>
        <w:ind w:left="3742"/>
        <w:jc w:val="both"/>
        <w:rPr>
          <w:rFonts w:ascii="Arial" w:hAnsi="Arial"/>
        </w:rPr>
      </w:pPr>
      <w:r>
        <w:rPr>
          <w:rFonts w:ascii="Arial" w:hAnsi="Arial"/>
        </w:rPr>
      </w:r>
    </w:p>
    <w:p>
      <w:pPr>
        <w:pStyle w:val="Normal"/>
        <w:spacing w:lineRule="auto" w:line="360"/>
        <w:jc w:val="center"/>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spacing w:lineRule="auto" w:line="360"/>
        <w:ind w:left="3742"/>
        <w:jc w:val="both"/>
        <w:rPr>
          <w:rFonts w:ascii="Arial" w:hAnsi="Arial"/>
        </w:rPr>
      </w:pPr>
      <w:r>
        <w:rPr>
          <w:rFonts w:ascii="Arial" w:hAnsi="Arial"/>
        </w:rPr>
      </w:r>
    </w:p>
    <w:p>
      <w:pPr>
        <w:pStyle w:val="Normal"/>
        <w:ind w:left="3742"/>
        <w:jc w:val="both"/>
        <w:rPr>
          <w:highlight w:val="yellow"/>
        </w:rPr>
      </w:pPr>
      <w:r>
        <w:rPr>
          <w:highlight w:val="yellow"/>
        </w:rPr>
      </w:r>
    </w:p>
    <w:p>
      <w:pPr>
        <w:pStyle w:val="Normal"/>
        <w:ind w:left="3742"/>
        <w:jc w:val="both"/>
        <w:rPr>
          <w:highlight w:val="yellow"/>
        </w:rPr>
      </w:pPr>
      <w:r>
        <w:rPr>
          <w:highlight w:val="yellow"/>
        </w:rPr>
      </w:r>
    </w:p>
    <w:p>
      <w:pPr>
        <w:pStyle w:val="Normal"/>
        <w:ind w:left="3742"/>
        <w:jc w:val="both"/>
        <w:rPr>
          <w:highlight w:val="yellow"/>
        </w:rPr>
      </w:pPr>
      <w:r>
        <w:rPr>
          <w:highlight w:val="yellow"/>
        </w:rPr>
      </w:r>
    </w:p>
    <w:p>
      <w:pPr>
        <w:pStyle w:val="Normal"/>
        <w:ind w:left="3742"/>
        <w:jc w:val="both"/>
        <w:rPr>
          <w:highlight w:val="yellow"/>
        </w:rPr>
      </w:pPr>
      <w:r>
        <w:rPr>
          <w:highlight w:val="yellow"/>
        </w:rPr>
      </w:r>
    </w:p>
    <w:p>
      <w:pPr>
        <w:pStyle w:val="Normal"/>
        <w:ind w:left="3742"/>
        <w:jc w:val="both"/>
        <w:rPr>
          <w:highlight w:val="yellow"/>
        </w:rPr>
      </w:pPr>
      <w:r>
        <w:rPr>
          <w:highlight w:val="yellow"/>
        </w:rPr>
      </w:r>
    </w:p>
    <w:p>
      <w:pPr>
        <w:pStyle w:val="Normal"/>
        <w:ind w:left="3742"/>
        <w:jc w:val="both"/>
        <w:rPr>
          <w:highlight w:val="yellow"/>
        </w:rPr>
      </w:pPr>
      <w:r>
        <w:rPr>
          <w:highlight w:val="yellow"/>
        </w:rPr>
      </w:r>
    </w:p>
    <w:p>
      <w:pPr>
        <w:pStyle w:val="Normal"/>
        <w:ind w:left="3742"/>
        <w:jc w:val="both"/>
        <w:rPr>
          <w:highlight w:val="yellow"/>
        </w:rPr>
      </w:pPr>
      <w:r>
        <w:rPr>
          <w:highlight w:val="yellow"/>
        </w:rPr>
      </w:r>
    </w:p>
    <w:p>
      <w:pPr>
        <w:pStyle w:val="Normal"/>
        <w:ind w:left="3742"/>
        <w:jc w:val="both"/>
        <w:rPr>
          <w:highlight w:val="yellow"/>
        </w:rPr>
      </w:pPr>
      <w:r>
        <w:rPr>
          <w:highlight w:val="yellow"/>
        </w:rPr>
      </w:r>
    </w:p>
    <w:p>
      <w:pPr>
        <w:pStyle w:val="Normal"/>
        <w:ind w:left="3742"/>
        <w:jc w:val="both"/>
        <w:rPr>
          <w:highlight w:val="yellow"/>
        </w:rPr>
      </w:pPr>
      <w:r>
        <w:rPr>
          <w:highlight w:val="yellow"/>
        </w:rPr>
      </w:r>
    </w:p>
    <w:p>
      <w:pPr>
        <w:pStyle w:val="Normal"/>
        <w:jc w:val="both"/>
        <w:rPr>
          <w:highlight w:val="yellow"/>
        </w:rPr>
      </w:pPr>
      <w:r>
        <w:rPr>
          <w:highlight w:val="yellow"/>
        </w:rPr>
      </w:r>
    </w:p>
    <w:p>
      <w:pPr>
        <w:pStyle w:val="Normal"/>
        <w:ind w:left="3742"/>
        <w:jc w:val="both"/>
        <w:rPr/>
      </w:pPr>
      <w:r>
        <w:rPr/>
      </w:r>
    </w:p>
    <w:p>
      <w:pPr>
        <w:pStyle w:val="Normal"/>
        <w:ind w:left="3742"/>
        <w:jc w:val="both"/>
        <w:rPr/>
      </w:pPr>
      <w:r>
        <w:rPr>
          <w:rFonts w:ascii="Arial" w:hAnsi="Arial"/>
        </w:rPr>
        <w:t>Trabalho de Conclusão de Curso – Artigo Científico – A responsabilidade solidária dos entes federativos nas demandas judiciais que versem sobre fornecimento de medicamentos não padronizados pelo sistema único de saúde, como parte dos requisitos para obtenção do título de Bacharel em Direito, outorgado pela UniFacisa – Centro Universitário</w:t>
      </w:r>
    </w:p>
    <w:p>
      <w:pPr>
        <w:pStyle w:val="Normal"/>
        <w:ind w:left="3742"/>
        <w:jc w:val="both"/>
        <w:rPr>
          <w:rFonts w:ascii="Arial" w:hAnsi="Arial"/>
        </w:rPr>
      </w:pPr>
      <w:r>
        <w:rPr>
          <w:rFonts w:ascii="Arial" w:hAnsi="Arial"/>
        </w:rPr>
      </w:r>
    </w:p>
    <w:p>
      <w:pPr>
        <w:pStyle w:val="Normal"/>
        <w:ind w:firstLine="3742"/>
        <w:jc w:val="both"/>
        <w:rPr/>
      </w:pPr>
      <w:r>
        <w:rPr/>
      </w:r>
    </w:p>
    <w:p>
      <w:pPr>
        <w:pStyle w:val="Normal"/>
        <w:ind w:firstLine="3742"/>
        <w:jc w:val="both"/>
        <w:rPr/>
      </w:pPr>
      <w:r>
        <w:rPr>
          <w:rFonts w:ascii="Arial" w:hAnsi="Arial"/>
        </w:rPr>
        <w:t>APROVADO EM ____/____/_____</w:t>
      </w:r>
    </w:p>
    <w:p>
      <w:pPr>
        <w:pStyle w:val="Normal"/>
        <w:ind w:left="3742"/>
        <w:jc w:val="both"/>
        <w:rPr/>
      </w:pPr>
      <w:r>
        <w:rPr>
          <w:rFonts w:ascii="Arial" w:hAnsi="Arial"/>
        </w:rPr>
        <w:t>BANCA EXAMINADORA:</w:t>
      </w:r>
    </w:p>
    <w:p>
      <w:pPr>
        <w:pStyle w:val="Normal"/>
        <w:ind w:left="3742"/>
        <w:jc w:val="both"/>
        <w:rPr>
          <w:rFonts w:ascii="Arial" w:hAnsi="Arial"/>
        </w:rPr>
      </w:pPr>
      <w:r>
        <w:rPr>
          <w:rFonts w:ascii="Arial" w:hAnsi="Arial"/>
        </w:rPr>
      </w:r>
    </w:p>
    <w:p>
      <w:pPr>
        <w:pStyle w:val="Normal"/>
        <w:ind w:left="3742"/>
        <w:jc w:val="both"/>
        <w:rPr/>
      </w:pPr>
      <w:r>
        <w:rPr>
          <w:rFonts w:ascii="Arial" w:hAnsi="Arial"/>
        </w:rPr>
        <w:t>____________________________</w:t>
      </w:r>
    </w:p>
    <w:p>
      <w:pPr>
        <w:pStyle w:val="Normal"/>
        <w:ind w:left="3742"/>
        <w:jc w:val="both"/>
        <w:rPr/>
      </w:pPr>
      <w:r>
        <w:rPr>
          <w:rFonts w:ascii="Arial" w:hAnsi="Arial"/>
        </w:rPr>
        <w:t>Prof.º da UniFacisa, Márcia Cavalcante de Araújo, Dra.</w:t>
      </w:r>
    </w:p>
    <w:p>
      <w:pPr>
        <w:pStyle w:val="Normal"/>
        <w:ind w:left="3742"/>
        <w:jc w:val="center"/>
        <w:rPr/>
      </w:pPr>
      <w:r>
        <w:rPr>
          <w:rFonts w:ascii="Arial" w:hAnsi="Arial"/>
        </w:rPr>
        <w:t>Orientadora</w:t>
      </w:r>
    </w:p>
    <w:p>
      <w:pPr>
        <w:pStyle w:val="Normal"/>
        <w:ind w:left="3742"/>
        <w:jc w:val="both"/>
        <w:rPr/>
      </w:pPr>
      <w:r>
        <w:rPr>
          <w:rFonts w:ascii="Arial" w:hAnsi="Arial"/>
        </w:rPr>
        <w:t>____________________________</w:t>
      </w:r>
    </w:p>
    <w:p>
      <w:pPr>
        <w:pStyle w:val="Normal"/>
        <w:ind w:left="3742"/>
        <w:jc w:val="both"/>
        <w:rPr/>
      </w:pPr>
      <w:r>
        <w:rPr>
          <w:rFonts w:ascii="Arial" w:hAnsi="Arial"/>
        </w:rPr>
        <w:t>Prof.º da UniFacisa, Nome Completo do Membro, Titulação.</w:t>
      </w:r>
    </w:p>
    <w:p>
      <w:pPr>
        <w:pStyle w:val="Normal"/>
        <w:ind w:left="3742"/>
        <w:jc w:val="both"/>
        <w:rPr/>
      </w:pPr>
      <w:r>
        <w:rPr>
          <w:rFonts w:ascii="Arial" w:hAnsi="Arial"/>
        </w:rPr>
        <w:t>____________________________</w:t>
      </w:r>
    </w:p>
    <w:p>
      <w:pPr>
        <w:pStyle w:val="Normal"/>
        <w:ind w:left="3742"/>
        <w:jc w:val="both"/>
        <w:rPr/>
      </w:pPr>
      <w:r>
        <w:rPr>
          <w:rFonts w:ascii="Arial" w:hAnsi="Arial"/>
        </w:rPr>
        <w:t>Prof.º da UniFacisa, Nome Completo do Membro, Titulação.</w:t>
      </w:r>
      <w:r>
        <w:br w:type="page"/>
      </w:r>
    </w:p>
    <w:p>
      <w:pPr>
        <w:pStyle w:val="Normal"/>
        <w:spacing w:before="0" w:after="0"/>
        <w:jc w:val="center"/>
        <w:rPr/>
      </w:pPr>
      <w:r>
        <w:rPr>
          <w:rFonts w:ascii="Arial" w:hAnsi="Arial"/>
          <w:sz w:val="28"/>
          <w:szCs w:val="28"/>
        </w:rPr>
        <w:t xml:space="preserve">A RESPONSABILIDADE SOLIDÁRIA DOS ENTES FEDERATIVOS NAS DEMANDAS JUDICIAIS QUE VERSEM SOBRE FORNECIMENTO DE MEDICAMENTOS NÃO PADRONIZADOS PELO SISTEMA ÚNICO DE SAÚDE </w:t>
      </w:r>
    </w:p>
    <w:p>
      <w:pPr>
        <w:pStyle w:val="Normal"/>
        <w:spacing w:lineRule="auto" w:line="360"/>
        <w:jc w:val="right"/>
        <w:rPr>
          <w:rFonts w:ascii="Arial" w:hAnsi="Arial"/>
        </w:rPr>
      </w:pPr>
      <w:r>
        <w:rPr>
          <w:rFonts w:ascii="Arial" w:hAnsi="Arial"/>
        </w:rPr>
      </w:r>
    </w:p>
    <w:p>
      <w:pPr>
        <w:pStyle w:val="Normal"/>
        <w:spacing w:lineRule="auto" w:line="360"/>
        <w:jc w:val="right"/>
        <w:rPr>
          <w:rFonts w:ascii="Arial" w:hAnsi="Arial"/>
        </w:rPr>
      </w:pPr>
      <w:r>
        <w:rPr>
          <w:rFonts w:ascii="Arial" w:hAnsi="Arial"/>
        </w:rPr>
        <w:t>Natanael de Araújo Sousa</w:t>
      </w:r>
      <w:r>
        <w:rPr>
          <w:rStyle w:val="FootnoteReference"/>
          <w:rFonts w:ascii="Arial" w:hAnsi="Arial"/>
        </w:rPr>
        <w:footnoteReference w:customMarkFollows="1" w:id="2"/>
        <w:t>*</w:t>
      </w:r>
    </w:p>
    <w:p>
      <w:pPr>
        <w:pStyle w:val="Normal"/>
        <w:spacing w:lineRule="auto" w:line="360"/>
        <w:jc w:val="right"/>
        <w:rPr>
          <w:rFonts w:ascii="Arial" w:hAnsi="Arial"/>
        </w:rPr>
      </w:pPr>
      <w:r>
        <w:rPr>
          <w:rFonts w:ascii="Arial" w:hAnsi="Arial"/>
        </w:rPr>
        <w:t>Márcia Cavalcante de Araújo</w:t>
      </w:r>
      <w:r>
        <w:rPr>
          <w:rStyle w:val="FootnoteReference"/>
          <w:rFonts w:ascii="Arial" w:hAnsi="Arial"/>
        </w:rPr>
        <w:footnoteReference w:customMarkFollows="1" w:id="3"/>
        <w:t>**</w:t>
      </w:r>
      <w:r>
        <w:rPr>
          <w:rFonts w:ascii="Arial" w:hAnsi="Arial"/>
        </w:rPr>
        <w:t>****</w:t>
      </w:r>
    </w:p>
    <w:p>
      <w:pPr>
        <w:pStyle w:val="Normal"/>
        <w:spacing w:lineRule="auto" w:line="360"/>
        <w:jc w:val="right"/>
        <w:rPr>
          <w:rFonts w:ascii="Arial" w:hAnsi="Arial"/>
          <w:b/>
          <w:bCs/>
          <w:color w:val="FF0000"/>
        </w:rPr>
      </w:pPr>
      <w:r>
        <w:rPr>
          <w:rFonts w:ascii="Arial" w:hAnsi="Arial"/>
          <w:b/>
          <w:bCs/>
          <w:color w:val="FF0000"/>
        </w:rPr>
      </w:r>
    </w:p>
    <w:p>
      <w:pPr>
        <w:pStyle w:val="Normal"/>
        <w:spacing w:lineRule="auto" w:line="360"/>
        <w:jc w:val="right"/>
        <w:rPr>
          <w:rFonts w:ascii="Arial" w:hAnsi="Arial"/>
        </w:rPr>
      </w:pPr>
      <w:r>
        <w:rPr>
          <w:rFonts w:ascii="Arial" w:hAnsi="Arial"/>
        </w:rPr>
      </w:r>
    </w:p>
    <w:p>
      <w:pPr>
        <w:pStyle w:val="Normal"/>
        <w:spacing w:lineRule="auto" w:line="360"/>
        <w:jc w:val="right"/>
        <w:rPr>
          <w:rFonts w:ascii="Arial" w:hAnsi="Arial"/>
        </w:rPr>
      </w:pPr>
      <w:r>
        <w:rPr>
          <w:rFonts w:ascii="Arial" w:hAnsi="Arial"/>
        </w:rPr>
      </w:r>
    </w:p>
    <w:p>
      <w:pPr>
        <w:pStyle w:val="Normal"/>
        <w:spacing w:lineRule="auto" w:line="360"/>
        <w:jc w:val="center"/>
        <w:rPr>
          <w:rFonts w:ascii="Arial" w:hAnsi="Arial"/>
        </w:rPr>
      </w:pPr>
      <w:r>
        <w:rPr>
          <w:rFonts w:ascii="Arial" w:hAnsi="Arial"/>
          <w:b/>
          <w:bCs/>
        </w:rPr>
        <w:t>RESUMO</w:t>
      </w:r>
    </w:p>
    <w:p>
      <w:pPr>
        <w:pStyle w:val="Normal"/>
        <w:spacing w:lineRule="auto" w:line="360"/>
        <w:jc w:val="both"/>
        <w:rPr>
          <w:rFonts w:ascii="Arial" w:hAnsi="Arial"/>
        </w:rPr>
      </w:pPr>
      <w:r>
        <w:rPr>
          <w:rFonts w:ascii="Arial" w:hAnsi="Arial"/>
        </w:rPr>
      </w:r>
    </w:p>
    <w:p>
      <w:pPr>
        <w:pStyle w:val="Normal"/>
        <w:jc w:val="both"/>
        <w:rPr/>
      </w:pPr>
      <w:r>
        <w:rPr>
          <w:rFonts w:ascii="Arial" w:hAnsi="Arial"/>
        </w:rPr>
        <w:t>A atual Constituição Federal traz a saúde pública como conjunto de ações que o Estado, em todas as esferas federativas, deve adotar para promover o bem-estar físico, psíquico e emocional daqueles que se achem no território nacional. Além disso, a Carga Magna reparte essa atribuição do cuidado com saúde aos entes políticos internos, com suas responsabilidades específicas. Nos casos de fornecimento de medicamento, um dos conflitos de competência mais discutidos é acerca dos medicamentos que são registrados na Agência Nacional de Vigilância Sanitária (Anvisa), mas não padronizados pela Relação Nacional dos Medicamentos Essenciais (Rename). Diante dessa situação, surge a problemática de quem é a responsabilidade no caso em concreto para fornecimento do medicamento ao paciente que dele necessita. Buscando melhor análise do caso, o trabalho tem por objetivo analisar a questão da responsabilidade solidária dos entes federativos nas demandas judiciais que envolvam fornecimento destes medicamentos. Para tanto, utilizou-se o método de abordagem dedutivo e a pesquisa dogmático-jurídica de natureza bibliográfica, por meio da consulta de obras e documentos. Por fim, verificou-se que a responsabilidade solidária dos entes federativas é a que coaduna com as disposições constitucionais.</w:t>
      </w:r>
    </w:p>
    <w:p>
      <w:pPr>
        <w:pStyle w:val="Normal"/>
        <w:spacing w:lineRule="auto" w:line="360"/>
        <w:jc w:val="both"/>
        <w:rPr>
          <w:rFonts w:ascii="Arial" w:hAnsi="Arial"/>
          <w:color w:val="FF0000"/>
        </w:rPr>
      </w:pPr>
      <w:r>
        <w:rPr>
          <w:rFonts w:ascii="Arial" w:hAnsi="Arial"/>
          <w:color w:val="FF0000"/>
        </w:rPr>
      </w:r>
    </w:p>
    <w:p>
      <w:pPr>
        <w:pStyle w:val="Normal"/>
        <w:spacing w:lineRule="auto" w:line="360"/>
        <w:jc w:val="both"/>
        <w:rPr>
          <w:rFonts w:ascii="Arial" w:hAnsi="Arial"/>
        </w:rPr>
      </w:pPr>
      <w:r>
        <w:rPr>
          <w:rFonts w:ascii="Arial" w:hAnsi="Arial"/>
          <w:b/>
          <w:bCs/>
        </w:rPr>
        <w:t>PALAVRAS-CHAVE:</w:t>
      </w:r>
      <w:r>
        <w:rPr>
          <w:rFonts w:ascii="Arial" w:hAnsi="Arial"/>
        </w:rPr>
        <w:t xml:space="preserve"> Direito à Saúde; Fornecimento de Medicamento; Responsabilidade Solidária.</w:t>
      </w:r>
    </w:p>
    <w:p>
      <w:pPr>
        <w:pStyle w:val="Normal"/>
        <w:spacing w:lineRule="auto" w:line="360"/>
        <w:jc w:val="both"/>
        <w:rPr>
          <w:rFonts w:ascii="Arial" w:hAnsi="Arial"/>
        </w:rPr>
      </w:pPr>
      <w:r>
        <w:rPr>
          <w:rFonts w:ascii="Arial" w:hAnsi="Arial"/>
        </w:rPr>
      </w:r>
    </w:p>
    <w:p>
      <w:pPr>
        <w:pStyle w:val="Normal"/>
        <w:spacing w:lineRule="auto" w:line="360"/>
        <w:jc w:val="center"/>
        <w:rPr>
          <w:rFonts w:ascii="Arial" w:hAnsi="Arial"/>
          <w:lang w:val="en-US"/>
        </w:rPr>
      </w:pPr>
      <w:r>
        <w:rPr>
          <w:rFonts w:ascii="Arial" w:hAnsi="Arial"/>
          <w:b/>
          <w:bCs/>
          <w:lang w:val="en-US"/>
        </w:rPr>
        <w:t>ABSTRACT</w:t>
      </w:r>
    </w:p>
    <w:p>
      <w:pPr>
        <w:pStyle w:val="Normal"/>
        <w:spacing w:lineRule="auto" w:line="360"/>
        <w:jc w:val="both"/>
        <w:rPr>
          <w:rFonts w:ascii="Arial" w:hAnsi="Arial"/>
          <w:lang w:val="en-US"/>
        </w:rPr>
      </w:pPr>
      <w:r>
        <w:rPr>
          <w:rFonts w:ascii="Arial" w:hAnsi="Arial"/>
          <w:lang w:val="en-US"/>
        </w:rPr>
      </w:r>
    </w:p>
    <w:p>
      <w:pPr>
        <w:pStyle w:val="Normal"/>
        <w:spacing w:lineRule="auto" w:line="360"/>
        <w:jc w:val="both"/>
        <w:rPr/>
      </w:pPr>
      <w:r>
        <w:rPr>
          <w:rFonts w:ascii="Arial" w:hAnsi="Arial"/>
          <w:lang w:val="en-US"/>
        </w:rPr>
        <w:t>The current Brazilian Constitution establishes public health as a set of actions that the State, at all levels of government, must take to promote the physical, mental, and emotional well-being of all those within the national territory. In addition, the Constitution assigns this responsibility for healthcare to the country's internal political entities, each with its own specific responsibilities. In the case of providing medication, one of the most discussed conflicts of jurisdiction is regarding medications that are registered with the National Health Surveillance Agency (ANVISA), but are not standardized by the National List of Essential Medicines (Rename). In this situation, the question arises of who is responsible in a specific case for providing the medication to the patient who needs it. Seeking a better analysis of the case, this work aims to analyze the issue of the joint responsibility of the federal entities in judicial cases involving the provision of these medications. To this end, an exploratory methodology was adopted, the result of which is qualitative. In conclusion, it was found that the joint responsibility of the federal entities is the one that is in line with the constitutional provisions.</w:t>
      </w:r>
    </w:p>
    <w:p>
      <w:pPr>
        <w:pStyle w:val="Normal"/>
        <w:spacing w:lineRule="auto" w:line="360"/>
        <w:jc w:val="both"/>
        <w:rPr>
          <w:rFonts w:ascii="Arial" w:hAnsi="Arial"/>
          <w:b/>
          <w:bCs/>
          <w:shd w:fill="FFBF00" w:val="clear"/>
          <w:lang w:val="en-US"/>
        </w:rPr>
      </w:pPr>
      <w:r>
        <w:rPr>
          <w:rFonts w:ascii="Arial" w:hAnsi="Arial"/>
          <w:b/>
          <w:bCs/>
          <w:shd w:fill="FFBF00" w:val="clear"/>
          <w:lang w:val="en-US"/>
        </w:rPr>
      </w:r>
    </w:p>
    <w:p>
      <w:pPr>
        <w:pStyle w:val="Normal"/>
        <w:spacing w:lineRule="auto" w:line="360"/>
        <w:jc w:val="both"/>
        <w:rPr>
          <w:rFonts w:ascii="Arial" w:hAnsi="Arial"/>
          <w:lang w:val="en-US"/>
        </w:rPr>
      </w:pPr>
      <w:r>
        <w:rPr>
          <w:rFonts w:ascii="Arial" w:hAnsi="Arial"/>
          <w:b/>
          <w:bCs/>
          <w:lang w:val="en-US"/>
        </w:rPr>
        <w:t xml:space="preserve">KEYWORDS: </w:t>
      </w:r>
      <w:r>
        <w:rPr>
          <w:rFonts w:ascii="Arial" w:hAnsi="Arial"/>
          <w:lang w:val="en-US"/>
        </w:rPr>
        <w:t>Right to Health; Supply of Medicine; Theme of General Repercussion nº 1234; Joint Responsibility.</w:t>
      </w:r>
    </w:p>
    <w:p>
      <w:pPr>
        <w:pStyle w:val="Normal"/>
        <w:spacing w:lineRule="auto" w:line="360"/>
        <w:jc w:val="both"/>
        <w:rPr>
          <w:rFonts w:ascii="Arial" w:hAnsi="Arial"/>
          <w:b/>
          <w:bCs/>
          <w:lang w:val="en-US"/>
        </w:rPr>
      </w:pPr>
      <w:r>
        <w:rPr>
          <w:rFonts w:ascii="Arial" w:hAnsi="Arial"/>
          <w:b/>
          <w:bCs/>
          <w:lang w:val="en-US"/>
        </w:rPr>
      </w:r>
    </w:p>
    <w:p>
      <w:pPr>
        <w:pStyle w:val="Normal"/>
        <w:spacing w:lineRule="auto" w:line="360"/>
        <w:jc w:val="both"/>
        <w:rPr>
          <w:rFonts w:ascii="Arial" w:hAnsi="Arial"/>
        </w:rPr>
      </w:pPr>
      <w:r>
        <w:rPr>
          <w:rFonts w:ascii="Arial" w:hAnsi="Arial"/>
          <w:b/>
          <w:bCs/>
        </w:rPr>
        <w:t>1 INTRODUÇÃO</w:t>
      </w:r>
    </w:p>
    <w:p>
      <w:pPr>
        <w:pStyle w:val="Normal"/>
        <w:spacing w:lineRule="auto" w:line="360"/>
        <w:jc w:val="both"/>
        <w:rPr/>
      </w:pPr>
      <w:r>
        <w:rPr/>
      </w:r>
    </w:p>
    <w:p>
      <w:pPr>
        <w:pStyle w:val="Normal"/>
        <w:spacing w:lineRule="auto" w:line="360"/>
        <w:ind w:firstLine="709"/>
        <w:jc w:val="both"/>
        <w:rPr>
          <w:rFonts w:ascii="Arial" w:hAnsi="Arial"/>
        </w:rPr>
      </w:pPr>
      <w:r>
        <w:rPr>
          <w:rFonts w:ascii="Arial" w:hAnsi="Arial"/>
        </w:rPr>
        <w:t>O caput do art. 5º, da Constituição Federal de 1988 (Brasil, 1988), proclama que a todos é garantido a inviolabilidade do direito à vida. Dentro desta garantia, também está incluída a integridade física que deve ser protegida pelo Estado ou, em caso de sua violação, a sua recuperação deve ser garantida.</w:t>
      </w:r>
    </w:p>
    <w:p>
      <w:pPr>
        <w:pStyle w:val="Normal"/>
        <w:spacing w:lineRule="auto" w:line="360"/>
        <w:ind w:firstLine="709"/>
        <w:jc w:val="both"/>
        <w:rPr>
          <w:rFonts w:ascii="Arial" w:hAnsi="Arial"/>
        </w:rPr>
      </w:pPr>
      <w:r>
        <w:rPr>
          <w:rFonts w:ascii="Arial" w:hAnsi="Arial"/>
        </w:rPr>
        <w:t>Um indivíduo terá o seu direito a vida, em sua plenitude, se tiver em seu bem-estar integro, tendo o mínimo necessário para ser capaz de realiza-se como ser humano. Qualquer alteração em seu bem-estar físico e/ou mental, o direito à vida do indivíduo estará de forma indireta violado, devendo a sua recomposição, caso possível, ser promovida pelo Estado.</w:t>
      </w:r>
    </w:p>
    <w:p>
      <w:pPr>
        <w:pStyle w:val="Normal"/>
        <w:spacing w:lineRule="auto" w:line="360"/>
        <w:ind w:firstLine="709"/>
        <w:jc w:val="both"/>
        <w:rPr>
          <w:rFonts w:ascii="Arial" w:hAnsi="Arial"/>
        </w:rPr>
      </w:pPr>
      <w:r>
        <w:rPr>
          <w:rFonts w:ascii="Arial" w:hAnsi="Arial"/>
        </w:rPr>
        <w:t>Por sua vez, o art. 6º, da Constituição Federal (Brasil, 1988), prevê, de forma específica, o direito à saúde no rol dos direitos sociais. O direito à saúde é direito basilar para todos os outros direitos sociais, pois sem ele não é possível o exercício destes.</w:t>
      </w:r>
    </w:p>
    <w:p>
      <w:pPr>
        <w:pStyle w:val="Normal"/>
        <w:spacing w:lineRule="auto" w:line="360"/>
        <w:ind w:firstLine="709"/>
        <w:jc w:val="both"/>
        <w:rPr>
          <w:rFonts w:ascii="Arial" w:hAnsi="Arial"/>
        </w:rPr>
      </w:pPr>
      <w:r>
        <w:rPr>
          <w:rFonts w:ascii="Arial" w:hAnsi="Arial"/>
        </w:rPr>
        <w:t xml:space="preserve">Sem o direito à saúde, o indivíduo está impossibilitado do exercício das suas garantias e dos seus direitos individuais e sociais a exemplo do direito ao trabalho, a liberdade de locomoção, a liberdade de crença, ao lazer, dentre outros. Daí que vem afirmação do porquê o direito à saúde é tão fundamental, pois o indivíduo não estando em suas plenas capacidades físicas, morais e mentais, limitado estará do exercício de seus direitos. </w:t>
      </w:r>
    </w:p>
    <w:p>
      <w:pPr>
        <w:pStyle w:val="Normal"/>
        <w:spacing w:lineRule="auto" w:line="360"/>
        <w:ind w:firstLine="709"/>
        <w:jc w:val="both"/>
        <w:rPr>
          <w:rFonts w:ascii="Arial" w:hAnsi="Arial"/>
        </w:rPr>
      </w:pPr>
      <w:r>
        <w:rPr>
          <w:rFonts w:ascii="Arial" w:hAnsi="Arial"/>
        </w:rPr>
        <w:t xml:space="preserve">Ocorre que muitas vezes, por razões diversas, em se tratando de medicamento registrado na Anvisa, mas não presente na Relação Nacional dos Medicamentos Essenciais (Rename), o ente público nega a entrega administrativamente do medicamento, afirmando não ser sua a responsabilidade pela disponibilização daquele fármaco, surgindo um conflito negativo de competência. </w:t>
      </w:r>
    </w:p>
    <w:p>
      <w:pPr>
        <w:pStyle w:val="Normal"/>
        <w:spacing w:lineRule="auto" w:line="360"/>
        <w:ind w:firstLine="709"/>
        <w:jc w:val="both"/>
        <w:rPr>
          <w:rFonts w:ascii="Arial" w:hAnsi="Arial"/>
        </w:rPr>
      </w:pPr>
      <w:r>
        <w:rPr>
          <w:rFonts w:ascii="Arial" w:hAnsi="Arial"/>
        </w:rPr>
        <w:t>Ante essa necessidade do medicamento pelo paciente e a negação de fornecimento por parte do poder público e não estando claro de quem é a responsabilidade no caso prático, surge a questão contra qual ente político deve ser demandado judicialmente para se requerer o medicamento via judicial e qual a justiça que se deve procurar para pedir que se cumpra o direito constitucionalmente protegido?</w:t>
      </w:r>
    </w:p>
    <w:p>
      <w:pPr>
        <w:pStyle w:val="Normal"/>
        <w:spacing w:lineRule="auto" w:line="360"/>
        <w:ind w:firstLine="709"/>
        <w:jc w:val="both"/>
        <w:rPr>
          <w:rFonts w:ascii="Arial" w:hAnsi="Arial"/>
        </w:rPr>
      </w:pPr>
      <w:r>
        <w:rPr>
          <w:rFonts w:ascii="Arial" w:hAnsi="Arial"/>
        </w:rPr>
        <w:t>Nesse sentido, o presente artigo visa analisar a questão da responsabilidade solidária dos entes federativos nas demandas judiciais que abordam o fornecimento de medicamentos registrados na Anvisa, mas não padronizados pelo Sistema Único de Saúde (SUS), através da inclusão na Rename, à luz do Tema de Repercussão Geral nº 1234 do Supremo Tribunal Federal, e verificar se há solidariedade dos entes políticos ou não nesse contexto do direito à saúde.</w:t>
      </w:r>
    </w:p>
    <w:p>
      <w:pPr>
        <w:pStyle w:val="Normal"/>
        <w:spacing w:lineRule="auto" w:line="360"/>
        <w:ind w:firstLine="709"/>
        <w:jc w:val="both"/>
        <w:rPr>
          <w:rFonts w:ascii="Arial" w:hAnsi="Arial"/>
        </w:rPr>
      </w:pPr>
      <w:r>
        <w:rPr>
          <w:rFonts w:ascii="Arial" w:hAnsi="Arial"/>
        </w:rPr>
        <w:t>Para tanto, o primeiro objetivo específico deste trabalho é entender como está estruturado o sistema de distribuição de medicamentos, os fundamentos legais do sistema e as responsabilidades de cada ente dentro do sistema. O segundo objeto específico é apurar como se encontra</w:t>
      </w:r>
      <w:r>
        <w:rPr>
          <w:rFonts w:ascii="Arial" w:hAnsi="Arial"/>
          <w:color w:val="FF0000"/>
        </w:rPr>
        <w:t xml:space="preserve"> </w:t>
      </w:r>
      <w:r>
        <w:rPr>
          <w:rFonts w:ascii="Arial" w:hAnsi="Arial"/>
        </w:rPr>
        <w:t>a discussão jurisprudencial acerca da definição da responsabilidade do Estado em se tratando de demanda envolvendo a solicitação de medicamentos não padronizados.</w:t>
      </w:r>
    </w:p>
    <w:p>
      <w:pPr>
        <w:pStyle w:val="Normal"/>
        <w:spacing w:lineRule="auto" w:line="360"/>
        <w:ind w:firstLine="709"/>
        <w:jc w:val="both"/>
        <w:rPr>
          <w:rFonts w:ascii="Arial" w:hAnsi="Arial"/>
        </w:rPr>
      </w:pPr>
      <w:r>
        <w:rPr>
          <w:rFonts w:ascii="Arial" w:hAnsi="Arial"/>
        </w:rPr>
        <w:t>O presente trabalho, para alcançar os objetivos propostos utilizou o método de abordagem dedutivo e a pesquisa dogmático-jurídica de natureza bibliográfica, por meio da consulta de obras e documentos e de natureza qualitativa com</w:t>
      </w:r>
      <w:r>
        <w:rPr>
          <w:rFonts w:ascii="Arial" w:hAnsi="Arial"/>
          <w:color w:val="FF0000"/>
          <w:sz w:val="23"/>
          <w:szCs w:val="23"/>
        </w:rPr>
        <w:t xml:space="preserve"> </w:t>
      </w:r>
      <w:r>
        <w:rPr>
          <w:rFonts w:ascii="Arial" w:hAnsi="Arial"/>
        </w:rPr>
        <w:t>o propósito de ampliar a compreensão e tornar mais explícito o tema em análise.</w:t>
      </w:r>
    </w:p>
    <w:p>
      <w:pPr>
        <w:pStyle w:val="Normal"/>
        <w:spacing w:lineRule="auto" w:line="360"/>
        <w:ind w:firstLine="709"/>
        <w:jc w:val="both"/>
        <w:rPr>
          <w:rFonts w:ascii="Arial" w:hAnsi="Arial"/>
        </w:rPr>
      </w:pPr>
      <w:r>
        <w:rPr>
          <w:rFonts w:ascii="Arial" w:hAnsi="Arial"/>
        </w:rPr>
        <w:t>No estudo da legislação, foi realizada uma pesquisa das normas constitucionais, infraconstitucionais e atos administrativos que regulamentam a questão do direito ao fornecimento de medicamentos por parte do poder público, começando pela previsão do caput do artigo 5º da Constituição Federal de 1988, que prevê a inviolabilidade do direito à vida, passando pela previsão do art. 6º, também da Constituição Federal, que estabelece o direito à saúde como um direito social, chegando ao art. 196, também da Carta Magna de 1988, onde será analisada a responsabilidade do Estado como seu dever e um direito de todos.</w:t>
      </w:r>
    </w:p>
    <w:p>
      <w:pPr>
        <w:pStyle w:val="Normal"/>
        <w:spacing w:lineRule="auto" w:line="360"/>
        <w:ind w:firstLine="709"/>
        <w:jc w:val="both"/>
        <w:rPr>
          <w:rFonts w:ascii="Arial" w:hAnsi="Arial"/>
        </w:rPr>
      </w:pPr>
      <w:r>
        <w:rPr>
          <w:rFonts w:ascii="Arial" w:hAnsi="Arial"/>
        </w:rPr>
        <w:t>Na legislação infraconstitucional, foram analisados alguns dispositivos da Lei Federal nº 8.080, de 19 de setembro de 1990, conhecida como Lei do SUS, no que se refere à estrutura do sistema de assistência farmacêutica, partindo logo em seguida para a análise de atos normativos regulamentares da questão do fornecimento de medicamentos.</w:t>
      </w:r>
    </w:p>
    <w:p>
      <w:pPr>
        <w:pStyle w:val="Normal"/>
        <w:spacing w:lineRule="auto" w:line="360"/>
        <w:ind w:firstLine="709"/>
        <w:jc w:val="both"/>
        <w:rPr>
          <w:rFonts w:ascii="Arial" w:hAnsi="Arial"/>
        </w:rPr>
      </w:pPr>
      <w:r>
        <w:rPr>
          <w:rFonts w:ascii="Arial" w:hAnsi="Arial"/>
        </w:rPr>
        <w:t>A relevância do tema advém da necessidade de analisar a problemática com a finalidade de encontrar uma saída plausível e que coadune com as regras e princípios constitucionais, pois, além de refletir na segurança jurídica, pode fornecer aos gestores um ambiente propício à elaboração de políticas públicas voltadas a fortalecer os aspectos positivos da decisão e reverter as possíveis consequências negativas.</w:t>
      </w:r>
    </w:p>
    <w:p>
      <w:pPr>
        <w:pStyle w:val="Normal"/>
        <w:spacing w:lineRule="auto" w:line="360"/>
        <w:ind w:firstLine="709"/>
        <w:jc w:val="both"/>
        <w:rPr>
          <w:rFonts w:ascii="Arial" w:hAnsi="Arial"/>
        </w:rPr>
      </w:pPr>
      <w:r>
        <w:rPr>
          <w:rFonts w:ascii="Arial" w:hAnsi="Arial"/>
        </w:rPr>
        <w:t>Para tanto, a presente pesquisa partiu de uma análise prévia acerca da repartição do dever de fornecimento de medicamento entre os entes da federação, seguindo pelo estudo acerca da responsabilidade solidária dos entes federativos nas demandas judiciais envolvendo direito à saúde para se chegar na justiça competente e então conhecer e processar demandas de medicamentos fora do Rename, mas que estão registrados pela Anvisa.</w:t>
      </w:r>
    </w:p>
    <w:p>
      <w:pPr>
        <w:pStyle w:val="Normal"/>
        <w:spacing w:lineRule="auto" w:line="360"/>
        <w:ind w:firstLine="709"/>
        <w:jc w:val="both"/>
        <w:rPr>
          <w:shd w:fill="FFFF00" w:val="clear"/>
        </w:rPr>
      </w:pPr>
      <w:r>
        <w:rPr>
          <w:shd w:fill="FFFF00" w:val="clear"/>
        </w:rPr>
      </w:r>
    </w:p>
    <w:p>
      <w:pPr>
        <w:pStyle w:val="Normal"/>
        <w:spacing w:lineRule="auto" w:line="360"/>
        <w:jc w:val="both"/>
        <w:rPr>
          <w:rFonts w:ascii="Arial" w:hAnsi="Arial"/>
          <w:color w:val="FF0000"/>
        </w:rPr>
      </w:pPr>
      <w:r>
        <w:rPr>
          <w:rFonts w:ascii="Arial" w:hAnsi="Arial"/>
          <w:b/>
          <w:bCs/>
        </w:rPr>
        <w:t>2 REPARTIÇÃO DO DEVER DE FORNECIMENTO DE MEDICAMENTO ENTRE OS ENTES DA FEDERAÇÃO</w:t>
      </w:r>
    </w:p>
    <w:p>
      <w:pPr>
        <w:pStyle w:val="Normal"/>
        <w:spacing w:lineRule="auto" w:line="360"/>
        <w:ind w:firstLine="709"/>
        <w:jc w:val="both"/>
        <w:rPr>
          <w:rFonts w:ascii="Arial" w:hAnsi="Arial"/>
          <w:b/>
          <w:bCs/>
        </w:rPr>
      </w:pPr>
      <w:r>
        <w:rPr>
          <w:rFonts w:ascii="Arial" w:hAnsi="Arial"/>
          <w:b/>
          <w:bCs/>
        </w:rPr>
      </w:r>
    </w:p>
    <w:p>
      <w:pPr>
        <w:pStyle w:val="Normal"/>
        <w:spacing w:lineRule="auto" w:line="360"/>
        <w:ind w:firstLine="709"/>
        <w:jc w:val="both"/>
        <w:rPr>
          <w:rFonts w:ascii="Arial" w:hAnsi="Arial"/>
        </w:rPr>
      </w:pPr>
      <w:r>
        <w:rPr>
          <w:rFonts w:ascii="Arial" w:hAnsi="Arial"/>
        </w:rPr>
        <w:t>De acordo com art. 6º, I, “d”, da Lei Federal nº 8.080/90, o Estado tem o dever de fornecer os medicamentos que o cidadão necessita. No entanto, tal norma ficou silente quanto a quem deve fornecer o medicamento, se é a União, os Estados e o Distrito Federal ou os Municípios.</w:t>
      </w:r>
    </w:p>
    <w:p>
      <w:pPr>
        <w:pStyle w:val="Normal"/>
        <w:spacing w:lineRule="auto" w:line="360"/>
        <w:ind w:firstLine="709"/>
        <w:jc w:val="both"/>
        <w:rPr>
          <w:rFonts w:ascii="Arial" w:hAnsi="Arial"/>
        </w:rPr>
      </w:pPr>
      <w:r>
        <w:rPr>
          <w:rFonts w:ascii="Arial" w:hAnsi="Arial"/>
        </w:rPr>
        <w:t xml:space="preserve">Esse impasse foi resolvido pelos atos regulamentares do Poder Executivo Federal, através da Portaria nº 3.916 de 30 de outubro 1998, do Ministério da Saúde, que dispõe acerca da Política relacionada à questão de medicamentos, estabelecendo como diretriz adoção de relação de medicamentos essenciais. </w:t>
      </w:r>
    </w:p>
    <w:p>
      <w:pPr>
        <w:pStyle w:val="Normal"/>
        <w:spacing w:lineRule="auto" w:line="360"/>
        <w:ind w:firstLine="709"/>
        <w:jc w:val="both"/>
        <w:rPr>
          <w:rFonts w:ascii="Arial" w:hAnsi="Arial"/>
        </w:rPr>
      </w:pPr>
      <w:r>
        <w:rPr>
          <w:rFonts w:ascii="Arial" w:hAnsi="Arial"/>
        </w:rPr>
        <w:t>Posteriormente, o Decreto Federal nº 7.508 de 28 de junho 2011, que regulamenta a Lei nº 8.080, de 19 de setembro de 1990, dispondo sobre a organização do Sistema Único de Saúde - SUS, o planejamento da saúde, a assistência à saúde e a articulação interfederativa, e dá outras providências” (Brasil, 2011, p. 1), estabeleceu em seu art. 25 que “a Relação Nacional de Medicamentos Essenciais - Rename que compreende a seleção e a padronização de medicamentos indicados para atendimento de doenças ou de agravos no âmbito do SUS.” (Brasil, 2011, p. 5), dipõe que cabe ao Rename estabelecer a lista daqueles fármacos considerados essenciais diante do perfil epidemiologia da população brasileira para sua distribuição ao público de forma gratuita e ampla no âmbito do SUS.</w:t>
      </w:r>
    </w:p>
    <w:p>
      <w:pPr>
        <w:pStyle w:val="Normal"/>
        <w:spacing w:lineRule="auto" w:line="360"/>
        <w:ind w:firstLine="709"/>
        <w:jc w:val="both"/>
        <w:rPr>
          <w:rFonts w:ascii="Arial" w:hAnsi="Arial"/>
        </w:rPr>
      </w:pPr>
      <w:r>
        <w:rPr>
          <w:rFonts w:ascii="Arial" w:hAnsi="Arial"/>
        </w:rPr>
        <w:t>Verifica-se que esta medida visa atender o princípio constitucional da eficiência na aplicação dos recursos públicos, buscando priorizar aquisição daqueles medicamentos mais recorrentes da população brasileira em vista do seu perfil epidemiológico, deixando de priorizar aqueles medicamentos menos recorrentes cuja procura é bastante eventual, evitando aplicação de recursos públicos em fármacos que talvez não sejam utilizados pelos indivíduos.</w:t>
      </w:r>
    </w:p>
    <w:p>
      <w:pPr>
        <w:pStyle w:val="Normal"/>
        <w:spacing w:lineRule="auto" w:line="360"/>
        <w:ind w:firstLine="709"/>
        <w:jc w:val="both"/>
        <w:rPr>
          <w:rFonts w:ascii="Arial" w:hAnsi="Arial"/>
        </w:rPr>
      </w:pPr>
      <w:r>
        <w:rPr>
          <w:rFonts w:ascii="Arial" w:hAnsi="Arial"/>
        </w:rPr>
        <w:t>Além disso, estabelece a Portaria nº 3.916/98, no item 5.4, alínea “a”, que é de responsabilidade do município “coordenar e executar a assistência farmacêutica no seu respectivo âmbito” (Brasil, 1998, p. 13), na alínea “g” estabelece que os municípios devem  “assegurar a dispensação dos medicamentos” (BRASIL, 1998, p. 13) e, na alínea “h”, informa que é responsabilidade também do município “definir a relação municipal de medicamentos essenciais, com base na RENAME, a partir das necessidades decorrentes do perfil nosológico da população” (Brasil, 1998, p. 13).</w:t>
      </w:r>
    </w:p>
    <w:p>
      <w:pPr>
        <w:pStyle w:val="Normal"/>
        <w:spacing w:lineRule="auto" w:line="360"/>
        <w:ind w:firstLine="709"/>
        <w:jc w:val="both"/>
        <w:rPr>
          <w:rFonts w:ascii="Arial" w:hAnsi="Arial"/>
        </w:rPr>
      </w:pPr>
      <w:r>
        <w:rPr>
          <w:rFonts w:ascii="Arial" w:hAnsi="Arial"/>
        </w:rPr>
        <w:t>Assim, quando um município elabora sua própria relação de medicamentos essenciais, com base na Rename, fica vinculado a fornecê-lo a qualquer munícipe que requerê-lo, sob pena de buscar a tutela jurisdicional para o fornecimento de maneira compulsória.</w:t>
      </w:r>
    </w:p>
    <w:p>
      <w:pPr>
        <w:pStyle w:val="Normal"/>
        <w:spacing w:lineRule="auto" w:line="360"/>
        <w:ind w:firstLine="709"/>
        <w:jc w:val="both"/>
        <w:rPr>
          <w:rFonts w:ascii="Arial" w:hAnsi="Arial"/>
        </w:rPr>
      </w:pPr>
      <w:r>
        <w:rPr>
          <w:rFonts w:ascii="Arial" w:hAnsi="Arial"/>
        </w:rPr>
        <w:t>Se o medicamento necessário ao tratamento não estiver na relação do município, mas sim no Rename, caberá o paciente procurar a Secretaria Estadual de Saúde de seu Estado para requerê-lo e ser fornecido ou ser direcionado para que receba o medicamento da União, através do Ministério da Saúde em situações eventuais.</w:t>
      </w:r>
    </w:p>
    <w:p>
      <w:pPr>
        <w:pStyle w:val="Normal"/>
        <w:spacing w:lineRule="auto" w:line="360"/>
        <w:ind w:firstLine="709"/>
        <w:jc w:val="both"/>
        <w:rPr>
          <w:rFonts w:ascii="Arial" w:hAnsi="Arial"/>
        </w:rPr>
      </w:pPr>
      <w:r>
        <w:rPr>
          <w:rFonts w:ascii="Arial" w:hAnsi="Arial"/>
        </w:rPr>
        <w:t>Diante disso, resta o seguinte questionamento a ser esclarecido: caso o medicamento não conste do Rename, mas esteja registrado na Anvisa, e que fique comprovada a imprescindibilidade do medicamento para o tratamento do paciente, bem como o paciente não possua condições financeiras para custear a compra do medicamento e não exista outro que esteja no Rename capaz substituí-lo, a quem o paciente deve recorrer em caso de recusa do fornecimento voluntário pelo município? Quem teria a responsabilidade para arcar com este ônus? Seria a União, os Estados ou os Municípios?</w:t>
      </w:r>
    </w:p>
    <w:p>
      <w:pPr>
        <w:pStyle w:val="Normal"/>
        <w:spacing w:lineRule="auto" w:line="360"/>
        <w:ind w:firstLine="709"/>
        <w:jc w:val="both"/>
        <w:rPr>
          <w:rFonts w:ascii="Arial" w:hAnsi="Arial"/>
        </w:rPr>
      </w:pPr>
      <w:r>
        <w:rPr>
          <w:rFonts w:ascii="Arial" w:hAnsi="Arial"/>
        </w:rPr>
        <w:t>Essa questão foi tema de grande discussão jurisprudencial nos tribunais brasileiros, sendo necessário o Supremo Tribunal Federal (STF), no Recurso Extraordinário nº 1.366.243, se pronunciar acerca da questão e fixar tese no Tema 1234 da Repercussão Geral.</w:t>
      </w:r>
    </w:p>
    <w:p>
      <w:pPr>
        <w:pStyle w:val="Normal"/>
        <w:spacing w:lineRule="auto" w:line="360"/>
        <w:ind w:firstLine="709"/>
        <w:jc w:val="both"/>
        <w:rPr>
          <w:rFonts w:ascii="Arial" w:hAnsi="Arial"/>
        </w:rPr>
      </w:pPr>
      <w:r>
        <w:rPr>
          <w:rFonts w:ascii="Arial" w:hAnsi="Arial"/>
        </w:rPr>
        <w:t xml:space="preserve">Essa discussão acerca da responsabilidade do Estado envolvendo medicamentos está há muito tempo em debate perante o STF, que em diversas oportunidades tomou importantes decisões para afirmação desse direito tão basilar à saúde, através do direito ao fornecimento de medicamento. Contudo, diferentemente de outras decisões anteriores em que ser afirmava a responsabilidade solidária dos entes federativas, neste recente julgamento o STF no julgamento do Tema 1234 da Repercussão Geral, aparentemente está afastando da tese da responsabilidade solidária dos entes federativos e adotando a responsabilidade subsidiária, no caso dos medicamentos não padronizados. </w:t>
      </w:r>
    </w:p>
    <w:p>
      <w:pPr>
        <w:pStyle w:val="Normal"/>
        <w:spacing w:lineRule="auto" w:line="360"/>
        <w:ind w:firstLine="709"/>
        <w:jc w:val="both"/>
        <w:rPr>
          <w:rFonts w:ascii="Arial" w:hAnsi="Arial"/>
        </w:rPr>
      </w:pPr>
      <w:r>
        <w:rPr>
          <w:rFonts w:ascii="Arial" w:hAnsi="Arial"/>
        </w:rPr>
        <w:t>Para entender toda essa discussão acerca da responsabilidade do Estado envolvendo o fornecimento de medicamentos, precisamente os não padronizados, é necessário entender os fundamentos constitucionais e legais da situação para compreender todo o contexto por trás dessa situação.</w:t>
      </w:r>
    </w:p>
    <w:p>
      <w:pPr>
        <w:pStyle w:val="Normal"/>
        <w:spacing w:lineRule="auto" w:line="360"/>
        <w:ind w:firstLine="709"/>
        <w:jc w:val="both"/>
        <w:rPr>
          <w:rFonts w:ascii="Arial" w:hAnsi="Arial"/>
        </w:rPr>
      </w:pPr>
      <w:r>
        <w:rPr>
          <w:rFonts w:ascii="Arial" w:hAnsi="Arial"/>
        </w:rPr>
      </w:r>
    </w:p>
    <w:p>
      <w:pPr>
        <w:pStyle w:val="Normal"/>
        <w:spacing w:lineRule="auto" w:line="360"/>
        <w:jc w:val="both"/>
        <w:rPr>
          <w:rFonts w:ascii="Arial" w:hAnsi="Arial"/>
        </w:rPr>
      </w:pPr>
      <w:r>
        <w:rPr>
          <w:rFonts w:ascii="Arial" w:hAnsi="Arial"/>
          <w:b/>
          <w:bCs/>
        </w:rPr>
        <w:t>3 RESPONSABILIDADE CIVIL DOS ENTES FEDERATIVOS NAS DEMANDAS JUDICIAIS ENVOLVENDO DIREITO À SAÚDE</w:t>
      </w:r>
    </w:p>
    <w:p>
      <w:pPr>
        <w:pStyle w:val="Normal"/>
        <w:spacing w:lineRule="auto" w:line="360"/>
        <w:ind w:firstLine="709"/>
        <w:jc w:val="both"/>
        <w:rPr>
          <w:rFonts w:ascii="Arial" w:hAnsi="Arial"/>
        </w:rPr>
      </w:pPr>
      <w:r>
        <w:rPr>
          <w:rFonts w:ascii="Arial" w:hAnsi="Arial"/>
        </w:rPr>
      </w:r>
    </w:p>
    <w:p>
      <w:pPr>
        <w:pStyle w:val="Normal"/>
        <w:spacing w:lineRule="auto" w:line="360"/>
        <w:ind w:firstLine="709"/>
        <w:jc w:val="both"/>
        <w:rPr>
          <w:rFonts w:ascii="Arial" w:hAnsi="Arial"/>
        </w:rPr>
      </w:pPr>
      <w:r>
        <w:rPr>
          <w:rFonts w:ascii="Arial" w:hAnsi="Arial"/>
        </w:rPr>
        <w:t xml:space="preserve">A competência comum dos entes federativos na prestação do direito à saúde pública está previsto no inciso II, do art. 23, da nossa atual Constituição Federal, que estabelece que a responsabilidade pela saúde pública é compartilhada entre a União, os Estados, o Distrito Federal e os municípios. </w:t>
      </w:r>
    </w:p>
    <w:p>
      <w:pPr>
        <w:pStyle w:val="Normal"/>
        <w:spacing w:lineRule="auto" w:line="360"/>
        <w:ind w:firstLine="709"/>
        <w:jc w:val="both"/>
        <w:rPr>
          <w:rFonts w:ascii="Arial" w:hAnsi="Arial"/>
        </w:rPr>
      </w:pPr>
      <w:r>
        <w:rPr>
          <w:rFonts w:ascii="Arial" w:hAnsi="Arial"/>
        </w:rPr>
        <w:t>Essa previsão tem por objetivo a atuação de forma colaborativa e coordenada por partes dos entes federativos para garantir a saúde da população. Visando a concretização desse objetivo, cada ente possui atribuições específicas nesse contexto.</w:t>
      </w:r>
    </w:p>
    <w:p>
      <w:pPr>
        <w:pStyle w:val="Normal"/>
        <w:spacing w:lineRule="auto" w:line="360"/>
        <w:ind w:firstLine="709"/>
        <w:jc w:val="both"/>
        <w:rPr>
          <w:rFonts w:ascii="Arial" w:hAnsi="Arial"/>
        </w:rPr>
      </w:pPr>
      <w:r>
        <w:rPr>
          <w:rFonts w:ascii="Arial" w:hAnsi="Arial"/>
          <w:color w:val="000000"/>
        </w:rPr>
        <w:t>É importante destacar que essa atuação conjunta entre os entes federativos inexiste qualquer tipo de relação de subordinação entre eles. Nesse sentido importante é o ensinamento de Marcelo Alexandrino e Vicente Paulo (2021, p. 817)</w:t>
      </w:r>
      <w:r>
        <w:rPr>
          <w:rFonts w:ascii="Arial" w:hAnsi="Arial"/>
          <w:color w:val="FF0000"/>
        </w:rPr>
        <w:t xml:space="preserve"> </w:t>
      </w:r>
      <w:r>
        <w:rPr>
          <w:rFonts w:ascii="Arial" w:hAnsi="Arial"/>
        </w:rPr>
        <w:t>esclarecem que a competência comum</w:t>
      </w:r>
    </w:p>
    <w:p>
      <w:pPr>
        <w:pStyle w:val="Normal"/>
        <w:ind w:left="2268"/>
        <w:jc w:val="both"/>
        <w:rPr>
          <w:rFonts w:ascii="Arial" w:hAnsi="Arial"/>
        </w:rPr>
      </w:pPr>
      <w:r>
        <w:rPr/>
        <w:t>trata-se de competência de natureza administrativa outorgada à União, aos estados, ao Distrito Federal e aos municípios para atuarem, quanto às respectivas matérias, de forma paralela, isto é, em condições de igualdade, sem qualquer relação de subordinação e sem que a atuação de um exclua a dos outros.</w:t>
      </w:r>
    </w:p>
    <w:p>
      <w:pPr>
        <w:pStyle w:val="Normal"/>
        <w:ind w:firstLine="709"/>
        <w:jc w:val="both"/>
        <w:rPr/>
      </w:pPr>
      <w:r>
        <w:rPr/>
      </w:r>
    </w:p>
    <w:p>
      <w:pPr>
        <w:pStyle w:val="Normal"/>
        <w:spacing w:lineRule="auto" w:line="360"/>
        <w:ind w:firstLine="709"/>
        <w:jc w:val="both"/>
        <w:rPr>
          <w:rFonts w:ascii="Arial" w:hAnsi="Arial"/>
        </w:rPr>
      </w:pPr>
      <w:r>
        <w:rPr>
          <w:rFonts w:ascii="Arial" w:hAnsi="Arial"/>
        </w:rPr>
        <w:t>A competência administrativa concorrente é importante para garantir a autonomia dos entes federativos. Ela permite que cada ente federativo atue de acordo com as suas necessidades e realidades locais. Além disso, ela também permite que os entes federativos complementem a atuação uns dos outros, garantindo que o interesse público seja atendido de forma mais eficaz.</w:t>
      </w:r>
    </w:p>
    <w:p>
      <w:pPr>
        <w:pStyle w:val="Normal"/>
        <w:spacing w:lineRule="auto" w:line="360"/>
        <w:ind w:firstLine="709"/>
        <w:jc w:val="both"/>
        <w:rPr>
          <w:rFonts w:ascii="Arial" w:hAnsi="Arial"/>
        </w:rPr>
      </w:pPr>
      <w:r>
        <w:rPr>
          <w:rFonts w:ascii="Arial" w:hAnsi="Arial"/>
        </w:rPr>
        <w:t>Cabe também ressaltar que, apesar da autonomia da competência comum administrativa, a União é responsável por formular políticas nacionais de saúde, coordenar ações de âmbito nacional e financiar serviços de alta complexidade. Os Estados e o Distrito Federal coordenam e executam ações em sua jurisdição, promovendo a descentralização do sistema. Os Municípios prestam serviços de atenção básica, mantêm hospitais de baixa e média complexidade e contribuem financeiramente para a gestão estadual e federal quando necessário.</w:t>
      </w:r>
    </w:p>
    <w:p>
      <w:pPr>
        <w:pStyle w:val="Normal"/>
        <w:spacing w:lineRule="auto" w:line="360"/>
        <w:ind w:firstLine="709"/>
        <w:jc w:val="both"/>
        <w:rPr>
          <w:rFonts w:ascii="Arial" w:hAnsi="Arial"/>
        </w:rPr>
      </w:pPr>
      <w:r>
        <w:rPr>
          <w:rFonts w:ascii="Arial" w:hAnsi="Arial"/>
        </w:rPr>
        <w:t>No entanto, a atuação conjunta desses entes federativos é essencial para assegurar a efetividade do sistema de saúde no Brasil. Nesse sentido, o Sistema Único de Saúde (SUS) é um exemplo dessa articulação, buscando a integralidade do cuidado em saúde, através da cooperação entre União, Estados e municípios, busca-se garantir o acesso universal, igualitário e abrangente à saúde, por meio de ações preventivas, promocionais, de recuperação e reabilitação.</w:t>
      </w:r>
    </w:p>
    <w:p>
      <w:pPr>
        <w:pStyle w:val="Normal"/>
        <w:spacing w:lineRule="auto" w:line="360"/>
        <w:ind w:firstLine="709"/>
        <w:jc w:val="both"/>
        <w:rPr>
          <w:rFonts w:ascii="Arial" w:hAnsi="Arial"/>
        </w:rPr>
      </w:pPr>
      <w:r>
        <w:rPr>
          <w:rFonts w:ascii="Arial" w:hAnsi="Arial"/>
        </w:rPr>
        <w:t>É importante destacar que, embora a competência seja compartilhada, cada ente federativo é responsável por exercer suas atribuições de maneira eficiente e em conformidade com a legislação vigente.</w:t>
      </w:r>
    </w:p>
    <w:p>
      <w:pPr>
        <w:pStyle w:val="Normal"/>
        <w:spacing w:lineRule="auto" w:line="360"/>
        <w:ind w:firstLine="709"/>
        <w:jc w:val="both"/>
        <w:rPr>
          <w:rFonts w:ascii="Arial" w:hAnsi="Arial"/>
        </w:rPr>
      </w:pPr>
      <w:r>
        <w:rPr>
          <w:rFonts w:ascii="Arial" w:hAnsi="Arial"/>
        </w:rPr>
        <w:t>Caso o ente federativo não cumpra com suas atribuições, no âmbito de suas competências, poderá ser responsabilizado judicialmente.</w:t>
      </w:r>
    </w:p>
    <w:p>
      <w:pPr>
        <w:pStyle w:val="Normal"/>
        <w:spacing w:lineRule="auto" w:line="360"/>
        <w:ind w:firstLine="709"/>
        <w:jc w:val="both"/>
        <w:rPr>
          <w:rFonts w:ascii="Arial" w:hAnsi="Arial"/>
        </w:rPr>
      </w:pPr>
      <w:r>
        <w:rPr>
          <w:rFonts w:ascii="Arial" w:hAnsi="Arial"/>
        </w:rPr>
        <w:t>O</w:t>
      </w:r>
      <w:r>
        <w:rPr>
          <w:rFonts w:ascii="Arial" w:hAnsi="Arial"/>
          <w:b/>
          <w:bCs/>
        </w:rPr>
        <w:t xml:space="preserve"> </w:t>
      </w:r>
      <w:r>
        <w:rPr>
          <w:rFonts w:ascii="Arial" w:hAnsi="Arial"/>
        </w:rPr>
        <w:t>professor José Afonso da Silva, ao analisar o conceito de competência comum, previsto no art. 23, da Constituição Federal, e aplicada no direito à saúde, afirma que “a prestação do serviço por uma entidade não exclui igual competência de outra – até porque aqui se está no campo da competência-dever, porque se trata de cumprir a função pública de prestação de serviços à população.” (SILVA, 2010, p. 72).</w:t>
      </w:r>
    </w:p>
    <w:p>
      <w:pPr>
        <w:pStyle w:val="Normal"/>
        <w:spacing w:lineRule="auto" w:line="360"/>
        <w:ind w:firstLine="709"/>
        <w:jc w:val="both"/>
        <w:rPr>
          <w:rFonts w:ascii="Arial" w:hAnsi="Arial"/>
        </w:rPr>
      </w:pPr>
      <w:r>
        <w:rPr>
          <w:rFonts w:ascii="Arial" w:hAnsi="Arial"/>
        </w:rPr>
        <w:t>Deste modo, a afirmação anterior destaca que a prestação de serviços de saúde é uma responsabilidade compartilhada entre os entes federativos, e a competência-dever de garantir o acesso à saúde deve ser cumprida por todos eles. Isso reflete o compromisso do Estado em cumprir sua função pública de oferecer serviços de qualidade à população, reconhecendo que a saúde é um direito fundamental e universal.</w:t>
      </w:r>
    </w:p>
    <w:p>
      <w:pPr>
        <w:pStyle w:val="Normal"/>
        <w:spacing w:lineRule="auto" w:line="360"/>
        <w:ind w:firstLine="709"/>
        <w:jc w:val="both"/>
        <w:rPr>
          <w:rFonts w:ascii="Arial" w:hAnsi="Arial"/>
        </w:rPr>
      </w:pPr>
      <w:r>
        <w:rPr>
          <w:rFonts w:ascii="Arial" w:hAnsi="Arial"/>
        </w:rPr>
        <w:t>Na doutrina do direito civil, os professores Pablo Stolze e Rodolfo Pamplona Filho (2012, p. 231 e 232) explicando sobre a diferenciação da responsabilidade passiva solidária e subsidiária, esclarece que</w:t>
      </w:r>
    </w:p>
    <w:p>
      <w:pPr>
        <w:pStyle w:val="Normal"/>
        <w:widowControl w:val="false"/>
        <w:suppressAutoHyphens w:val="true"/>
        <w:bidi w:val="0"/>
        <w:spacing w:lineRule="auto" w:line="240" w:before="0" w:after="0"/>
        <w:ind w:hanging="0" w:left="2268" w:right="0"/>
        <w:jc w:val="both"/>
        <w:rPr>
          <w:sz w:val="22"/>
          <w:szCs w:val="22"/>
        </w:rPr>
      </w:pPr>
      <w:r>
        <w:rPr>
          <w:rFonts w:ascii="Arial" w:hAnsi="Arial"/>
          <w:sz w:val="22"/>
          <w:szCs w:val="22"/>
        </w:rPr>
        <w:t>De fato, na solidariedade passiva, temos uma determinada obrigação, em que concorre uma pluralidade de devedores, cada um deles obrigado ao pagamento de toda a dívida. Nessa responsabilidade solidária, há, portanto, duas ou mais pessoas unidas pelo mesmo débito.</w:t>
      </w:r>
    </w:p>
    <w:p>
      <w:pPr>
        <w:pStyle w:val="Normal"/>
        <w:widowControl w:val="false"/>
        <w:suppressAutoHyphens w:val="true"/>
        <w:bidi w:val="0"/>
        <w:spacing w:lineRule="auto" w:line="240" w:before="0" w:after="0"/>
        <w:ind w:hanging="0" w:left="2268" w:right="0"/>
        <w:jc w:val="both"/>
        <w:rPr/>
      </w:pPr>
      <w:r>
        <w:rPr>
          <w:rFonts w:ascii="Arial" w:hAnsi="Arial"/>
          <w:sz w:val="22"/>
          <w:szCs w:val="22"/>
        </w:rPr>
        <w:t>Na responsabilidade subsidiária, por sua vez, temos que uma das pessoas tem o débito originário e a outra tem apenas a responsabilidade por esse débito.</w:t>
      </w:r>
    </w:p>
    <w:p>
      <w:pPr>
        <w:pStyle w:val="Normal"/>
        <w:widowControl w:val="false"/>
        <w:suppressAutoHyphens w:val="true"/>
        <w:bidi w:val="0"/>
        <w:spacing w:lineRule="auto" w:line="240" w:before="0" w:after="0"/>
        <w:ind w:hanging="0" w:left="2268" w:right="0"/>
        <w:jc w:val="both"/>
        <w:rPr>
          <w:rFonts w:ascii="Arial" w:hAnsi="Arial"/>
          <w:sz w:val="22"/>
          <w:szCs w:val="22"/>
        </w:rPr>
      </w:pPr>
      <w:r>
        <w:rPr>
          <w:rFonts w:ascii="Arial" w:hAnsi="Arial"/>
          <w:sz w:val="22"/>
          <w:szCs w:val="22"/>
        </w:rPr>
      </w:r>
    </w:p>
    <w:p>
      <w:pPr>
        <w:pStyle w:val="Normal"/>
        <w:spacing w:lineRule="auto" w:line="360"/>
        <w:ind w:firstLine="709"/>
        <w:jc w:val="both"/>
        <w:rPr>
          <w:rFonts w:ascii="Arial" w:hAnsi="Arial"/>
        </w:rPr>
      </w:pPr>
      <w:r>
        <w:rPr>
          <w:rFonts w:ascii="Arial" w:hAnsi="Arial"/>
        </w:rPr>
        <w:t>No caso das demandas envolvendo o direito à saúde, por ser uma responsabilidade compartilhada, ela poderá ser solidária e subsidiária. A responsabilidade solidária no direito à saúde significa que todos os entes federativos (União, Estados, Distrito Federal e Municípios) têm responsabilidade conjunta na garantia do acesso à saúde, de forma que cada um deles é igualmente responsável por assegurar que a população receba os serviços de saúde necessários, podendo qualquer indivíduo manejar uma ação judicial em face de qualquer um deles. Por outro lado, a responsabilidade subsidiária estabelece que, em situações em que um ente federativo não pode fornecer determinado serviço de saúde, devido a limitações financeiras ou estruturais, outro ente pode ser chamado a assumir essa responsabilidade, garantindo que o direito à saúde seja atendido de forma efetiva. Ambos os conceitos visam a assegurar que os cidadãos tenham acesso aos serviços de saúde de qualidade, independentemente de onde vivam ou qual entidade está diretamente prestando o serviço.</w:t>
      </w:r>
    </w:p>
    <w:p>
      <w:pPr>
        <w:pStyle w:val="Normal"/>
        <w:spacing w:lineRule="auto" w:line="360"/>
        <w:ind w:firstLine="709"/>
        <w:jc w:val="both"/>
        <w:rPr>
          <w:rFonts w:ascii="Arial" w:hAnsi="Arial"/>
        </w:rPr>
      </w:pPr>
      <w:r>
        <w:rPr>
          <w:rFonts w:ascii="Arial" w:hAnsi="Arial"/>
        </w:rPr>
        <w:t xml:space="preserve">Na responsabilidade subsidiária, presume-se que exista norma legislativa ou regulamentar específica atribuindo a um determinado ente o dever da prestação do serviço, o indivíduo tem a certeza que cabe àquele ente específico prestar o serviço. </w:t>
      </w:r>
    </w:p>
    <w:p>
      <w:pPr>
        <w:pStyle w:val="Normal"/>
        <w:spacing w:lineRule="auto" w:line="360"/>
        <w:ind w:firstLine="709"/>
        <w:jc w:val="both"/>
        <w:rPr/>
      </w:pPr>
      <w:r>
        <w:rPr>
          <w:rFonts w:ascii="Arial" w:hAnsi="Arial"/>
        </w:rPr>
        <w:t>Nesse contexto, no caso de ausência de atribuição legislativa ou regulamentar, bem como a falta de políticas públicas, entende-se que a responsabilidade entre os entes políticos é solidária.</w:t>
      </w:r>
    </w:p>
    <w:p>
      <w:pPr>
        <w:pStyle w:val="Normal"/>
        <w:spacing w:lineRule="auto" w:line="360"/>
        <w:ind w:firstLine="709"/>
        <w:jc w:val="both"/>
        <w:rPr/>
      </w:pPr>
      <w:r>
        <w:rPr>
          <w:rFonts w:ascii="Arial" w:hAnsi="Arial"/>
        </w:rPr>
        <w:t>Por isso, nesse mesmo sentido é que se tem afirmado que na “falta de regulação ou à inexistência de políticas públicas prevalecerá a regra da solidariedade do art. 23, II, da Constituição Federal” (DESCH, 2014, p. 7).</w:t>
      </w:r>
    </w:p>
    <w:p>
      <w:pPr>
        <w:pStyle w:val="Normal"/>
        <w:spacing w:lineRule="auto" w:line="360"/>
        <w:ind w:firstLine="709"/>
        <w:jc w:val="both"/>
        <w:rPr>
          <w:rFonts w:ascii="Arial" w:hAnsi="Arial"/>
          <w:color w:val="FF0000"/>
        </w:rPr>
      </w:pPr>
      <w:r>
        <w:rPr>
          <w:rFonts w:ascii="Arial" w:hAnsi="Arial"/>
        </w:rPr>
        <w:t>Assim, fica claro que quando houver políticas públicas e normas regulamentadoras acerca da questão envolvendo direito à saúde, o ente que recebeu a atribuição ficará responsável pela prestação do serviço ou pelo fornecimento do insumo. Em contrário, a responsabilidade passa ser solidária, devendo todos os entes responderem, de forma conjunta, podendo o cidadão ingressar com uma ação contra qualquer um deles.</w:t>
      </w:r>
    </w:p>
    <w:p>
      <w:pPr>
        <w:pStyle w:val="Normal"/>
        <w:spacing w:lineRule="auto" w:line="360"/>
        <w:ind w:firstLine="709"/>
        <w:jc w:val="both"/>
        <w:rPr>
          <w:rFonts w:ascii="Arial" w:hAnsi="Arial"/>
          <w:color w:val="FF0000"/>
        </w:rPr>
      </w:pPr>
      <w:r>
        <w:rPr>
          <w:rFonts w:ascii="Arial" w:hAnsi="Arial"/>
        </w:rPr>
        <w:t>Diante dessas conclusões, resta verificar diretamente a justiça competente para analisar os casos dos medicamentos registrados na Anvisa, mas não padronizados pelo SUS.</w:t>
      </w:r>
    </w:p>
    <w:p>
      <w:pPr>
        <w:pStyle w:val="Normal"/>
        <w:spacing w:lineRule="auto" w:line="360"/>
        <w:ind w:firstLine="709"/>
        <w:jc w:val="both"/>
        <w:rPr>
          <w:rFonts w:ascii="Arial" w:hAnsi="Arial"/>
          <w:b/>
          <w:bCs/>
        </w:rPr>
      </w:pPr>
      <w:r>
        <w:rPr>
          <w:rFonts w:ascii="Arial" w:hAnsi="Arial"/>
          <w:b/>
          <w:bCs/>
        </w:rPr>
      </w:r>
    </w:p>
    <w:p>
      <w:pPr>
        <w:pStyle w:val="Normal"/>
        <w:spacing w:lineRule="auto" w:line="360"/>
        <w:jc w:val="both"/>
        <w:rPr>
          <w:rFonts w:ascii="Arial" w:hAnsi="Arial"/>
        </w:rPr>
      </w:pPr>
      <w:r>
        <w:rPr>
          <w:rFonts w:ascii="Arial" w:hAnsi="Arial"/>
          <w:b/>
          <w:bCs/>
        </w:rPr>
        <w:t>4 JUSTIÇA COMPETENTE PARA CONHECER E PROCESSAR DEMANDAS DE MEDICAMENTOS FORA DO RENAME, MAS QUE ESTÃO REGISTRADOS PELA ANVISA</w:t>
      </w:r>
    </w:p>
    <w:p>
      <w:pPr>
        <w:pStyle w:val="Normal"/>
        <w:spacing w:lineRule="auto" w:line="360"/>
        <w:ind w:firstLine="709"/>
        <w:jc w:val="both"/>
        <w:rPr>
          <w:rFonts w:ascii="Arial" w:hAnsi="Arial"/>
          <w:b/>
          <w:bCs/>
        </w:rPr>
      </w:pPr>
      <w:r>
        <w:rPr>
          <w:rFonts w:ascii="Arial" w:hAnsi="Arial"/>
          <w:b/>
          <w:bCs/>
        </w:rPr>
      </w:r>
    </w:p>
    <w:p>
      <w:pPr>
        <w:pStyle w:val="Normal"/>
        <w:spacing w:lineRule="auto" w:line="360"/>
        <w:ind w:firstLine="709"/>
        <w:jc w:val="both"/>
        <w:rPr>
          <w:rFonts w:ascii="Arial" w:hAnsi="Arial"/>
        </w:rPr>
      </w:pPr>
      <w:r>
        <w:rPr>
          <w:rFonts w:ascii="Arial" w:hAnsi="Arial"/>
        </w:rPr>
        <w:t>A Constituição Federal estabelece que a saúde é direito de todos e dever do Estado. No entanto, como já foi visto, esse direito não é absoluto e tampouco irrestrito, pois está condicionado à elaboração de políticas sociais e econômicas que visem à redução do risco de doenças e outros agravos.</w:t>
      </w:r>
    </w:p>
    <w:p>
      <w:pPr>
        <w:pStyle w:val="Normal"/>
        <w:spacing w:lineRule="auto" w:line="360"/>
        <w:ind w:firstLine="709"/>
        <w:jc w:val="both"/>
        <w:rPr>
          <w:rFonts w:ascii="Arial" w:hAnsi="Arial"/>
        </w:rPr>
      </w:pPr>
      <w:r>
        <w:rPr>
          <w:rFonts w:ascii="Arial" w:hAnsi="Arial"/>
        </w:rPr>
        <w:t>Assim, os entes públicos não são obrigados a fornecer todo tipo de tratamento aos usuários do sistema, mas apenas aqueles especificados na política pública, ou seja, incorporados ao SUS.</w:t>
      </w:r>
    </w:p>
    <w:p>
      <w:pPr>
        <w:pStyle w:val="Normal"/>
        <w:spacing w:lineRule="auto" w:line="360"/>
        <w:ind w:firstLine="709"/>
        <w:jc w:val="both"/>
        <w:rPr>
          <w:rFonts w:ascii="Arial" w:hAnsi="Arial"/>
        </w:rPr>
      </w:pPr>
      <w:r>
        <w:rPr>
          <w:rFonts w:ascii="Arial" w:hAnsi="Arial"/>
        </w:rPr>
        <w:t>Diante das negativas por parte dos poderes públicos do fornecimento de tratamentos não incorporados, surge a judicialização da saúde, fenômeno que tem crescido nos últimos anos. Nesse contexto, o Supremo Tribunal Federal (STF) tem se posicionado no sentido de que a União é o ente federal primariamente responsável pelo fornecimento de medicamentos não padronizados, conforme entendimento no âmbito do Recurso Extraordinário nº 1.366.243, Tema 1234 da Repercussão Geral, fixando a seguinte tese, in verbis:</w:t>
      </w:r>
    </w:p>
    <w:p>
      <w:pPr>
        <w:pStyle w:val="Normal"/>
        <w:ind w:left="2268"/>
        <w:jc w:val="both"/>
        <w:rPr>
          <w:sz w:val="22"/>
          <w:szCs w:val="22"/>
        </w:rPr>
      </w:pPr>
      <w:r>
        <w:rPr>
          <w:rFonts w:ascii="Arial" w:hAnsi="Arial"/>
          <w:sz w:val="22"/>
          <w:szCs w:val="22"/>
        </w:rPr>
        <w:t>Legitimidade passiva da União e competência da Justiça Federal, nas demandas que versem sobre fornecimento de medicamentos registrados na Agência Nacional de Vigilância Sanitária - ANVISA, mas não padronizados no Sistema Único de Saúde – SUS.</w:t>
      </w:r>
    </w:p>
    <w:p>
      <w:pPr>
        <w:pStyle w:val="Normal"/>
        <w:spacing w:lineRule="auto" w:line="360"/>
        <w:ind w:firstLine="709"/>
        <w:jc w:val="both"/>
        <w:rPr>
          <w:rFonts w:ascii="Arial" w:hAnsi="Arial"/>
        </w:rPr>
      </w:pPr>
      <w:r>
        <w:rPr>
          <w:rFonts w:ascii="Arial" w:hAnsi="Arial"/>
        </w:rPr>
      </w:r>
    </w:p>
    <w:p>
      <w:pPr>
        <w:pStyle w:val="Normal"/>
        <w:spacing w:lineRule="auto" w:line="360"/>
        <w:ind w:firstLine="709"/>
        <w:jc w:val="both"/>
        <w:rPr>
          <w:rFonts w:ascii="Arial" w:hAnsi="Arial"/>
        </w:rPr>
      </w:pPr>
      <w:r>
        <w:rPr>
          <w:rFonts w:ascii="Arial" w:hAnsi="Arial"/>
        </w:rPr>
        <w:t>Ainda nesse sentido, o Supremo Tribunal Federal tem entendido na responsabilidade primária da União nos casos de medicamentos oncológicos, como decido na Reclamação 54855, conforme a sua ementa:</w:t>
      </w:r>
    </w:p>
    <w:p>
      <w:pPr>
        <w:pStyle w:val="Normal"/>
        <w:ind w:left="2268"/>
        <w:jc w:val="both"/>
        <w:rPr>
          <w:rFonts w:ascii="Arial" w:hAnsi="Arial"/>
          <w:sz w:val="22"/>
          <w:szCs w:val="22"/>
        </w:rPr>
      </w:pPr>
      <w:r>
        <w:rPr>
          <w:rFonts w:ascii="Arial" w:hAnsi="Arial"/>
          <w:sz w:val="22"/>
          <w:szCs w:val="22"/>
        </w:rPr>
      </w:r>
    </w:p>
    <w:p>
      <w:pPr>
        <w:pStyle w:val="Normal"/>
        <w:ind w:left="2268"/>
        <w:jc w:val="both"/>
        <w:rPr>
          <w:sz w:val="22"/>
          <w:szCs w:val="22"/>
        </w:rPr>
      </w:pPr>
      <w:r>
        <w:rPr>
          <w:rFonts w:ascii="Arial" w:hAnsi="Arial"/>
          <w:sz w:val="22"/>
          <w:szCs w:val="22"/>
        </w:rPr>
        <w:t xml:space="preserve">RECLAMAÇÃO. CONSTITUCIONAL. DIREITO À SAÚDE. FORNECIMENTO DE MEDICAMENTOS E TRATAMENTO MÉDICO. RECURSO EXTRAORDINÁRIO N. 855.178-RG/SE (TEMA 793). EQUÍVOCO NA APLICAÇÃO DA SISTEMÁTICA DA REPERCUSSÃO GERAL NA ORIGEM. MEDICAMENTOS OU TRATAMENTOS CENTRALIZADOS NO MINISTÉRIO DA SAÚDE. POLÍTICAS PÚBLICAS IMPLEMENTADAS PELO SISTEMA ÚNICO DE SAÚDE – SUS. MEDICAMENTO INCLUÍDO NO GRUPO 1A DA LISTA DO COMPONENTE ESPECIALIZADO DA ASSISTÊNCIA FARMACÊUTICA - CEAF. NECESSIDADE DE A UNIÃO COMPOR O POLO PASSIVO DA AÇÃO. PRECEDENTES. RECLAMAÇÃO PROCEDENTE. </w:t>
      </w:r>
    </w:p>
    <w:p>
      <w:pPr>
        <w:pStyle w:val="Normal"/>
        <w:spacing w:lineRule="auto" w:line="360"/>
        <w:ind w:left="2268"/>
        <w:jc w:val="both"/>
        <w:rPr>
          <w:rFonts w:ascii="Arial" w:hAnsi="Arial"/>
        </w:rPr>
      </w:pPr>
      <w:r>
        <w:rPr>
          <w:rFonts w:ascii="Arial" w:hAnsi="Arial"/>
        </w:rPr>
      </w:r>
    </w:p>
    <w:p>
      <w:pPr>
        <w:pStyle w:val="Normal"/>
        <w:spacing w:lineRule="auto" w:line="360"/>
        <w:ind w:firstLine="709"/>
        <w:jc w:val="both"/>
        <w:rPr>
          <w:rFonts w:ascii="Arial" w:hAnsi="Arial"/>
        </w:rPr>
      </w:pPr>
      <w:r>
        <w:rPr>
          <w:rFonts w:ascii="Arial" w:hAnsi="Arial"/>
        </w:rPr>
        <w:t>No entanto, o STF também reconheceu que os entes federados podem ser responsabilizados solidariamente pelo fornecimento de medicamentos, caso não haja comprovação da responsabilidade primária da União, conforme ficou decidido no Recurso Extraordinário nº 855.178, Tema 793 da Repercussão Geral, fixando a seguinte tese:</w:t>
      </w:r>
    </w:p>
    <w:p>
      <w:pPr>
        <w:pStyle w:val="Normal"/>
        <w:ind w:left="2268"/>
        <w:jc w:val="both"/>
        <w:rPr/>
      </w:pPr>
      <w:r>
        <w:rPr>
          <w:rFonts w:ascii="Arial" w:hAnsi="Arial"/>
          <w:sz w:val="22"/>
          <w:szCs w:val="22"/>
        </w:rPr>
        <w:t>Os entes da federação, em decorrência da competência comum, são solidariamente responsáveis nas demandas prestacionais na área da saúde, e diante dos critérios constitucionais de descentralização e hierarquização, compete à autoridade judicial direcionar o cumprimento conforme as regras de repartição de competências e determinar o ressarcimento a quem suportou o ônus financeiro</w:t>
      </w:r>
    </w:p>
    <w:p>
      <w:pPr>
        <w:pStyle w:val="Normal"/>
        <w:spacing w:lineRule="auto" w:line="360"/>
        <w:ind w:firstLine="709"/>
        <w:jc w:val="both"/>
        <w:rPr>
          <w:rFonts w:ascii="Arial" w:hAnsi="Arial"/>
        </w:rPr>
      </w:pPr>
      <w:r>
        <w:rPr>
          <w:rFonts w:ascii="Arial" w:hAnsi="Arial"/>
        </w:rPr>
      </w:r>
    </w:p>
    <w:p>
      <w:pPr>
        <w:pStyle w:val="Normal"/>
        <w:spacing w:lineRule="auto" w:line="360"/>
        <w:ind w:firstLine="709"/>
        <w:jc w:val="both"/>
        <w:rPr>
          <w:rFonts w:ascii="Arial" w:hAnsi="Arial"/>
        </w:rPr>
      </w:pPr>
      <w:r>
        <w:rPr>
          <w:rFonts w:ascii="Arial" w:hAnsi="Arial"/>
        </w:rPr>
        <w:t>O tribunal tem entendido que, por ser a União o ente responsável pela incorporação de novos medicamentos ao SUS, ela também deve ser responsável pelo fornecimento daqueles que não estão incorporados. Essa decisão do STF ressalta que a responsabilidade pela incorporação de novos medicamentos ao SUS ainda é da União.</w:t>
      </w:r>
    </w:p>
    <w:p>
      <w:pPr>
        <w:pStyle w:val="Normal"/>
        <w:spacing w:lineRule="auto" w:line="360"/>
        <w:ind w:firstLine="709"/>
        <w:jc w:val="both"/>
        <w:rPr>
          <w:rFonts w:ascii="Arial" w:hAnsi="Arial"/>
        </w:rPr>
      </w:pPr>
      <w:r>
        <w:rPr>
          <w:rFonts w:ascii="Arial" w:hAnsi="Arial"/>
        </w:rPr>
        <w:t xml:space="preserve">No entanto, o ministro André Mendonça, em 30 de maio de 2022, reforçou que a inclusão da União no polo passivo é exigida apenas nos casos de medicamentos não registrados na ANVISA, conforme estabelecido no Recurso Extraordinário nº 657.718, Tema 500 da Repercussão Geral que fixou a tese de que: </w:t>
      </w:r>
    </w:p>
    <w:p>
      <w:pPr>
        <w:pStyle w:val="Normal"/>
        <w:ind w:left="2268"/>
        <w:jc w:val="both"/>
        <w:rPr>
          <w:sz w:val="22"/>
          <w:szCs w:val="22"/>
        </w:rPr>
      </w:pPr>
      <w:r>
        <w:rPr>
          <w:rFonts w:ascii="Arial" w:hAnsi="Arial"/>
          <w:sz w:val="22"/>
          <w:szCs w:val="22"/>
        </w:rPr>
        <w:t>1. O Estado não pode ser obrigado a fornecer medicamentos experimentais. 2. A ausência de registro na ANVISA impede, como regra geral, o fornecimento de medicamento por decisão judicial. 3. É possível, excepcionalmente, a concessão judicial de medicamento sem registro sanitário, em caso de mora irrazoável da ANVISA em apreciar o pedido (prazo superior ao previsto na Lei nº 13.411/2016), quando preenchidos três requisitos: (i) a existência de pedido de registro do medicamento no Brasil (salvo no caso de medicamentos órfãos para doenças raras e ultrarraras);(ii) a existência de registro do medicamento em renomadas agências de regulação no exterior; e (iii) a inexistência de substituto terapêutico com registro no Brasil. 4. As ações que demandem fornecimento de medicamentos sem registro na ANVISA deverão necessariamente ser propostas em face da União.</w:t>
      </w:r>
    </w:p>
    <w:p>
      <w:pPr>
        <w:pStyle w:val="Normal"/>
        <w:spacing w:lineRule="auto" w:line="360"/>
        <w:ind w:left="2268"/>
        <w:jc w:val="both"/>
        <w:rPr>
          <w:rFonts w:ascii="Arial" w:hAnsi="Arial"/>
        </w:rPr>
      </w:pPr>
      <w:r>
        <w:rPr>
          <w:rFonts w:ascii="Arial" w:hAnsi="Arial"/>
        </w:rPr>
      </w:r>
    </w:p>
    <w:p>
      <w:pPr>
        <w:pStyle w:val="Normal"/>
        <w:spacing w:lineRule="auto" w:line="360"/>
        <w:ind w:firstLine="709"/>
        <w:jc w:val="both"/>
        <w:rPr>
          <w:rFonts w:ascii="Arial" w:hAnsi="Arial"/>
        </w:rPr>
      </w:pPr>
      <w:r>
        <w:rPr>
          <w:rFonts w:ascii="Arial" w:hAnsi="Arial"/>
        </w:rPr>
        <w:t>A interpretação de que a União deve fazer parte do polo passivo apenas nos casos de medicamentos não padronizados não pode ser adequadamente derivada do julgamento do RE 855.178. Somente nessas situações a participação da União é obrigatória devido à ANVISA ser uma autarquia federal com competência para regulamentar medicamentos.</w:t>
      </w:r>
    </w:p>
    <w:p>
      <w:pPr>
        <w:pStyle w:val="Normal"/>
        <w:spacing w:lineRule="auto" w:line="360"/>
        <w:ind w:firstLine="709"/>
        <w:jc w:val="both"/>
        <w:rPr>
          <w:rFonts w:ascii="Arial" w:hAnsi="Arial"/>
        </w:rPr>
      </w:pPr>
      <w:r>
        <w:rPr>
          <w:rFonts w:ascii="Arial" w:hAnsi="Arial"/>
        </w:rPr>
        <w:t>Quando a demanda não é originalmente proposta na Justiça Federal, mas envolve medicamentos registrados na ANVISA, porém não padronizados no SUS, não há base para a inclusão automática da União no polo passivo da ação e remessa à Justiça Federal.</w:t>
      </w:r>
    </w:p>
    <w:p>
      <w:pPr>
        <w:pStyle w:val="Normal"/>
        <w:spacing w:lineRule="auto" w:line="360"/>
        <w:ind w:firstLine="709"/>
        <w:jc w:val="both"/>
        <w:rPr>
          <w:rFonts w:ascii="Arial" w:hAnsi="Arial"/>
        </w:rPr>
      </w:pPr>
      <w:r>
        <w:rPr>
          <w:rFonts w:ascii="Arial" w:hAnsi="Arial"/>
        </w:rPr>
        <w:t>Além disso, o argumento de que as ações relativas a medicamentos não padronizados devem ser sempre movidas contra a União, por esta ser responsável pela padronização e incorporação ao SUS, é questionável, uma vez que a incorporação de medicamentos, insumos e tratamentos ao SUS é realizada pela Comissão Nacional de Incorporação de Tecnologias no SUS, um órgão de alcance nacional, com a participação da União, dos Estados, do Distrito Federal e dos Municípios.</w:t>
      </w:r>
    </w:p>
    <w:p>
      <w:pPr>
        <w:pStyle w:val="Normal"/>
        <w:spacing w:lineRule="auto" w:line="360"/>
        <w:ind w:firstLine="709"/>
        <w:jc w:val="both"/>
        <w:rPr>
          <w:rFonts w:ascii="Arial" w:hAnsi="Arial"/>
        </w:rPr>
      </w:pPr>
      <w:r>
        <w:rPr>
          <w:rFonts w:ascii="Arial" w:hAnsi="Arial"/>
        </w:rPr>
        <w:t xml:space="preserve">No mais, após a incorporação ao SUS, muitos medicamentos de alto custo são de responsabilidade de financiamento e fornecimento pelas Secretarias de Saúde dos Estados e do Distrito Federal, não havendo uma presunção automática de responsabilidade da União, reforçando que a sua inclusão no polo passivo da ação é desnecessária. </w:t>
      </w:r>
    </w:p>
    <w:p>
      <w:pPr>
        <w:pStyle w:val="Normal"/>
        <w:spacing w:lineRule="auto" w:line="360"/>
        <w:ind w:firstLine="709"/>
        <w:jc w:val="both"/>
        <w:rPr>
          <w:rFonts w:ascii="Arial" w:hAnsi="Arial"/>
        </w:rPr>
      </w:pPr>
      <w:r>
        <w:rPr>
          <w:rFonts w:ascii="Arial" w:hAnsi="Arial"/>
        </w:rPr>
        <w:t xml:space="preserve">Essa abordagem é importante para evitar barreiras ao acesso à Justiça, especialmente para pessoas em situação de vulnerabilidade, que teriam que se deslocar para longas distâncias até a Justiça Federal em municípios menores, onde a Defensoria Pública da União muitas vezes não está presente. </w:t>
      </w:r>
    </w:p>
    <w:p>
      <w:pPr>
        <w:pStyle w:val="Normal"/>
        <w:spacing w:lineRule="auto" w:line="360"/>
        <w:ind w:firstLine="709"/>
        <w:jc w:val="both"/>
        <w:rPr>
          <w:rFonts w:ascii="Arial" w:hAnsi="Arial"/>
        </w:rPr>
      </w:pPr>
      <w:r>
        <w:rPr>
          <w:rFonts w:ascii="Arial" w:hAnsi="Arial"/>
        </w:rPr>
        <w:t xml:space="preserve">Apesar da existência dos meios virtuais, eletrônicos e digitais de registros das demandas na Defensoria Pública da União, bem como no Ministério Público Federal, há um grande desconhecimento por parte das pessoas mais necessitadas que vivem nos municípios menores e interiorizados do Brasil. E mesmos que algumas tenham conhecimento dessa possibilidade, não têm ainda a alfabetização digital suficiente para registrar suas demandas. </w:t>
      </w:r>
    </w:p>
    <w:p>
      <w:pPr>
        <w:pStyle w:val="Normal"/>
        <w:spacing w:lineRule="auto" w:line="360"/>
        <w:ind w:firstLine="709"/>
        <w:jc w:val="both"/>
        <w:rPr>
          <w:rFonts w:ascii="Arial" w:hAnsi="Arial"/>
        </w:rPr>
      </w:pPr>
      <w:r>
        <w:rPr>
          <w:rFonts w:ascii="Arial" w:hAnsi="Arial"/>
        </w:rPr>
        <w:t>No Brasil, o analfabetismo digital ainda é uma realidade desafiadora que afeta significativamente a população. A falta de habilidades digitais é uma barreira que impede muitos brasileiros de aproveitar plenamente os benefícios da tecnologia, contribuindo para a exclusão digital e a desigualdade social no país.</w:t>
      </w:r>
    </w:p>
    <w:p>
      <w:pPr>
        <w:pStyle w:val="Normal"/>
        <w:spacing w:lineRule="auto" w:line="360"/>
        <w:ind w:firstLine="709"/>
        <w:jc w:val="both"/>
        <w:rPr>
          <w:rFonts w:ascii="Arial" w:hAnsi="Arial"/>
        </w:rPr>
      </w:pPr>
      <w:r>
        <w:rPr>
          <w:rFonts w:ascii="Arial" w:hAnsi="Arial"/>
        </w:rPr>
        <w:t>Nesse sentido, o debate sobre a competência jurisdicional em matéria de saúde é também uma discussão sobre o acesso à justiça para a população necessitada. Essa questão é relevante do ponto de vista social e jurídico, pois afeta não apenas os interesses subjetivos do processo, mas também a possibilidade de que pessoas em situação de vulnerabilidade tenham acesso a medicamentos e tratamentos de saúde.</w:t>
      </w:r>
    </w:p>
    <w:p>
      <w:pPr>
        <w:pStyle w:val="Normal"/>
        <w:spacing w:lineRule="auto" w:line="360"/>
        <w:ind w:firstLine="709"/>
        <w:jc w:val="both"/>
        <w:rPr>
          <w:rFonts w:ascii="Arial" w:hAnsi="Arial"/>
        </w:rPr>
      </w:pPr>
      <w:r>
        <w:rPr>
          <w:rFonts w:ascii="Arial" w:hAnsi="Arial"/>
        </w:rPr>
        <w:t>No Brasil, a judicialização das demandas de saúde pública é frequentemente promovida por pessoas que estão expostas à pobreza, doença e baixa escolaridade. Essas pessoas, muitas vezes, encontram dificuldades para acessar os serviços de saúde disponibilizados pelo Estado.</w:t>
      </w:r>
    </w:p>
    <w:p>
      <w:pPr>
        <w:pStyle w:val="Normal"/>
        <w:spacing w:lineRule="auto" w:line="360"/>
        <w:ind w:firstLine="709"/>
        <w:jc w:val="both"/>
        <w:rPr>
          <w:rFonts w:ascii="Arial" w:hAnsi="Arial"/>
        </w:rPr>
      </w:pPr>
      <w:r>
        <w:rPr>
          <w:rFonts w:ascii="Arial" w:hAnsi="Arial"/>
        </w:rPr>
        <w:t>Outro fator que dificulta o acesso à justiça em matéria de saúde é o descompasso de capilaridade entre o Poder Judiciário Federal e dos Estados, bem como entre as Defensorias Públicas Estaduais/Distrital e a da União.</w:t>
      </w:r>
    </w:p>
    <w:p>
      <w:pPr>
        <w:pStyle w:val="Normal"/>
        <w:spacing w:lineRule="auto" w:line="360"/>
        <w:ind w:firstLine="709"/>
        <w:jc w:val="both"/>
        <w:rPr>
          <w:rFonts w:ascii="Arial" w:hAnsi="Arial"/>
        </w:rPr>
      </w:pPr>
      <w:r>
        <w:rPr>
          <w:rFonts w:ascii="Arial" w:hAnsi="Arial"/>
        </w:rPr>
        <w:t>O Poder Judiciário Estadual possui uma capilaridade muito maior que o Poder Judiciário Federal. Em 2021, o Poder Judiciário Estadual possuía 9.606 varas e juizados especiais, distribuídos em 2.672 comarcas, enquanto o Poder Judiciário Federal comum possuía apenas 984 varas, distribuídas em 278 subseções federais</w:t>
      </w:r>
      <w:r>
        <w:rPr>
          <w:rStyle w:val="FootnoteReference"/>
          <w:rFonts w:ascii="Arial" w:hAnsi="Arial"/>
        </w:rPr>
        <w:footnoteReference w:id="4"/>
      </w:r>
      <w:r>
        <w:rPr>
          <w:rFonts w:ascii="Arial" w:hAnsi="Arial"/>
        </w:rPr>
        <w:t>.</w:t>
      </w:r>
    </w:p>
    <w:p>
      <w:pPr>
        <w:pStyle w:val="Normal"/>
        <w:spacing w:lineRule="auto" w:line="360"/>
        <w:ind w:firstLine="709"/>
        <w:jc w:val="both"/>
        <w:rPr>
          <w:rFonts w:ascii="Arial" w:hAnsi="Arial"/>
        </w:rPr>
      </w:pPr>
      <w:r>
        <w:rPr>
          <w:rFonts w:ascii="Arial" w:hAnsi="Arial"/>
        </w:rPr>
        <w:t>As Defensorias Públicas Estaduais/Distrital também possuem uma capilaridade muito maior que a Defensoria Pública da União. Em 2021, as Defensorias dos Estados contavam com 5.965 Defensores Públicos, distribuídos em 754 comarcas, enquanto a Defensoria Pública da União era capaz de prestar assistência jurídica em apenas 80 das 298 seções e subseções judiciárias federais</w:t>
      </w:r>
      <w:r>
        <w:rPr>
          <w:rStyle w:val="FootnoteReference"/>
          <w:rFonts w:ascii="Arial" w:hAnsi="Arial"/>
        </w:rPr>
        <w:footnoteReference w:id="5"/>
      </w:r>
      <w:r>
        <w:rPr>
          <w:rFonts w:ascii="Arial" w:hAnsi="Arial"/>
        </w:rPr>
        <w:t>.</w:t>
      </w:r>
    </w:p>
    <w:p>
      <w:pPr>
        <w:pStyle w:val="Normal"/>
        <w:spacing w:lineRule="auto" w:line="360"/>
        <w:ind w:firstLine="709"/>
        <w:jc w:val="both"/>
        <w:rPr>
          <w:rFonts w:ascii="Arial" w:hAnsi="Arial"/>
        </w:rPr>
      </w:pPr>
      <w:r>
        <w:rPr>
          <w:rFonts w:ascii="Arial" w:hAnsi="Arial"/>
        </w:rPr>
        <w:t>Essa desproporção de capilaridade dificulta o acesso à justiça em matéria de saúde para pessoas que residem em localidades distantes dos centros urbanos.</w:t>
      </w:r>
    </w:p>
    <w:p>
      <w:pPr>
        <w:pStyle w:val="Normal"/>
        <w:spacing w:lineRule="auto" w:line="360"/>
        <w:ind w:firstLine="709"/>
        <w:jc w:val="both"/>
        <w:rPr>
          <w:rFonts w:ascii="Arial" w:hAnsi="Arial"/>
        </w:rPr>
      </w:pPr>
      <w:r>
        <w:rPr>
          <w:rFonts w:ascii="Arial" w:hAnsi="Arial"/>
        </w:rPr>
        <w:t>No Estado do Amazonas, por exemplo, existem 61 municípios com sede de comarca</w:t>
      </w:r>
      <w:r>
        <w:rPr>
          <w:rStyle w:val="FootnoteReference"/>
          <w:rFonts w:ascii="Arial" w:hAnsi="Arial"/>
        </w:rPr>
        <w:footnoteReference w:id="6"/>
      </w:r>
      <w:r>
        <w:rPr>
          <w:rFonts w:ascii="Arial" w:hAnsi="Arial"/>
        </w:rPr>
        <w:t>, mas apenas 3 subseções federais</w:t>
      </w:r>
      <w:r>
        <w:rPr>
          <w:rStyle w:val="FootnoteReference"/>
          <w:rFonts w:ascii="Arial" w:hAnsi="Arial"/>
        </w:rPr>
        <w:footnoteReference w:id="7"/>
      </w:r>
      <w:r>
        <w:rPr>
          <w:rFonts w:ascii="Arial" w:hAnsi="Arial"/>
        </w:rPr>
        <w:t>. Isso significa que pessoas que residem em localidades remotas, como São Gabriel da Cachoeira/AM</w:t>
      </w:r>
      <w:r>
        <w:rPr>
          <w:rStyle w:val="FootnoteReference"/>
          <w:rFonts w:ascii="Arial" w:hAnsi="Arial"/>
        </w:rPr>
        <w:footnoteReference w:id="8"/>
      </w:r>
      <w:r>
        <w:rPr>
          <w:rFonts w:ascii="Arial" w:hAnsi="Arial"/>
        </w:rPr>
        <w:t>, que está a mais de 860 km de Manaus, precisam se deslocar a Manaus para ajuizar uma demanda no Poder Judiciário Federal.</w:t>
      </w:r>
    </w:p>
    <w:p>
      <w:pPr>
        <w:pStyle w:val="Normal"/>
        <w:spacing w:lineRule="auto" w:line="360"/>
        <w:ind w:firstLine="709"/>
        <w:jc w:val="both"/>
        <w:rPr>
          <w:rFonts w:ascii="Arial" w:hAnsi="Arial"/>
        </w:rPr>
      </w:pPr>
      <w:r>
        <w:rPr>
          <w:rFonts w:ascii="Arial" w:hAnsi="Arial"/>
        </w:rPr>
        <w:t>No Estado de Minas Gerais, uma pessoa que reside no Município de Minas Novas, que é sede de comarca, precisa se deslocar a Montes Claros, que fica a 290 km de distância, para ajuizar uma demanda no Poder Judiciário Federal</w:t>
      </w:r>
      <w:r>
        <w:rPr>
          <w:rStyle w:val="FootnoteReference"/>
          <w:rFonts w:ascii="Arial" w:hAnsi="Arial"/>
        </w:rPr>
        <w:footnoteReference w:id="9"/>
      </w:r>
      <w:r>
        <w:rPr>
          <w:rFonts w:ascii="Arial" w:hAnsi="Arial"/>
        </w:rPr>
        <w:t>.</w:t>
      </w:r>
    </w:p>
    <w:p>
      <w:pPr>
        <w:pStyle w:val="Normal"/>
        <w:spacing w:lineRule="auto" w:line="360"/>
        <w:ind w:firstLine="709"/>
        <w:jc w:val="both"/>
        <w:rPr>
          <w:rFonts w:ascii="Arial" w:hAnsi="Arial"/>
        </w:rPr>
      </w:pPr>
      <w:r>
        <w:rPr>
          <w:rFonts w:ascii="Arial" w:hAnsi="Arial"/>
        </w:rPr>
        <w:t>Além das dificuldades de acesso, a judicialização das demandas de saúde também tem um impacto significativo na gestão da Justiça Federal. Em 2022, o Poder Judiciário Federal recebeu mais de 68 mil ações em matéria de saúde, o que representa um aumento de mais 10% em relação ao ano anterior</w:t>
      </w:r>
      <w:r>
        <w:rPr>
          <w:rStyle w:val="FootnoteReference"/>
          <w:rFonts w:ascii="Arial" w:hAnsi="Arial"/>
        </w:rPr>
        <w:footnoteReference w:id="10"/>
      </w:r>
      <w:r>
        <w:rPr>
          <w:rFonts w:ascii="Arial" w:hAnsi="Arial"/>
        </w:rPr>
        <w:t>.</w:t>
      </w:r>
    </w:p>
    <w:p>
      <w:pPr>
        <w:pStyle w:val="Normal"/>
        <w:spacing w:lineRule="auto" w:line="360"/>
        <w:ind w:firstLine="709"/>
        <w:jc w:val="both"/>
        <w:rPr>
          <w:rFonts w:ascii="Arial" w:hAnsi="Arial"/>
        </w:rPr>
      </w:pPr>
      <w:r>
        <w:rPr>
          <w:rFonts w:ascii="Arial" w:hAnsi="Arial"/>
        </w:rPr>
        <w:t>Esse aumento de demandas tem impactado negativamente o tempo de tramitação dos processos, que já é elevado na Justiça Federal. Conforme disponível no Painel de Estatísticas Processuais de Direito à Saúde do CNJ</w:t>
      </w:r>
      <w:r>
        <w:rPr>
          <w:rStyle w:val="FootnoteReference"/>
          <w:rFonts w:ascii="Arial" w:hAnsi="Arial"/>
        </w:rPr>
        <w:footnoteReference w:id="11"/>
      </w:r>
      <w:r>
        <w:rPr>
          <w:rFonts w:ascii="Arial" w:hAnsi="Arial"/>
        </w:rPr>
        <w:t>, o tempo médio de tramitação de um processo na Justiça Federal, desde o seu início até a sua baixa, é 653 dias.</w:t>
      </w:r>
    </w:p>
    <w:p>
      <w:pPr>
        <w:pStyle w:val="Normal"/>
        <w:spacing w:lineRule="auto" w:line="360"/>
        <w:ind w:firstLine="709"/>
        <w:jc w:val="both"/>
        <w:rPr>
          <w:rFonts w:ascii="Arial" w:hAnsi="Arial"/>
          <w:color w:val="FF0000"/>
        </w:rPr>
      </w:pPr>
      <w:r>
        <w:rPr>
          <w:rFonts w:ascii="Arial" w:hAnsi="Arial"/>
        </w:rPr>
        <w:t>Em conclusão, a discussão sobre a competência jurisdicional em matéria de saúde é uma discussão complexa que envolve diversos fatores, como o acesso à justiça, a gestão da Justiça Federal, o impacto econômico da judicialização das demandas de saúde e o posicionamento jurisprudencial em formação merecem toda a atenção da sociedade e das autoridades competentes.</w:t>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b/>
          <w:bCs/>
        </w:rPr>
        <w:t>5 CONSIDERAÇÕES FINAIS</w:t>
      </w:r>
    </w:p>
    <w:p>
      <w:pPr>
        <w:pStyle w:val="Normal"/>
        <w:spacing w:lineRule="auto" w:line="360"/>
        <w:ind w:firstLine="709"/>
        <w:jc w:val="both"/>
        <w:rPr>
          <w:rFonts w:ascii="Arial" w:hAnsi="Arial"/>
        </w:rPr>
      </w:pPr>
      <w:r>
        <w:rPr>
          <w:rFonts w:ascii="Arial" w:hAnsi="Arial"/>
        </w:rPr>
      </w:r>
    </w:p>
    <w:p>
      <w:pPr>
        <w:pStyle w:val="Normal"/>
        <w:spacing w:lineRule="auto" w:line="360"/>
        <w:ind w:firstLine="709"/>
        <w:jc w:val="both"/>
        <w:rPr/>
      </w:pPr>
      <w:r>
        <w:rPr>
          <w:rFonts w:ascii="Arial" w:hAnsi="Arial"/>
        </w:rPr>
        <w:t>A questão da responsabilidade pela prestação de medicamentos no sistema de saúde do Brasil é de grande relevância e complexidade, uma vez que envolve uma divisão de deveres entre os diferentes entes federativos. Para tanto, os atos regulamentares, a legislação e a jurisprudência têm desempenhado um papel fundamental na definição das responsabilidades de cada ente federativo, seja a União, os Estados, o Distrito Federal ou os Municípios. Neste contexto, a competência é compartilhada e a responsabilidade pode variar, podendo ser tanto solidária quanto subsidiária, dependendo da situação específica.</w:t>
      </w:r>
    </w:p>
    <w:p>
      <w:pPr>
        <w:pStyle w:val="Normal"/>
        <w:spacing w:lineRule="auto" w:line="360"/>
        <w:ind w:firstLine="709"/>
        <w:jc w:val="both"/>
        <w:rPr/>
      </w:pPr>
      <w:r>
        <w:rPr>
          <w:rFonts w:ascii="Arial" w:hAnsi="Arial"/>
        </w:rPr>
        <w:t>A busca pelo acesso a medicamentos, especialmente aqueles que não são padronizados nos protocolos clínicos e diretrizes terapêuticas do Sistema Único de Saúde (SUS), frequentemente leva os cidadãos a recorrerem ao judiciário como meio de garantir o seu direito à saúde. Este fenômeno, conhecido como "judicialização da saúde", tem aumentado significativamente nos últimos anos, gerando um acúmulo de demandas nos tribunais brasileiros.</w:t>
      </w:r>
    </w:p>
    <w:p>
      <w:pPr>
        <w:pStyle w:val="Normal"/>
        <w:spacing w:lineRule="auto" w:line="360"/>
        <w:ind w:firstLine="709"/>
        <w:jc w:val="both"/>
        <w:rPr/>
      </w:pPr>
      <w:r>
        <w:rPr>
          <w:rFonts w:ascii="Arial" w:hAnsi="Arial"/>
        </w:rPr>
        <w:t>A definição da competência jurisdicional, ou seja, qual esfera do judiciário (estadual ou federal) deve julgar esses casos, é um ponto de discussão relevante. Além disso, a disponibilidade de recursos das Defensorias Públicas Estaduais/Distrital e da União tem um impacto significativo no acesso à justiça para aqueles que buscam judicializar suas demandas de saúde. Isso é particularmente importante para as pessoas que vivem em áreas distantes dos centros urbanos, onde a presença da Defensoria Pública da União é limitada.</w:t>
      </w:r>
    </w:p>
    <w:p>
      <w:pPr>
        <w:pStyle w:val="Normal"/>
        <w:spacing w:lineRule="auto" w:line="360"/>
        <w:ind w:firstLine="709"/>
        <w:jc w:val="both"/>
        <w:rPr/>
      </w:pPr>
      <w:r>
        <w:rPr>
          <w:rFonts w:ascii="Arial" w:hAnsi="Arial"/>
        </w:rPr>
        <w:t xml:space="preserve">Verificou-se que a sobrecarga do Poder Judiciário Federal, devido ao aumento das ações judiciais relacionadas à saúde também merece atenção. Em 2022, foram ajuizadas mais de 68 mil ações nessa área, o que representou um aumento de mais de 10% em relação ao ano anterior. Essa crescente demanda tem impactado negativamente o tempo de tramitação dos processos, que já é elevado na Justiça Federal. Em média, um processo na Justiça Federal leva cerca de quatro anos para ser concluído, o que prolonga a espera dos pacientes por uma decisão judicial. </w:t>
      </w:r>
    </w:p>
    <w:p>
      <w:pPr>
        <w:pStyle w:val="Normal"/>
        <w:spacing w:lineRule="auto" w:line="360"/>
        <w:ind w:firstLine="709"/>
        <w:jc w:val="both"/>
        <w:rPr/>
      </w:pPr>
      <w:r>
        <w:rPr>
          <w:rFonts w:ascii="Arial" w:hAnsi="Arial"/>
        </w:rPr>
        <w:t>Foi possível constatar que a discussão sobre a competência jurisdicional em matéria de saúde é multifacetada e envolve uma série de fatores interligados. Ela não se limita apenas à divisão de responsabilidades entre os entes federativos na prestação de medicamentos, mas também afeta o acesso à justiça, a gestão do sistema de Justiça e o impacto econômico da judicialização das demandas de saúde.</w:t>
      </w:r>
    </w:p>
    <w:p>
      <w:pPr>
        <w:pStyle w:val="Normal"/>
        <w:spacing w:lineRule="auto" w:line="360"/>
        <w:ind w:firstLine="709"/>
        <w:jc w:val="both"/>
        <w:rPr/>
      </w:pPr>
      <w:r>
        <w:rPr>
          <w:rFonts w:ascii="Arial" w:hAnsi="Arial"/>
        </w:rPr>
        <w:t>No entanto, é fundamental encontrar um equilíbrio entre a garantia do direito à saúde, que é um direito fundamental e universal, e a eficiência na administração da justiça. Uma abordagem adequada pode envolver a implementação de políticas públicas mais eficazes na área de saúde, a melhoria da coordenação entre os entes federativos e uma alocação adequada de recursos para as Defensorias Públicas, além de estratégias para reduzir a sobrecarga do sistema judiciário, como a promoção de métodos alternativos de resolução de conflitos.</w:t>
      </w:r>
    </w:p>
    <w:p>
      <w:pPr>
        <w:pStyle w:val="Normal"/>
        <w:spacing w:lineRule="auto" w:line="360"/>
        <w:ind w:firstLine="709"/>
        <w:jc w:val="both"/>
        <w:rPr>
          <w:rFonts w:ascii="Arial" w:hAnsi="Arial"/>
        </w:rPr>
      </w:pPr>
      <w:r>
        <w:rPr>
          <w:rFonts w:ascii="Arial" w:hAnsi="Arial"/>
        </w:rPr>
        <w:t xml:space="preserve">Em última análise, a questão da competência jurisdicional em matéria de saúde é um desafio complexo que exige uma análise cuidadosa e uma abordagem holística para garantir que os direitos dos cidadãos sejam respeitados e que o sistema de saúde funcione de maneira eficaz e equitativa. </w:t>
      </w:r>
    </w:p>
    <w:p>
      <w:pPr>
        <w:pStyle w:val="Normal"/>
        <w:spacing w:lineRule="auto" w:line="360"/>
        <w:ind w:firstLine="709"/>
        <w:jc w:val="both"/>
        <w:rPr>
          <w:rFonts w:ascii="Arial" w:hAnsi="Arial"/>
        </w:rPr>
      </w:pPr>
      <w:r>
        <w:rPr>
          <w:rFonts w:ascii="Arial" w:hAnsi="Arial"/>
        </w:rPr>
        <w:t>Contudo, é fundamental que o Estado cumpra seu dever de garantir o acesso à saúde e que os cidadãos possam buscar amparo na justiça quando necessário, sem enfrentar obstáculos injustos ou excessivas demoras no processo.</w:t>
      </w:r>
    </w:p>
    <w:p>
      <w:pPr>
        <w:pStyle w:val="Normal"/>
        <w:spacing w:lineRule="auto" w:line="360"/>
        <w:ind w:firstLine="709"/>
        <w:jc w:val="both"/>
        <w:rPr/>
      </w:pPr>
      <w:r>
        <w:rPr/>
      </w:r>
      <w:r>
        <w:br w:type="page"/>
      </w:r>
    </w:p>
    <w:p>
      <w:pPr>
        <w:pStyle w:val="Normal"/>
        <w:spacing w:lineRule="auto" w:line="360" w:before="0" w:after="0"/>
        <w:jc w:val="center"/>
        <w:rPr>
          <w:rFonts w:ascii="Arial" w:hAnsi="Arial"/>
          <w:color w:val="FF0000"/>
        </w:rPr>
      </w:pPr>
      <w:r>
        <w:rPr>
          <w:rFonts w:ascii="Arial" w:hAnsi="Arial"/>
          <w:b/>
          <w:bCs/>
        </w:rPr>
        <w:t>6 REFERÊNCIAS</w:t>
      </w:r>
    </w:p>
    <w:p>
      <w:pPr>
        <w:pStyle w:val="Normal"/>
        <w:spacing w:lineRule="auto" w:line="240" w:before="0" w:after="0"/>
        <w:jc w:val="center"/>
        <w:rPr/>
      </w:pPr>
      <w:r>
        <w:rPr/>
      </w:r>
    </w:p>
    <w:p>
      <w:pPr>
        <w:pStyle w:val="Normal"/>
        <w:jc w:val="both"/>
        <w:rPr>
          <w:rFonts w:ascii="Arial" w:hAnsi="Arial"/>
        </w:rPr>
      </w:pPr>
      <w:r>
        <w:rPr>
          <w:rFonts w:ascii="Arial" w:hAnsi="Arial"/>
        </w:rPr>
        <w:t>ALEXANDRINO, Marcelo e PAULO, Vicente. Direito Administrativo Descomplicado. 29ª ed. Rio de Janeiro: Forense; MÉTODO, 2021;</w:t>
      </w:r>
    </w:p>
    <w:p>
      <w:pPr>
        <w:pStyle w:val="Normal"/>
        <w:jc w:val="both"/>
        <w:rPr>
          <w:rFonts w:ascii="Arial" w:hAnsi="Arial"/>
        </w:rPr>
      </w:pPr>
      <w:r>
        <w:rPr>
          <w:rFonts w:ascii="Arial" w:hAnsi="Arial"/>
        </w:rPr>
      </w:r>
    </w:p>
    <w:p>
      <w:pPr>
        <w:pStyle w:val="Normal"/>
        <w:jc w:val="both"/>
        <w:rPr/>
      </w:pPr>
      <w:r>
        <w:rPr>
          <w:rFonts w:ascii="Arial" w:hAnsi="Arial"/>
        </w:rPr>
        <w:t xml:space="preserve">BRASIL, Lei n° 8.080, de 19 de setembro de 1990. Dispõe sobre as condições para a promoção, proteção e recuperação da saúde, a organização e o funcionamento dos serviços correspondentes. Diário Oficial da União, Brasília-DF, 20 de setembro de 1990. Disponível em: </w:t>
      </w:r>
      <w:hyperlink r:id="rId2">
        <w:r>
          <w:rPr>
            <w:rStyle w:val="Hyperlink"/>
            <w:rFonts w:ascii="Arial" w:hAnsi="Arial"/>
          </w:rPr>
          <w:t>https://www.planalto.gov.br/ccivil_03/leis/l8080.htm</w:t>
        </w:r>
      </w:hyperlink>
      <w:r>
        <w:rPr>
          <w:rFonts w:ascii="Arial" w:hAnsi="Arial"/>
        </w:rPr>
        <w:t>. Acesso em: 21/05/2023.</w:t>
        <w:br/>
        <w:br/>
        <w:t xml:space="preserve">BRASIL, Portaria n° 3.916, de 30 de outubro de 1998. Dispõe sobre a Política Nacional de Medicamentos. Diário Oficial da União, Brasília-DF, 30 de outubro de 1998, Brasília-DF. Disponível em: </w:t>
      </w:r>
      <w:hyperlink r:id="rId3">
        <w:r>
          <w:rPr>
            <w:rStyle w:val="Hyperlink"/>
            <w:rFonts w:ascii="Arial" w:hAnsi="Arial"/>
          </w:rPr>
          <w:t>https://bvsms.saude.gov.br/bvs/saudelegis/gm/1998/prt3916_30_10_1998.html</w:t>
        </w:r>
      </w:hyperlink>
      <w:r>
        <w:rPr>
          <w:rFonts w:ascii="Arial" w:hAnsi="Arial"/>
        </w:rPr>
        <w:t>. Acesso em: 21/05/2023;</w:t>
        <w:br/>
        <w:br/>
        <w:t xml:space="preserve">BRASIL, Decreto n° 7.058, de 28 de junho de 2011. Dispõe sobre a organização do Sistema Único de Saúde-SUS. Diário Oficial da União, Brasília-DF, 29 de junho de 2011, Brasília-DF. Disponível em: </w:t>
      </w:r>
      <w:hyperlink r:id="rId4">
        <w:r>
          <w:rPr>
            <w:rStyle w:val="Hyperlink"/>
            <w:rFonts w:ascii="Arial" w:hAnsi="Arial"/>
          </w:rPr>
          <w:t>https://www.planalto.gov.br/ccivil_03/_ato2011-2014/2011/decreto/d7508.htm</w:t>
        </w:r>
      </w:hyperlink>
      <w:r>
        <w:rPr>
          <w:rFonts w:ascii="Arial" w:hAnsi="Arial"/>
        </w:rPr>
        <w:t>. Acesso em: 23/05/2023;</w:t>
      </w:r>
    </w:p>
    <w:p>
      <w:pPr>
        <w:pStyle w:val="Normal"/>
        <w:jc w:val="both"/>
        <w:rPr>
          <w:rFonts w:ascii="Arial" w:hAnsi="Arial"/>
        </w:rPr>
      </w:pPr>
      <w:r>
        <w:rPr>
          <w:rFonts w:ascii="Arial" w:hAnsi="Arial"/>
        </w:rPr>
      </w:r>
    </w:p>
    <w:p>
      <w:pPr>
        <w:pStyle w:val="Normal"/>
        <w:jc w:val="both"/>
        <w:rPr/>
      </w:pPr>
      <w:r>
        <w:rPr>
          <w:rFonts w:ascii="Arial" w:hAnsi="Arial"/>
        </w:rPr>
        <w:t xml:space="preserve">BRASIL, Constituição da República Federativa do Brasil de 1988. Diário Oficial da União, 05 de outubro de 1988, Brasília-DF. Disponível em: </w:t>
      </w:r>
      <w:hyperlink r:id="rId5">
        <w:r>
          <w:rPr>
            <w:rStyle w:val="Hyperlink"/>
            <w:rFonts w:ascii="Arial" w:hAnsi="Arial"/>
          </w:rPr>
          <w:t>https://www.planalto.gov.br/ccivil_03/constituicao/constituicao.htm</w:t>
        </w:r>
      </w:hyperlink>
      <w:r>
        <w:rPr>
          <w:rFonts w:ascii="Arial" w:hAnsi="Arial"/>
        </w:rPr>
        <w:t>. Acessado em: 21/05/2023;</w:t>
      </w:r>
    </w:p>
    <w:p>
      <w:pPr>
        <w:pStyle w:val="Normal"/>
        <w:jc w:val="both"/>
        <w:rPr>
          <w:rFonts w:ascii="Arial" w:hAnsi="Arial"/>
        </w:rPr>
      </w:pPr>
      <w:r>
        <w:rPr>
          <w:rFonts w:ascii="Arial" w:hAnsi="Arial"/>
        </w:rPr>
      </w:r>
    </w:p>
    <w:p>
      <w:pPr>
        <w:pStyle w:val="Normal"/>
        <w:jc w:val="both"/>
        <w:rPr/>
      </w:pPr>
      <w:r>
        <w:rPr>
          <w:rFonts w:ascii="Arial" w:hAnsi="Arial"/>
        </w:rPr>
        <w:t xml:space="preserve">BRASIL. Supremo Tribunal Federal. Recurso Extraordinário n. 1.366.243. Impetrante: Estado de Santa Catarina. Luiz Fux. Brasília, DF, 09  de agosto de 2022. Diário da Justiça, Brasília-DF, 13 de setembro de 2022. Disponível em: </w:t>
      </w:r>
      <w:hyperlink r:id="rId6">
        <w:r>
          <w:rPr>
            <w:rStyle w:val="Hyperlink"/>
            <w:rFonts w:ascii="Arial" w:hAnsi="Arial"/>
          </w:rPr>
          <w:t>https://portal.stf.jus.br/processos/downloadPeca.asp?id=15353401700&amp;ext=.pdf</w:t>
        </w:r>
      </w:hyperlink>
      <w:r>
        <w:rPr>
          <w:rFonts w:ascii="Arial" w:hAnsi="Arial"/>
        </w:rPr>
        <w:t>. Acessado em 23/05/2023;</w:t>
      </w:r>
    </w:p>
    <w:p>
      <w:pPr>
        <w:pStyle w:val="Normal"/>
        <w:jc w:val="both"/>
        <w:rPr>
          <w:rFonts w:ascii="Arial" w:hAnsi="Arial"/>
        </w:rPr>
      </w:pPr>
      <w:r>
        <w:rPr>
          <w:rFonts w:ascii="Arial" w:hAnsi="Arial"/>
        </w:rPr>
      </w:r>
    </w:p>
    <w:p>
      <w:pPr>
        <w:pStyle w:val="Normal"/>
        <w:jc w:val="both"/>
        <w:rPr/>
      </w:pPr>
      <w:r>
        <w:rPr>
          <w:rFonts w:ascii="Arial" w:hAnsi="Arial"/>
        </w:rPr>
        <w:t xml:space="preserve">BRASIL. Supremo Tribunal Federal. Recurso Extraordinário nº 1.366.243. Reclamante: Estado de Santa Catarina. Reclamado: Roger Henrique Testa. Rel. Min. Luiz Fuz. Brasília, DF, 08 de setembro de 2022. Diário da Justiça, Brasília-DF, 12 de setembro de 2019. Disponível em: </w:t>
      </w:r>
      <w:hyperlink r:id="rId7">
        <w:r>
          <w:rPr>
            <w:rStyle w:val="Hyperlink"/>
            <w:rFonts w:ascii="Arial" w:hAnsi="Arial"/>
          </w:rPr>
          <w:t>https://portal.stf.jus.br/processos/downloadPeca.asp?id=15353401700&amp;ext=.pdf</w:t>
        </w:r>
      </w:hyperlink>
      <w:r>
        <w:rPr>
          <w:rFonts w:ascii="Arial" w:hAnsi="Arial"/>
        </w:rPr>
        <w:t xml:space="preserve"> Acesso em: 10 de outubro de 2023;</w:t>
      </w:r>
    </w:p>
    <w:p>
      <w:pPr>
        <w:pStyle w:val="Normal"/>
        <w:jc w:val="both"/>
        <w:rPr/>
      </w:pPr>
      <w:r>
        <w:rPr/>
      </w:r>
    </w:p>
    <w:p>
      <w:pPr>
        <w:pStyle w:val="Normal"/>
        <w:jc w:val="both"/>
        <w:rPr/>
      </w:pPr>
      <w:r>
        <w:rPr>
          <w:rFonts w:ascii="Arial" w:hAnsi="Arial"/>
        </w:rPr>
        <w:t xml:space="preserve">BRASIL. Supremo Tribunal Federal. Recurso Extraordinário nº 855.178. Reclamante: União. Reclamada: Maria Augusta da Cruz Santos. Rel. Min. Luiz Fuz. Brasília, DF, 23 de maio de 2019. Diário da Justiça, Brasília-DF, 4 de junho de 2019. Disponível em: </w:t>
      </w:r>
      <w:hyperlink r:id="rId8">
        <w:r>
          <w:rPr>
            <w:rStyle w:val="Hyperlink"/>
            <w:rFonts w:ascii="Arial" w:hAnsi="Arial"/>
          </w:rPr>
          <w:t>https://portal.stf.jus.br/processos/downloadPeca.asp?id=15342892719&amp;ext=.pdf</w:t>
        </w:r>
      </w:hyperlink>
      <w:r>
        <w:rPr>
          <w:rFonts w:ascii="Arial" w:hAnsi="Arial"/>
        </w:rPr>
        <w:t xml:space="preserve"> Acesso em: 10 de outubro de 2023;</w:t>
      </w:r>
    </w:p>
    <w:p>
      <w:pPr>
        <w:pStyle w:val="Normal"/>
        <w:jc w:val="both"/>
        <w:rPr/>
      </w:pPr>
      <w:r>
        <w:rPr/>
      </w:r>
    </w:p>
    <w:p>
      <w:pPr>
        <w:pStyle w:val="Normal"/>
        <w:jc w:val="both"/>
        <w:rPr/>
      </w:pPr>
      <w:r>
        <w:rPr>
          <w:rFonts w:ascii="Arial" w:hAnsi="Arial"/>
        </w:rPr>
        <w:t xml:space="preserve">BRASIL. Supremo Tribunal Federal. Recurso Extraordinário nº 657.718. Reclamante: Alcirene de Oliveira. Reclamado: Estado de Minas Gerais. Rel. Min. Marco Aurélio. Brasília, DF, 22 de maio de 2019. Diário da Justiça, Brasília-DF, 9 de novembro de 2020. Disponível em: </w:t>
      </w:r>
      <w:hyperlink r:id="rId9">
        <w:r>
          <w:rPr>
            <w:rStyle w:val="Hyperlink"/>
            <w:rFonts w:ascii="Arial" w:hAnsi="Arial"/>
          </w:rPr>
          <w:t>https://portal.stf.jus.br/processos/downloadPeca.asp?id=15344900727&amp;ext=.pdf</w:t>
        </w:r>
      </w:hyperlink>
      <w:r>
        <w:rPr>
          <w:rFonts w:ascii="Arial" w:hAnsi="Arial"/>
        </w:rPr>
        <w:t xml:space="preserve"> Acesso em: 10 de outubro de 2023;</w:t>
      </w:r>
    </w:p>
    <w:p>
      <w:pPr>
        <w:pStyle w:val="Normal"/>
        <w:jc w:val="both"/>
        <w:rPr/>
      </w:pPr>
      <w:r>
        <w:rPr/>
      </w:r>
    </w:p>
    <w:p>
      <w:pPr>
        <w:pStyle w:val="Normal"/>
        <w:jc w:val="both"/>
        <w:rPr/>
      </w:pPr>
      <w:r>
        <w:rPr>
          <w:rFonts w:ascii="Arial" w:hAnsi="Arial"/>
        </w:rPr>
        <w:t xml:space="preserve">BRASIL. Supremo Tribunal Federal. Reclamação nº 54855. Reclamante: Estado de Alagoas. Reclamado: Tribunal de Justiça do Estado de Alagoas. Rel. Min. Cármen Lúcia. Brasília, DF, 3 de agosto de 2022. Diário da Justiça, Brasília-DF, 4 de agosto de 2022. Disponível em: </w:t>
      </w:r>
      <w:hyperlink r:id="rId10">
        <w:r>
          <w:rPr>
            <w:rStyle w:val="Hyperlink"/>
            <w:rFonts w:ascii="Arial" w:hAnsi="Arial"/>
          </w:rPr>
          <w:t>https://portal.stf.jus.br/processos/downloadPeca.asp?id=15352508524&amp;ext=.pdf</w:t>
        </w:r>
      </w:hyperlink>
      <w:r>
        <w:rPr>
          <w:rFonts w:ascii="Arial" w:hAnsi="Arial"/>
        </w:rPr>
        <w:t xml:space="preserve"> Acesso em: 10 de outubro de 2023;</w:t>
      </w:r>
    </w:p>
    <w:p>
      <w:pPr>
        <w:pStyle w:val="Normal"/>
        <w:jc w:val="both"/>
        <w:rPr>
          <w:rFonts w:ascii="Arial" w:hAnsi="Arial"/>
        </w:rPr>
      </w:pPr>
      <w:r>
        <w:rPr>
          <w:rFonts w:ascii="Arial" w:hAnsi="Arial"/>
        </w:rPr>
      </w:r>
    </w:p>
    <w:p>
      <w:pPr>
        <w:pStyle w:val="Normal"/>
        <w:jc w:val="both"/>
        <w:rPr/>
      </w:pPr>
      <w:r>
        <w:rPr>
          <w:rFonts w:ascii="Arial" w:hAnsi="Arial"/>
        </w:rPr>
        <w:t xml:space="preserve">CONSELHO NACIONAL DE JUSTIÇA. Estatísticas Processuais de Direito à Saúde. Brasília DF. 2023. Disponível: </w:t>
      </w:r>
      <w:hyperlink r:id="rId11">
        <w:r>
          <w:rPr>
            <w:rStyle w:val="Hyperlink"/>
            <w:rFonts w:ascii="Arial" w:hAnsi="Arial"/>
          </w:rPr>
          <w:t>https://paineisanalytics.cnj.jus.br/single/?appid=a6dfbee4</w:t>
        </w:r>
      </w:hyperlink>
      <w:hyperlink r:id="rId12">
        <w:r>
          <w:rPr>
            <w:rStyle w:val="Hyperlink"/>
            <w:rFonts w:ascii="Arial" w:hAnsi="Arial"/>
          </w:rPr>
          <w:t xml:space="preserve"> bcad-4861-98ea-4b5183e29247&amp;sheet=87ff247a-22e0-4a66-ae83</w:t>
        </w:r>
      </w:hyperlink>
      <w:hyperlink r:id="rId13">
        <w:r>
          <w:rPr>
            <w:rStyle w:val="Hyperlink"/>
            <w:rFonts w:ascii="Arial" w:hAnsi="Arial"/>
          </w:rPr>
          <w:t xml:space="preserve"> 24fa5d92175a&amp;opt=ctxmenu,currsel</w:t>
        </w:r>
      </w:hyperlink>
      <w:r>
        <w:rPr>
          <w:rFonts w:ascii="Arial" w:hAnsi="Arial"/>
        </w:rPr>
        <w:t>. Acessado em 01/06/2023;</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CUNHA JÚNIOR, Dirley da. Curso de Direito Constitucional. Salvador. Ed. 2012. Saraiva;</w:t>
      </w:r>
    </w:p>
    <w:p>
      <w:pPr>
        <w:pStyle w:val="Normal"/>
        <w:jc w:val="both"/>
        <w:rPr>
          <w:rFonts w:ascii="Arial" w:hAnsi="Arial"/>
        </w:rPr>
      </w:pPr>
      <w:r>
        <w:rPr>
          <w:rFonts w:ascii="Arial" w:hAnsi="Arial"/>
        </w:rPr>
      </w:r>
    </w:p>
    <w:p>
      <w:pPr>
        <w:pStyle w:val="Normal"/>
        <w:jc w:val="both"/>
        <w:rPr/>
      </w:pPr>
      <w:r>
        <w:rPr>
          <w:rFonts w:ascii="Arial" w:hAnsi="Arial"/>
        </w:rPr>
        <w:t xml:space="preserve">DRESCH, Renato Luís. Federalismo Solidário: a responsabilidade dos entes federativos na área da saúde. 2014. Disponível em: </w:t>
      </w:r>
      <w:hyperlink r:id="rId14">
        <w:r>
          <w:rPr>
            <w:rStyle w:val="Hyperlink"/>
            <w:rFonts w:ascii="Arial" w:hAnsi="Arial"/>
          </w:rPr>
          <w:t>https://www.tjmt.jus.br/INTRANET.ARQ/CMS/GrupoPaginas/126/1127/FEDERALISMO-SOLIDARIO-A-RESPONSABILIDADE-DOS-ENTES-FEDERATIVOS-NA%C3%81REA-DA-SA%C3%9ADE.pdf</w:t>
        </w:r>
      </w:hyperlink>
      <w:r>
        <w:rPr>
          <w:rFonts w:ascii="Arial" w:hAnsi="Arial"/>
        </w:rPr>
        <w:t>. Acessado em 01/06/2023;</w:t>
      </w:r>
    </w:p>
    <w:p>
      <w:pPr>
        <w:pStyle w:val="Normal"/>
        <w:jc w:val="both"/>
        <w:rPr>
          <w:rFonts w:ascii="Arial" w:hAnsi="Arial"/>
        </w:rPr>
      </w:pPr>
      <w:r>
        <w:rPr>
          <w:rFonts w:ascii="Arial" w:hAnsi="Arial"/>
        </w:rPr>
      </w:r>
    </w:p>
    <w:p>
      <w:pPr>
        <w:pStyle w:val="Normal"/>
        <w:jc w:val="both"/>
        <w:rPr/>
      </w:pPr>
      <w:r>
        <w:rPr>
          <w:rFonts w:ascii="Arial" w:hAnsi="Arial"/>
        </w:rPr>
        <w:t>GAGLIANO, Pablo Stolze e FILHO, Rodolfo Pamplona. Novo Curso de Direito Civil volune 3: Responsabilidade civil. 10ª Ed. São Pualo: Saraiva, 2012;</w:t>
      </w:r>
    </w:p>
    <w:p>
      <w:pPr>
        <w:pStyle w:val="Normal"/>
        <w:jc w:val="both"/>
        <w:rPr>
          <w:rFonts w:ascii="Arial" w:hAnsi="Arial"/>
        </w:rPr>
      </w:pPr>
      <w:r>
        <w:rPr>
          <w:rFonts w:ascii="Arial" w:hAnsi="Arial"/>
        </w:rPr>
      </w:r>
    </w:p>
    <w:p>
      <w:pPr>
        <w:pStyle w:val="Normal"/>
        <w:jc w:val="both"/>
        <w:rPr/>
      </w:pPr>
      <w:r>
        <w:rPr>
          <w:rFonts w:ascii="Arial" w:hAnsi="Arial"/>
        </w:rPr>
        <w:t xml:space="preserve">NOGUEIRA, Marcia Coli. O Tema 793 do STF e o direcionamento do cumprimento das prestações na área de saúde conforme as regras de repartição de competências estabelecidas no SUS. 2019. Disponível em: </w:t>
      </w:r>
      <w:hyperlink r:id="rId15">
        <w:r>
          <w:rPr>
            <w:rStyle w:val="Hyperlink"/>
            <w:rFonts w:ascii="Arial" w:hAnsi="Arial"/>
          </w:rPr>
          <w:t>https://www.cadernos.prodisa.fiocruz.br/index.php/cadernos/article/view/558</w:t>
        </w:r>
      </w:hyperlink>
      <w:r>
        <w:rPr>
          <w:rFonts w:ascii="Arial" w:hAnsi="Arial"/>
        </w:rPr>
        <w:t>. Acessado em 01/06/2023;</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t>SILVA, José Afonso da. Comentário Contextual à Constituição. 7ª ed. São Paulo: Malheiros, 2020.</w:t>
      </w:r>
    </w:p>
    <w:p>
      <w:pPr>
        <w:pStyle w:val="Normal"/>
        <w:jc w:val="both"/>
        <w:rPr>
          <w:rFonts w:ascii="Arial" w:hAnsi="Arial"/>
        </w:rPr>
      </w:pPr>
      <w:r>
        <w:rPr>
          <w:rFonts w:ascii="Arial" w:hAnsi="Arial"/>
        </w:rPr>
      </w:r>
    </w:p>
    <w:p>
      <w:pPr>
        <w:pStyle w:val="Normal"/>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p>
      <w:pPr>
        <w:pStyle w:val="Normal"/>
        <w:spacing w:lineRule="auto" w:line="360"/>
        <w:jc w:val="both"/>
        <w:rPr>
          <w:rFonts w:ascii="Arial" w:hAnsi="Arial"/>
        </w:rPr>
      </w:pPr>
      <w:r>
        <w:rPr>
          <w:rFonts w:ascii="Arial" w:hAnsi="Arial"/>
        </w:rPr>
      </w:r>
    </w:p>
    <w:sectPr>
      <w:footnotePr>
        <w:numFmt w:val="decimal"/>
      </w:footnotePr>
      <w:type w:val="nextPage"/>
      <w:pgSz w:w="11906" w:h="16838"/>
      <w:pgMar w:left="1701" w:right="1134" w:gutter="0" w:header="0" w:top="1701" w:footer="0" w:bottom="1134"/>
      <w:pgNumType w:fmt="decimal"/>
      <w:formProt w:val="false"/>
      <w:textDirection w:val="lrTb"/>
      <w:docGrid w:type="default" w:linePitch="600" w:charSpace="32768"/>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Liberation Sans">
    <w:altName w:val="Arial"/>
    <w:charset w:val="00"/>
    <w:family w:val="roman"/>
    <w:pitch w:val="variable"/>
  </w:font>
  <w:font w:name="Arial">
    <w:charset w:val="00"/>
    <w:family w:val="roman"/>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pPr>
        <w:rPr>
          <w:sz w:val="12"/>
        </w:rPr>
      </w:pPr>
      <w:r>
        <w:separator/>
      </w:r>
    </w:p>
  </w:footnote>
  <w:footnote w:id="1" w:type="continuationSeparator">
    <w:p>
      <w:pPr>
        <w:rPr>
          <w:sz w:val="12"/>
        </w:rPr>
      </w:pPr>
      <w:r>
        <w:continuationSeparator/>
      </w:r>
    </w:p>
  </w:footnote>
  <w:footnote w:id="2">
    <w:p>
      <w:pPr>
        <w:pStyle w:val="FootnoteText"/>
        <w:rPr>
          <w:rFonts w:ascii="Arial" w:hAnsi="Arial"/>
        </w:rPr>
      </w:pPr>
      <w:r>
        <w:rPr>
          <w:rStyle w:val="Caracteresdenotaderodap"/>
        </w:rPr>
        <w:t>*</w:t>
      </w:r>
      <w:r>
        <w:rPr>
          <w:rStyle w:val="Caracteresdenotaderodap"/>
        </w:rPr>
        <w:tab/>
        <w:t>***</w:t>
      </w:r>
      <w:r>
        <w:rPr>
          <w:rFonts w:ascii="Arial" w:hAnsi="Arial"/>
        </w:rPr>
        <w:t xml:space="preserve">Graduando do Curso Superior em Direito, Endereço eletrônico: </w:t>
      </w:r>
      <w:hyperlink r:id="rId1">
        <w:r>
          <w:rPr>
            <w:rStyle w:val="Hyperlink"/>
            <w:rFonts w:ascii="Arial" w:hAnsi="Arial"/>
          </w:rPr>
          <w:t>tam.fpf@gmail.com</w:t>
        </w:r>
      </w:hyperlink>
    </w:p>
  </w:footnote>
  <w:footnote w:id="3">
    <w:p>
      <w:pPr>
        <w:pStyle w:val="FootnoteText"/>
        <w:jc w:val="both"/>
        <w:rPr>
          <w:rFonts w:ascii="Arial" w:hAnsi="Arial" w:cs="Arial"/>
          <w:sz w:val="18"/>
          <w:szCs w:val="18"/>
        </w:rPr>
      </w:pPr>
      <w:r>
        <w:rPr>
          <w:rStyle w:val="Caracteresdenotaderodap"/>
        </w:rPr>
        <w:t>**</w:t>
      </w:r>
      <w:r>
        <w:rPr>
          <w:rStyle w:val="Caracteresdenotaderodap"/>
        </w:rPr>
        <w:tab/>
        <w:t>******</w:t>
      </w:r>
      <w:r>
        <w:rPr>
          <w:rFonts w:cs="Arial" w:ascii="Arial" w:hAnsi="Arial"/>
          <w:sz w:val="18"/>
          <w:szCs w:val="18"/>
        </w:rPr>
        <w:t>Márcia Cavalcante de Araújo. Graduada em Direito pela Universidade Federal da Paraíba. Doutora em Direito pela Universidade de Salamanca – Espanha, com título reconhecido pela Universidade Federal de Pernambuco. Docente do curso de Direito da UniFacisa – Centro Universitário, das disciplinas Direito Civil IV –Responsabilidade Civil e Direito Administrativo. E-mail: marcia.araujo@maisunifacisa.com.br.</w:t>
      </w:r>
    </w:p>
    <w:p>
      <w:pPr>
        <w:pStyle w:val="FootnoteText"/>
        <w:rPr>
          <w:rFonts w:ascii="Arial" w:hAnsi="Arial"/>
        </w:rPr>
      </w:pPr>
      <w:r>
        <w:rPr>
          <w:rFonts w:ascii="Arial" w:hAnsi="Arial"/>
        </w:rPr>
        <w:t xml:space="preserve">: </w:t>
      </w:r>
    </w:p>
  </w:footnote>
  <w:footnote w:id="4">
    <w:p>
      <w:pPr>
        <w:pStyle w:val="FootnoteText"/>
        <w:jc w:val="both"/>
        <w:rPr>
          <w:rFonts w:ascii="Arial" w:hAnsi="Arial"/>
        </w:rPr>
      </w:pPr>
      <w:r>
        <w:rPr>
          <w:rStyle w:val="Caracteresdenotaderodap"/>
        </w:rPr>
        <w:footnoteRef/>
      </w:r>
      <w:r>
        <w:rPr>
          <w:rFonts w:ascii="Arial" w:hAnsi="Arial"/>
        </w:rPr>
        <w:tab/>
        <w:t xml:space="preserve">Brasil. Conselho Nacional de Justiça (CNJ). Justiça em Números 2021. Disponível em: </w:t>
      </w:r>
      <w:hyperlink r:id="rId2">
        <w:r>
          <w:rPr>
            <w:rStyle w:val="Hyperlink"/>
            <w:rFonts w:ascii="Arial" w:hAnsi="Arial"/>
          </w:rPr>
          <w:t>https://www.cnj.jus.br/wp-content/uploads/2021/09/relatorio-justica-em-numeros2021-12.pdf</w:t>
        </w:r>
      </w:hyperlink>
      <w:r>
        <w:rPr>
          <w:rFonts w:ascii="Arial" w:hAnsi="Arial"/>
        </w:rPr>
        <w:t>, p. 32. Acesso em 24/10/2023.</w:t>
      </w:r>
    </w:p>
  </w:footnote>
  <w:footnote w:id="5">
    <w:p>
      <w:pPr>
        <w:pStyle w:val="FootnoteText"/>
        <w:jc w:val="both"/>
        <w:rPr>
          <w:rFonts w:ascii="Arial" w:hAnsi="Arial"/>
        </w:rPr>
      </w:pPr>
      <w:r>
        <w:rPr>
          <w:rStyle w:val="Caracteresdenotaderodap"/>
        </w:rPr>
        <w:footnoteRef/>
      </w:r>
      <w:r>
        <w:rPr>
          <w:rFonts w:ascii="Arial" w:hAnsi="Arial"/>
        </w:rPr>
        <w:tab/>
        <w:t xml:space="preserve">Brasil. Defensoria Pública da União. Assistência jurídica integral e gratuita no Brasil: um panorama da atuação da Defensoria Pública da União, 4 ed., 2020. Disponível em </w:t>
      </w:r>
      <w:hyperlink r:id="rId3">
        <w:r>
          <w:rPr>
            <w:rStyle w:val="Hyperlink"/>
            <w:rFonts w:ascii="Arial" w:hAnsi="Arial"/>
          </w:rPr>
          <w:t>https://www.dpu.def.br/images/stories/arquivos/PDF/Panorama_atuacao_DPU.pdf</w:t>
        </w:r>
      </w:hyperlink>
      <w:r>
        <w:rPr>
          <w:rFonts w:ascii="Arial" w:hAnsi="Arial"/>
        </w:rPr>
        <w:t>, p. 64. Acesso em 24/10/2023.</w:t>
      </w:r>
    </w:p>
  </w:footnote>
  <w:footnote w:id="6">
    <w:p>
      <w:pPr>
        <w:pStyle w:val="FootnoteText"/>
        <w:jc w:val="both"/>
        <w:rPr>
          <w:rFonts w:ascii="Arial" w:hAnsi="Arial"/>
        </w:rPr>
      </w:pPr>
      <w:r>
        <w:rPr>
          <w:rStyle w:val="Caracteresdenotaderodap"/>
        </w:rPr>
        <w:footnoteRef/>
      </w:r>
      <w:r>
        <w:rPr>
          <w:rFonts w:ascii="Arial" w:hAnsi="Arial"/>
        </w:rPr>
        <w:tab/>
        <w:t xml:space="preserve">Brasil. Conselho Nacional de Justiça (CNJ). Justiça em Números 2021. Disponível em </w:t>
      </w:r>
      <w:hyperlink r:id="rId4">
        <w:r>
          <w:rPr>
            <w:rStyle w:val="Hyperlink"/>
            <w:rFonts w:ascii="Arial" w:hAnsi="Arial"/>
          </w:rPr>
          <w:t>https://www.cnj.jus.br/wp-content/uploads/2021/09/relatorio-justica-em-numeros2021-12.pdf</w:t>
        </w:r>
      </w:hyperlink>
      <w:r>
        <w:rPr>
          <w:rFonts w:ascii="Arial" w:hAnsi="Arial"/>
        </w:rPr>
        <w:t>, p. 33. Acesso em 24/10/2023</w:t>
      </w:r>
    </w:p>
  </w:footnote>
  <w:footnote w:id="7">
    <w:p>
      <w:pPr>
        <w:pStyle w:val="FootnoteText"/>
        <w:rPr>
          <w:rFonts w:ascii="Arial" w:hAnsi="Arial"/>
        </w:rPr>
      </w:pPr>
      <w:r>
        <w:rPr>
          <w:rStyle w:val="Caracteresdenotaderodap"/>
        </w:rPr>
        <w:footnoteRef/>
      </w:r>
      <w:r>
        <w:rPr>
          <w:rFonts w:ascii="Arial" w:hAnsi="Arial"/>
        </w:rPr>
        <w:tab/>
        <w:t xml:space="preserve">Informação disponibilizada pelo TRF1 em </w:t>
      </w:r>
      <w:hyperlink r:id="rId5">
        <w:r>
          <w:rPr>
            <w:rStyle w:val="Hyperlink"/>
            <w:rFonts w:ascii="Arial" w:hAnsi="Arial"/>
          </w:rPr>
          <w:t>https://portal.trf1.jus.br/portaltrf1/institucional/organizacao/varas-federais/amazonas.htm</w:t>
        </w:r>
      </w:hyperlink>
      <w:r>
        <w:rPr>
          <w:rFonts w:ascii="Arial" w:hAnsi="Arial"/>
        </w:rPr>
        <w:t>. Acesso em 24/10/2023.</w:t>
      </w:r>
    </w:p>
  </w:footnote>
  <w:footnote w:id="8">
    <w:p>
      <w:pPr>
        <w:pStyle w:val="FootnoteText"/>
        <w:rPr>
          <w:rFonts w:ascii="Arial" w:hAnsi="Arial"/>
        </w:rPr>
      </w:pPr>
      <w:r>
        <w:rPr>
          <w:rStyle w:val="Caracteresdenotaderodap"/>
        </w:rPr>
        <w:footnoteRef/>
      </w:r>
      <w:r>
        <w:rPr>
          <w:rFonts w:ascii="Arial" w:hAnsi="Arial"/>
        </w:rPr>
        <w:tab/>
        <w:t>Idem.</w:t>
      </w:r>
    </w:p>
  </w:footnote>
  <w:footnote w:id="9">
    <w:p>
      <w:pPr>
        <w:pStyle w:val="FootnoteText"/>
        <w:jc w:val="both"/>
        <w:rPr>
          <w:rFonts w:ascii="Arial" w:hAnsi="Arial"/>
        </w:rPr>
      </w:pPr>
      <w:r>
        <w:rPr>
          <w:rStyle w:val="Caracteresdenotaderodap"/>
        </w:rPr>
        <w:footnoteRef/>
      </w:r>
      <w:r>
        <w:rPr>
          <w:rFonts w:ascii="Arial" w:hAnsi="Arial"/>
        </w:rPr>
        <w:tab/>
        <w:t xml:space="preserve">Informação disponível em </w:t>
      </w:r>
      <w:hyperlink r:id="rId6">
        <w:r>
          <w:rPr>
            <w:rStyle w:val="Hyperlink"/>
            <w:rFonts w:ascii="Arial" w:hAnsi="Arial"/>
          </w:rPr>
          <w:t>https://portal.trf1.jus.br/sjmg/processual/jurisdicao/jurisdicao.htm</w:t>
        </w:r>
      </w:hyperlink>
      <w:r>
        <w:rPr>
          <w:rFonts w:ascii="Arial" w:hAnsi="Arial"/>
        </w:rPr>
        <w:t>. Acesso em 24/10/2023.</w:t>
      </w:r>
    </w:p>
  </w:footnote>
  <w:footnote w:id="10">
    <w:p>
      <w:pPr>
        <w:pStyle w:val="FootnoteText"/>
        <w:jc w:val="both"/>
        <w:rPr/>
      </w:pPr>
      <w:r>
        <w:rPr>
          <w:rStyle w:val="Caracteresdenotaderodap"/>
        </w:rPr>
        <w:footnoteRef/>
      </w:r>
      <w:r>
        <w:rPr>
          <w:rFonts w:ascii="Arial" w:hAnsi="Arial"/>
        </w:rPr>
        <w:tab/>
        <w:t xml:space="preserve">Brasil. Conselho Nacional de Justiça (CNJ). Justiça em Números 2022. Disponível em: </w:t>
      </w:r>
      <w:hyperlink r:id="rId7">
        <w:r>
          <w:rPr>
            <w:rStyle w:val="Hyperlink"/>
            <w:rFonts w:ascii="Arial" w:hAnsi="Arial"/>
          </w:rPr>
          <w:t>https://paineisanalytics.cnj.jus.br/single/?appid=a6dfbee4-bcad-4861-98ea</w:t>
        </w:r>
      </w:hyperlink>
      <w:hyperlink r:id="rId8">
        <w:r>
          <w:rPr>
            <w:rStyle w:val="Hyperlink"/>
            <w:rFonts w:ascii="Arial" w:hAnsi="Arial"/>
          </w:rPr>
          <w:t xml:space="preserve"> 4b5183e29247&amp;sheet=87ff247a-22e0-4a66-ae83-24fa5d92175a&amp;opt=ctxmenu,currsel</w:t>
        </w:r>
      </w:hyperlink>
      <w:r>
        <w:rPr>
          <w:rFonts w:ascii="Arial" w:hAnsi="Arial"/>
        </w:rPr>
        <w:t>. Acesso em 24/10/2023.</w:t>
      </w:r>
    </w:p>
  </w:footnote>
  <w:footnote w:id="11">
    <w:p>
      <w:pPr>
        <w:pStyle w:val="FootnoteText"/>
        <w:jc w:val="both"/>
        <w:rPr/>
      </w:pPr>
      <w:r>
        <w:rPr>
          <w:rStyle w:val="Caracteresdenotaderodap"/>
        </w:rPr>
        <w:footnoteRef/>
      </w:r>
      <w:r>
        <w:rPr>
          <w:rFonts w:ascii="Arial" w:hAnsi="Arial"/>
        </w:rPr>
        <w:tab/>
        <w:t xml:space="preserve">Brasil. Conselho Nacional de Justiça (CNJ). Justiça em Números 2022. Disponível em: </w:t>
      </w:r>
      <w:hyperlink r:id="rId9">
        <w:r>
          <w:rPr>
            <w:rStyle w:val="Hyperlink"/>
            <w:rFonts w:ascii="Arial" w:hAnsi="Arial"/>
          </w:rPr>
          <w:t>https://paineisanalytics.cnj.jus.br/single/?appid=a6dfbee4-bcad-4861-98ea-4b5183e29247&amp;sheet=9f42a278-f253-4794-ae5d-1da38c8d5f62&amp;opt=ctxmenu,currsel</w:t>
        </w:r>
      </w:hyperlink>
      <w:r>
        <w:rPr>
          <w:rFonts w:ascii="Arial" w:hAnsi="Arial"/>
        </w:rPr>
        <w:t>. Acesso em 24/10/2023.</w:t>
      </w:r>
    </w:p>
  </w:footnote>
</w:footnotes>
</file>

<file path=word/settings.xml><?xml version="1.0" encoding="utf-8"?>
<w:settings xmlns:w="http://schemas.openxmlformats.org/wordprocessingml/2006/main">
  <w:zoom w:percent="90"/>
  <w:defaultTabStop w:val="1134"/>
  <w:autoHyphenation w:val="true"/>
  <w:hyphenationZone w:val="425"/>
  <w:footnotePr>
    <w:numFmt w:val="decimal"/>
    <w:footnote w:id="0"/>
    <w:footnote w:id="1"/>
  </w:foot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themeFontLang w:val="pt-B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egoe UI" w:cs="Tahoma"/>
        <w:color w:val="000000"/>
        <w:sz w:val="24"/>
        <w:szCs w:val="24"/>
        <w:lang w:val="pt-BR" w:eastAsia="zh-CN" w:bidi="hi-IN"/>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val="false"/>
      <w:suppressAutoHyphens w:val="true"/>
      <w:bidi w:val="0"/>
      <w:spacing w:before="0" w:after="0"/>
      <w:jc w:val="left"/>
    </w:pPr>
    <w:rPr>
      <w:rFonts w:ascii="Liberation Serif" w:hAnsi="Liberation Serif" w:eastAsia="Segoe UI" w:cs="Tahoma"/>
      <w:color w:val="000000"/>
      <w:kern w:val="0"/>
      <w:sz w:val="24"/>
      <w:szCs w:val="24"/>
      <w:lang w:val="pt-BR" w:eastAsia="zh-CN" w:bidi="hi-IN"/>
    </w:rPr>
  </w:style>
  <w:style w:type="character" w:styleId="DefaultParagraphFont" w:default="1">
    <w:name w:val="Default Paragraph Font"/>
    <w:uiPriority w:val="1"/>
    <w:semiHidden/>
    <w:unhideWhenUsed/>
    <w:qFormat/>
    <w:rPr/>
  </w:style>
  <w:style w:type="character" w:styleId="Caracteresdenotaderodap" w:customStyle="1">
    <w:name w:val="Caracteres de nota de rodapé"/>
    <w:qFormat/>
    <w:rPr>
      <w:vertAlign w:val="superscript"/>
    </w:rPr>
  </w:style>
  <w:style w:type="character" w:styleId="FootnoteReference">
    <w:name w:val="Footnote Reference"/>
    <w:rPr>
      <w:vertAlign w:val="superscript"/>
    </w:rPr>
  </w:style>
  <w:style w:type="character" w:styleId="FootnoteCharacters" w:customStyle="1">
    <w:name w:val="Footnote Characters"/>
    <w:qFormat/>
    <w:rPr>
      <w:vertAlign w:val="superscript"/>
    </w:rPr>
  </w:style>
  <w:style w:type="character" w:styleId="Hyperlink">
    <w:name w:val="Hyperlink"/>
    <w:rPr>
      <w:color w:val="000080"/>
      <w:u w:val="single"/>
    </w:rPr>
  </w:style>
  <w:style w:type="character" w:styleId="Caracteresdenotadefim" w:customStyle="1">
    <w:name w:val="Caracteres de nota de fim"/>
    <w:qFormat/>
    <w:rPr>
      <w:vertAlign w:val="superscript"/>
    </w:rPr>
  </w:style>
  <w:style w:type="character" w:styleId="EndnoteReference">
    <w:name w:val="Endnote Reference"/>
    <w:rPr>
      <w:vertAlign w:val="superscript"/>
    </w:rPr>
  </w:style>
  <w:style w:type="character" w:styleId="EndnoteCharacters" w:customStyle="1">
    <w:name w:val="Endnote Characters"/>
    <w:qFormat/>
    <w:rPr>
      <w:vertAlign w:val="superscript"/>
    </w:rPr>
  </w:style>
  <w:style w:type="character" w:styleId="TextodenotaderodapChar" w:customStyle="1">
    <w:name w:val="Texto de nota de rodapé Char"/>
    <w:basedOn w:val="DefaultParagraphFont"/>
    <w:uiPriority w:val="99"/>
    <w:qFormat/>
    <w:rsid w:val="001e0d85"/>
    <w:rPr>
      <w:sz w:val="20"/>
      <w:szCs w:val="20"/>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ption11" w:customStyle="1">
    <w:name w:val="caption11"/>
    <w:basedOn w:val="Normal"/>
    <w:qFormat/>
    <w:pPr>
      <w:suppressLineNumbers/>
      <w:spacing w:before="120" w:after="120"/>
    </w:pPr>
    <w:rPr>
      <w:rFonts w:cs="Arial"/>
      <w:i/>
      <w:iCs/>
    </w:rPr>
  </w:style>
  <w:style w:type="paragraph" w:styleId="FootnoteText">
    <w:name w:val="Footnote Text"/>
    <w:basedOn w:val="Normal"/>
    <w:link w:val="TextodenotaderodapChar"/>
    <w:uiPriority w:val="99"/>
    <w:pPr>
      <w:suppressLineNumbers/>
      <w:ind w:hanging="339" w:left="339"/>
    </w:pPr>
    <w:rPr>
      <w:sz w:val="20"/>
      <w:szCs w:val="20"/>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planalto.gov.br/ccivil_03/leis/l8080.htm" TargetMode="External"/><Relationship Id="rId3" Type="http://schemas.openxmlformats.org/officeDocument/2006/relationships/hyperlink" Target="https://bvsms.saude.gov.br/bvs/saudelegis/gm/1998/prt3916_30_10_1998.html" TargetMode="External"/><Relationship Id="rId4" Type="http://schemas.openxmlformats.org/officeDocument/2006/relationships/hyperlink" Target="https://www.planalto.gov.br/ccivil_03/_ato2011-2014/2011/decreto/d7508.htm" TargetMode="External"/><Relationship Id="rId5" Type="http://schemas.openxmlformats.org/officeDocument/2006/relationships/hyperlink" Target="https://www.planalto.gov.br/ccivil_03/constituicao/constituicao.htm" TargetMode="External"/><Relationship Id="rId6" Type="http://schemas.openxmlformats.org/officeDocument/2006/relationships/hyperlink" Target="https://portal.stf.jus.br/processos/downloadPeca.asp?id=15353401700&amp;ext=.pdf" TargetMode="External"/><Relationship Id="rId7" Type="http://schemas.openxmlformats.org/officeDocument/2006/relationships/hyperlink" Target="https://portal.stf.jus.br/processos/downloadPeca.asp?id=15353401700&amp;ext=.pdf" TargetMode="External"/><Relationship Id="rId8" Type="http://schemas.openxmlformats.org/officeDocument/2006/relationships/hyperlink" Target="https://portal.stf.jus.br/processos/downloadPeca.asp?id=15342892719&amp;ext=.pdf" TargetMode="External"/><Relationship Id="rId9" Type="http://schemas.openxmlformats.org/officeDocument/2006/relationships/hyperlink" Target="https://portal.stf.jus.br/processos/downloadPeca.asp?id=15344900727&amp;ext=.pdf" TargetMode="External"/><Relationship Id="rId10" Type="http://schemas.openxmlformats.org/officeDocument/2006/relationships/hyperlink" Target="https://portal.stf.jus.br/processos/downloadPeca.asp?id=15352508524&amp;ext=.pdf" TargetMode="External"/><Relationship Id="rId11" Type="http://schemas.openxmlformats.org/officeDocument/2006/relationships/hyperlink" Target="https://paineisanalytics.cnj.jus.br/single/?appid=a6dfbee4" TargetMode="External"/><Relationship Id="rId12" Type="http://schemas.openxmlformats.org/officeDocument/2006/relationships/hyperlink" Target="https://paineisanalytics.cnj.jus.br/single/?appid=a6dfbee4-bcad-4861-98ea-4b5183e29247&amp;sheet=87ff247a-22e0-4a66-ae83" TargetMode="External"/><Relationship Id="rId13" Type="http://schemas.openxmlformats.org/officeDocument/2006/relationships/hyperlink" Target="https://paineisanalytics.cnj.jus.br/single/?appid=a6dfbee4-bcad-4861-98ea-4b5183e29247&amp;sheet=87ff247a-22e0-4a66-ae83-24fa5d92175a&amp;opt=ctxmenu,currsel" TargetMode="External"/><Relationship Id="rId14" Type="http://schemas.openxmlformats.org/officeDocument/2006/relationships/hyperlink" Target="https://www.tjmt.jus.br/INTRANET.ARQ/CMS/GrupoPaginas/126/1127/FEDERALISMO-SOLIDARIO-A-RESPONSABILIDADE-DOS-ENTES-FEDERATIVOS-NA&#193;REA-DA-SA&#218;DE.pdf" TargetMode="External"/><Relationship Id="rId15" Type="http://schemas.openxmlformats.org/officeDocument/2006/relationships/hyperlink" Target="https://www.cadernos.prodisa.fiocruz.br/index.php/cadernos/article/view/558" TargetMode="External"/><Relationship Id="rId16" Type="http://schemas.openxmlformats.org/officeDocument/2006/relationships/footnotes" Target="footnotes.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_rels/footnotes.xml.rels><?xml version="1.0" encoding="UTF-8"?>
<Relationships xmlns="http://schemas.openxmlformats.org/package/2006/relationships"><Relationship Id="rId1" Type="http://schemas.openxmlformats.org/officeDocument/2006/relationships/hyperlink" Target="mailto:tam.fpf@gmail.com" TargetMode="External"/><Relationship Id="rId2" Type="http://schemas.openxmlformats.org/officeDocument/2006/relationships/hyperlink" Target="https://www.cnj.jus.br/wp-content/uploads/2021/09/relatorio-justica-em-numeros2021-12.pdf" TargetMode="External"/><Relationship Id="rId3" Type="http://schemas.openxmlformats.org/officeDocument/2006/relationships/hyperlink" Target="https://www.dpu.def.br/images/stories/arquivos/PDF/Panorama_atuacao_DPU.pdf" TargetMode="External"/><Relationship Id="rId4" Type="http://schemas.openxmlformats.org/officeDocument/2006/relationships/hyperlink" Target="https://www.cnj.jus.br/wp-content/uploads/2021/09/relatorio-justica-em-numeros2021-12.pdf" TargetMode="External"/><Relationship Id="rId5" Type="http://schemas.openxmlformats.org/officeDocument/2006/relationships/hyperlink" Target="https://portal.trf1.jus.br/portaltrf1/institucional/organizacao/varas-federais/amazonas.htm" TargetMode="External"/><Relationship Id="rId6" Type="http://schemas.openxmlformats.org/officeDocument/2006/relationships/hyperlink" Target="https://portal.trf1.jus.br/sjmg/processual/jurisdicao/jurisdicao.htm" TargetMode="External"/><Relationship Id="rId7" Type="http://schemas.openxmlformats.org/officeDocument/2006/relationships/hyperlink" Target="https://paineisanalytics.cnj.jus.br/single/?appid=a6dfbee4-bcad-4861-98ea" TargetMode="External"/><Relationship Id="rId8" Type="http://schemas.openxmlformats.org/officeDocument/2006/relationships/hyperlink" Target="https://paineisanalytics.cnj.jus.br/single/?appid=a6dfbee4-bcad-4861-98ea-4b5183e29247&amp;sheet=87ff247a-22e0-4a66-ae83-24fa5d92175a&amp;opt=ctxmenu,currsel" TargetMode="External"/><Relationship Id="rId9" Type="http://schemas.openxmlformats.org/officeDocument/2006/relationships/hyperlink" Target="https://paineisanalytics.cnj.jus.br/single/?appid=a6dfbee4-bcad-4861-98ea-4b5183e29247&amp;sheet=9f42a278-f253-4794-ae5d-1da38c8d5f62&amp;opt=ctxmenu,currsel" TargetMode="External"/>
</Relationships>
</file>

<file path=word/theme/theme1.xml><?xml version="1.0" encoding="utf-8"?>
<a:theme xmlns:a="http://schemas.openxmlformats.org/drawingml/2006/main" xmlns:r="http://schemas.openxmlformats.org/officeDocument/2006/relationships" name="Tema do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3295</TotalTime>
  <Application>LibreOffice/7.6.2.1$Windows_X86_64 LibreOffice_project/56f7684011345957bbf33a7ee678afaf4d2ba333</Application>
  <AppVersion>15.0000</AppVersion>
  <Pages>21</Pages>
  <Words>5880</Words>
  <Characters>34884</Characters>
  <CharactersWithSpaces>40653</CharactersWithSpaces>
  <Paragraphs>144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2023-06-09T17:40:00Z</dcterms:created>
  <dc:creator>jonabioadv1 barbosa</dc:creator>
  <dc:description/>
  <dc:language>pt-BR</dc:language>
  <cp:lastModifiedBy/>
  <dcterms:modified xsi:type="dcterms:W3CDTF">2023-11-17T21:10:38Z</dcterms:modified>
  <cp:revision>98</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yperlinksChanged">
    <vt:bool>0</vt:bool>
  </property>
  <property fmtid="{D5CDD505-2E9C-101B-9397-08002B2CF9AE}" pid="3" name="LinksUpToDate">
    <vt:bool>0</vt:bool>
  </property>
  <property fmtid="{D5CDD505-2E9C-101B-9397-08002B2CF9AE}" pid="4" name="ScaleCrop">
    <vt:bool>0</vt:bool>
  </property>
  <property fmtid="{D5CDD505-2E9C-101B-9397-08002B2CF9AE}" pid="5" name="ShareDoc">
    <vt:bool>0</vt:bool>
  </property>
</Properties>
</file>