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0E95" w14:textId="77777777" w:rsidR="00AF0E76" w:rsidRDefault="00F456ED">
      <w:pPr>
        <w:pStyle w:val="Ttulo1"/>
        <w:spacing w:before="99" w:line="360" w:lineRule="auto"/>
        <w:ind w:left="0" w:right="2236"/>
      </w:pPr>
      <w:r>
        <w:t>CESED - CENTRO DE ENSINO SUPERIOR E DESENVOLVIMENTO UNIFACISA – CENTRO UNIVERSITÁRIO</w:t>
      </w:r>
    </w:p>
    <w:p w14:paraId="56115E65" w14:textId="77777777" w:rsidR="00AF0E76" w:rsidRDefault="00F456ED">
      <w:pPr>
        <w:ind w:left="115" w:hanging="115"/>
        <w:rPr>
          <w:rFonts w:ascii="Arial" w:eastAsia="Arial" w:hAnsi="Arial" w:cs="Arial"/>
          <w:b/>
          <w:sz w:val="24"/>
          <w:szCs w:val="24"/>
        </w:rPr>
      </w:pPr>
      <w:r>
        <w:rPr>
          <w:rFonts w:ascii="Arial" w:eastAsia="Arial" w:hAnsi="Arial" w:cs="Arial"/>
          <w:b/>
          <w:sz w:val="24"/>
          <w:szCs w:val="24"/>
        </w:rPr>
        <w:t>CURSO DE BACHARELADO EM DIREITO</w:t>
      </w:r>
    </w:p>
    <w:p w14:paraId="672A6659" w14:textId="77777777" w:rsidR="00AF0E76" w:rsidRDefault="00AF0E76">
      <w:pPr>
        <w:pBdr>
          <w:top w:val="nil"/>
          <w:left w:val="nil"/>
          <w:bottom w:val="nil"/>
          <w:right w:val="nil"/>
          <w:between w:val="nil"/>
        </w:pBdr>
        <w:ind w:hanging="115"/>
        <w:rPr>
          <w:rFonts w:ascii="Arial" w:eastAsia="Arial" w:hAnsi="Arial" w:cs="Arial"/>
          <w:b/>
          <w:color w:val="000000"/>
          <w:sz w:val="26"/>
          <w:szCs w:val="26"/>
        </w:rPr>
      </w:pPr>
    </w:p>
    <w:p w14:paraId="0A37501D" w14:textId="77777777" w:rsidR="00AF0E76" w:rsidRDefault="00AF0E76">
      <w:pPr>
        <w:pBdr>
          <w:top w:val="nil"/>
          <w:left w:val="nil"/>
          <w:bottom w:val="nil"/>
          <w:right w:val="nil"/>
          <w:between w:val="nil"/>
        </w:pBdr>
        <w:ind w:hanging="115"/>
        <w:rPr>
          <w:rFonts w:ascii="Arial" w:eastAsia="Arial" w:hAnsi="Arial" w:cs="Arial"/>
          <w:b/>
          <w:color w:val="000000"/>
          <w:sz w:val="26"/>
          <w:szCs w:val="26"/>
        </w:rPr>
      </w:pPr>
    </w:p>
    <w:p w14:paraId="5DAB6C7B" w14:textId="77777777" w:rsidR="00AF0E76" w:rsidRDefault="00AF0E76">
      <w:pPr>
        <w:pBdr>
          <w:top w:val="nil"/>
          <w:left w:val="nil"/>
          <w:bottom w:val="nil"/>
          <w:right w:val="nil"/>
          <w:between w:val="nil"/>
        </w:pBdr>
        <w:spacing w:before="5"/>
        <w:ind w:hanging="115"/>
        <w:rPr>
          <w:rFonts w:ascii="Arial" w:eastAsia="Arial" w:hAnsi="Arial" w:cs="Arial"/>
          <w:b/>
          <w:color w:val="000000"/>
          <w:sz w:val="20"/>
          <w:szCs w:val="20"/>
        </w:rPr>
      </w:pPr>
    </w:p>
    <w:p w14:paraId="276EA0A7" w14:textId="77777777" w:rsidR="00AF0E76" w:rsidRDefault="00F456ED">
      <w:pPr>
        <w:pStyle w:val="Ttulo1"/>
        <w:ind w:right="1461" w:hanging="115"/>
      </w:pPr>
      <w:r>
        <w:t>EDUARDO BARBOSA SOBRAL MENEZES</w:t>
      </w:r>
    </w:p>
    <w:p w14:paraId="02EB378F" w14:textId="77777777" w:rsidR="00AF0E76" w:rsidRDefault="00AF0E76">
      <w:pPr>
        <w:pBdr>
          <w:top w:val="nil"/>
          <w:left w:val="nil"/>
          <w:bottom w:val="nil"/>
          <w:right w:val="nil"/>
          <w:between w:val="nil"/>
        </w:pBdr>
        <w:rPr>
          <w:rFonts w:ascii="Arial" w:eastAsia="Arial" w:hAnsi="Arial" w:cs="Arial"/>
          <w:b/>
          <w:color w:val="000000"/>
          <w:sz w:val="26"/>
          <w:szCs w:val="26"/>
        </w:rPr>
      </w:pPr>
    </w:p>
    <w:p w14:paraId="6A05A809" w14:textId="77777777" w:rsidR="00AF0E76" w:rsidRDefault="00AF0E76">
      <w:pPr>
        <w:pBdr>
          <w:top w:val="nil"/>
          <w:left w:val="nil"/>
          <w:bottom w:val="nil"/>
          <w:right w:val="nil"/>
          <w:between w:val="nil"/>
        </w:pBdr>
        <w:rPr>
          <w:rFonts w:ascii="Arial" w:eastAsia="Arial" w:hAnsi="Arial" w:cs="Arial"/>
          <w:b/>
          <w:color w:val="000000"/>
          <w:sz w:val="26"/>
          <w:szCs w:val="26"/>
        </w:rPr>
      </w:pPr>
    </w:p>
    <w:p w14:paraId="5A39BBE3" w14:textId="77777777" w:rsidR="00AF0E76" w:rsidRDefault="00AF0E76">
      <w:pPr>
        <w:pBdr>
          <w:top w:val="nil"/>
          <w:left w:val="nil"/>
          <w:bottom w:val="nil"/>
          <w:right w:val="nil"/>
          <w:between w:val="nil"/>
        </w:pBdr>
        <w:rPr>
          <w:rFonts w:ascii="Arial" w:eastAsia="Arial" w:hAnsi="Arial" w:cs="Arial"/>
          <w:b/>
          <w:color w:val="000000"/>
          <w:sz w:val="26"/>
          <w:szCs w:val="26"/>
        </w:rPr>
      </w:pPr>
    </w:p>
    <w:p w14:paraId="41C8F396" w14:textId="77777777" w:rsidR="00AF0E76" w:rsidRDefault="00AF0E76">
      <w:pPr>
        <w:pBdr>
          <w:top w:val="nil"/>
          <w:left w:val="nil"/>
          <w:bottom w:val="nil"/>
          <w:right w:val="nil"/>
          <w:between w:val="nil"/>
        </w:pBdr>
        <w:rPr>
          <w:rFonts w:ascii="Arial" w:eastAsia="Arial" w:hAnsi="Arial" w:cs="Arial"/>
          <w:b/>
          <w:color w:val="000000"/>
          <w:sz w:val="26"/>
          <w:szCs w:val="26"/>
        </w:rPr>
      </w:pPr>
    </w:p>
    <w:p w14:paraId="72A3D3EC" w14:textId="77777777" w:rsidR="00AF0E76" w:rsidRDefault="00AF0E76">
      <w:pPr>
        <w:pBdr>
          <w:top w:val="nil"/>
          <w:left w:val="nil"/>
          <w:bottom w:val="nil"/>
          <w:right w:val="nil"/>
          <w:between w:val="nil"/>
        </w:pBdr>
        <w:rPr>
          <w:rFonts w:ascii="Arial" w:eastAsia="Arial" w:hAnsi="Arial" w:cs="Arial"/>
          <w:b/>
          <w:color w:val="000000"/>
          <w:sz w:val="26"/>
          <w:szCs w:val="26"/>
        </w:rPr>
      </w:pPr>
    </w:p>
    <w:p w14:paraId="0D0B940D" w14:textId="77777777" w:rsidR="00AF0E76" w:rsidRDefault="00AF0E76">
      <w:pPr>
        <w:pBdr>
          <w:top w:val="nil"/>
          <w:left w:val="nil"/>
          <w:bottom w:val="nil"/>
          <w:right w:val="nil"/>
          <w:between w:val="nil"/>
        </w:pBdr>
        <w:rPr>
          <w:rFonts w:ascii="Arial" w:eastAsia="Arial" w:hAnsi="Arial" w:cs="Arial"/>
          <w:b/>
          <w:color w:val="000000"/>
          <w:sz w:val="26"/>
          <w:szCs w:val="26"/>
        </w:rPr>
      </w:pPr>
    </w:p>
    <w:p w14:paraId="0E27B00A" w14:textId="77777777" w:rsidR="00AF0E76" w:rsidRDefault="00AF0E76">
      <w:pPr>
        <w:pBdr>
          <w:top w:val="nil"/>
          <w:left w:val="nil"/>
          <w:bottom w:val="nil"/>
          <w:right w:val="nil"/>
          <w:between w:val="nil"/>
        </w:pBdr>
        <w:rPr>
          <w:rFonts w:ascii="Arial" w:eastAsia="Arial" w:hAnsi="Arial" w:cs="Arial"/>
          <w:b/>
          <w:color w:val="000000"/>
          <w:sz w:val="26"/>
          <w:szCs w:val="26"/>
        </w:rPr>
      </w:pPr>
    </w:p>
    <w:p w14:paraId="60061E4C" w14:textId="77777777" w:rsidR="00AF0E76" w:rsidRDefault="00AF0E76">
      <w:pPr>
        <w:pBdr>
          <w:top w:val="nil"/>
          <w:left w:val="nil"/>
          <w:bottom w:val="nil"/>
          <w:right w:val="nil"/>
          <w:between w:val="nil"/>
        </w:pBdr>
        <w:rPr>
          <w:rFonts w:ascii="Arial" w:eastAsia="Arial" w:hAnsi="Arial" w:cs="Arial"/>
          <w:b/>
          <w:color w:val="000000"/>
          <w:sz w:val="26"/>
          <w:szCs w:val="26"/>
        </w:rPr>
      </w:pPr>
    </w:p>
    <w:p w14:paraId="44EAFD9C" w14:textId="77777777" w:rsidR="00AF0E76" w:rsidRDefault="00AF0E76">
      <w:pPr>
        <w:pBdr>
          <w:top w:val="nil"/>
          <w:left w:val="nil"/>
          <w:bottom w:val="nil"/>
          <w:right w:val="nil"/>
          <w:between w:val="nil"/>
        </w:pBdr>
        <w:rPr>
          <w:rFonts w:ascii="Arial" w:eastAsia="Arial" w:hAnsi="Arial" w:cs="Arial"/>
          <w:b/>
          <w:color w:val="000000"/>
          <w:sz w:val="26"/>
          <w:szCs w:val="26"/>
        </w:rPr>
      </w:pPr>
    </w:p>
    <w:p w14:paraId="4B94D5A5" w14:textId="77777777" w:rsidR="00AF0E76" w:rsidRDefault="00AF0E76">
      <w:pPr>
        <w:pBdr>
          <w:top w:val="nil"/>
          <w:left w:val="nil"/>
          <w:bottom w:val="nil"/>
          <w:right w:val="nil"/>
          <w:between w:val="nil"/>
        </w:pBdr>
        <w:rPr>
          <w:rFonts w:ascii="Arial" w:eastAsia="Arial" w:hAnsi="Arial" w:cs="Arial"/>
          <w:b/>
          <w:color w:val="000000"/>
          <w:sz w:val="26"/>
          <w:szCs w:val="26"/>
        </w:rPr>
      </w:pPr>
    </w:p>
    <w:p w14:paraId="3DEEC669" w14:textId="77777777" w:rsidR="00AF0E76" w:rsidRDefault="00AF0E76">
      <w:pPr>
        <w:pBdr>
          <w:top w:val="nil"/>
          <w:left w:val="nil"/>
          <w:bottom w:val="nil"/>
          <w:right w:val="nil"/>
          <w:between w:val="nil"/>
        </w:pBdr>
        <w:rPr>
          <w:rFonts w:ascii="Arial" w:eastAsia="Arial" w:hAnsi="Arial" w:cs="Arial"/>
          <w:b/>
          <w:color w:val="000000"/>
          <w:sz w:val="26"/>
          <w:szCs w:val="26"/>
        </w:rPr>
      </w:pPr>
    </w:p>
    <w:p w14:paraId="3656B9AB" w14:textId="77777777" w:rsidR="00AF0E76" w:rsidRDefault="00AF0E76">
      <w:pPr>
        <w:pBdr>
          <w:top w:val="nil"/>
          <w:left w:val="nil"/>
          <w:bottom w:val="nil"/>
          <w:right w:val="nil"/>
          <w:between w:val="nil"/>
        </w:pBdr>
        <w:rPr>
          <w:rFonts w:ascii="Arial" w:eastAsia="Arial" w:hAnsi="Arial" w:cs="Arial"/>
          <w:b/>
          <w:color w:val="000000"/>
          <w:sz w:val="26"/>
          <w:szCs w:val="26"/>
        </w:rPr>
      </w:pPr>
    </w:p>
    <w:p w14:paraId="45FB0818" w14:textId="77777777" w:rsidR="00AF0E76" w:rsidRDefault="00AF0E76">
      <w:pPr>
        <w:pBdr>
          <w:top w:val="nil"/>
          <w:left w:val="nil"/>
          <w:bottom w:val="nil"/>
          <w:right w:val="nil"/>
          <w:between w:val="nil"/>
        </w:pBdr>
        <w:spacing w:before="8"/>
        <w:rPr>
          <w:rFonts w:ascii="Arial" w:eastAsia="Arial" w:hAnsi="Arial" w:cs="Arial"/>
          <w:b/>
          <w:color w:val="000000"/>
          <w:sz w:val="24"/>
          <w:szCs w:val="24"/>
        </w:rPr>
      </w:pPr>
    </w:p>
    <w:p w14:paraId="04E112C7" w14:textId="77777777" w:rsidR="00AF0E76" w:rsidRDefault="00F456ED">
      <w:pPr>
        <w:ind w:left="979" w:right="1747"/>
        <w:jc w:val="center"/>
        <w:rPr>
          <w:rFonts w:ascii="Arial" w:eastAsia="Arial" w:hAnsi="Arial" w:cs="Arial"/>
          <w:b/>
          <w:sz w:val="24"/>
          <w:szCs w:val="24"/>
        </w:rPr>
      </w:pPr>
      <w:r>
        <w:rPr>
          <w:rFonts w:ascii="Arial" w:eastAsia="Arial" w:hAnsi="Arial" w:cs="Arial"/>
          <w:b/>
          <w:sz w:val="24"/>
          <w:szCs w:val="24"/>
        </w:rPr>
        <w:t>A (IM)POSSIBILIDADE DE IMPLEMENTAÇÃO DE COMITÊS DE RESOLUÇÃO DE CONFLITOS (</w:t>
      </w:r>
      <w:r>
        <w:rPr>
          <w:rFonts w:ascii="Arial" w:eastAsia="Arial" w:hAnsi="Arial" w:cs="Arial"/>
          <w:b/>
          <w:i/>
          <w:sz w:val="24"/>
          <w:szCs w:val="24"/>
        </w:rPr>
        <w:t>DISPUTE BOARD</w:t>
      </w:r>
      <w:r>
        <w:rPr>
          <w:rFonts w:ascii="Arial" w:eastAsia="Arial" w:hAnsi="Arial" w:cs="Arial"/>
          <w:b/>
          <w:sz w:val="24"/>
          <w:szCs w:val="24"/>
        </w:rPr>
        <w:t>) NO ESTADO DA PARAÍBA</w:t>
      </w:r>
    </w:p>
    <w:p w14:paraId="049F31CB" w14:textId="77777777" w:rsidR="00AF0E76" w:rsidRDefault="00AF0E76">
      <w:pPr>
        <w:pBdr>
          <w:top w:val="nil"/>
          <w:left w:val="nil"/>
          <w:bottom w:val="nil"/>
          <w:right w:val="nil"/>
          <w:between w:val="nil"/>
        </w:pBdr>
        <w:rPr>
          <w:rFonts w:ascii="Arial" w:eastAsia="Arial" w:hAnsi="Arial" w:cs="Arial"/>
          <w:b/>
          <w:color w:val="000000"/>
          <w:sz w:val="26"/>
          <w:szCs w:val="26"/>
        </w:rPr>
      </w:pPr>
    </w:p>
    <w:p w14:paraId="53128261" w14:textId="77777777" w:rsidR="00AF0E76" w:rsidRDefault="00AF0E76">
      <w:pPr>
        <w:pBdr>
          <w:top w:val="nil"/>
          <w:left w:val="nil"/>
          <w:bottom w:val="nil"/>
          <w:right w:val="nil"/>
          <w:between w:val="nil"/>
        </w:pBdr>
        <w:rPr>
          <w:rFonts w:ascii="Arial" w:eastAsia="Arial" w:hAnsi="Arial" w:cs="Arial"/>
          <w:b/>
          <w:color w:val="000000"/>
          <w:sz w:val="26"/>
          <w:szCs w:val="26"/>
        </w:rPr>
      </w:pPr>
    </w:p>
    <w:p w14:paraId="62486C05" w14:textId="77777777" w:rsidR="00AF0E76" w:rsidRDefault="00AF0E76">
      <w:pPr>
        <w:pBdr>
          <w:top w:val="nil"/>
          <w:left w:val="nil"/>
          <w:bottom w:val="nil"/>
          <w:right w:val="nil"/>
          <w:between w:val="nil"/>
        </w:pBdr>
        <w:rPr>
          <w:rFonts w:ascii="Arial" w:eastAsia="Arial" w:hAnsi="Arial" w:cs="Arial"/>
          <w:b/>
          <w:color w:val="000000"/>
          <w:sz w:val="26"/>
          <w:szCs w:val="26"/>
        </w:rPr>
      </w:pPr>
    </w:p>
    <w:p w14:paraId="4101652C" w14:textId="77777777" w:rsidR="00AF0E76" w:rsidRDefault="00AF0E76">
      <w:pPr>
        <w:pBdr>
          <w:top w:val="nil"/>
          <w:left w:val="nil"/>
          <w:bottom w:val="nil"/>
          <w:right w:val="nil"/>
          <w:between w:val="nil"/>
        </w:pBdr>
        <w:rPr>
          <w:rFonts w:ascii="Arial" w:eastAsia="Arial" w:hAnsi="Arial" w:cs="Arial"/>
          <w:b/>
          <w:color w:val="000000"/>
          <w:sz w:val="26"/>
          <w:szCs w:val="26"/>
        </w:rPr>
      </w:pPr>
    </w:p>
    <w:p w14:paraId="4B99056E" w14:textId="77777777" w:rsidR="00AF0E76" w:rsidRDefault="00AF0E76">
      <w:pPr>
        <w:pBdr>
          <w:top w:val="nil"/>
          <w:left w:val="nil"/>
          <w:bottom w:val="nil"/>
          <w:right w:val="nil"/>
          <w:between w:val="nil"/>
        </w:pBdr>
        <w:rPr>
          <w:rFonts w:ascii="Arial" w:eastAsia="Arial" w:hAnsi="Arial" w:cs="Arial"/>
          <w:b/>
          <w:color w:val="000000"/>
          <w:sz w:val="26"/>
          <w:szCs w:val="26"/>
        </w:rPr>
      </w:pPr>
    </w:p>
    <w:p w14:paraId="1299C43A" w14:textId="77777777" w:rsidR="00AF0E76" w:rsidRDefault="00AF0E76">
      <w:pPr>
        <w:pBdr>
          <w:top w:val="nil"/>
          <w:left w:val="nil"/>
          <w:bottom w:val="nil"/>
          <w:right w:val="nil"/>
          <w:between w:val="nil"/>
        </w:pBdr>
        <w:rPr>
          <w:rFonts w:ascii="Arial" w:eastAsia="Arial" w:hAnsi="Arial" w:cs="Arial"/>
          <w:b/>
          <w:color w:val="000000"/>
          <w:sz w:val="26"/>
          <w:szCs w:val="26"/>
        </w:rPr>
      </w:pPr>
    </w:p>
    <w:p w14:paraId="4DDBEF00" w14:textId="77777777" w:rsidR="00AF0E76" w:rsidRDefault="00AF0E76">
      <w:pPr>
        <w:pBdr>
          <w:top w:val="nil"/>
          <w:left w:val="nil"/>
          <w:bottom w:val="nil"/>
          <w:right w:val="nil"/>
          <w:between w:val="nil"/>
        </w:pBdr>
        <w:rPr>
          <w:rFonts w:ascii="Arial" w:eastAsia="Arial" w:hAnsi="Arial" w:cs="Arial"/>
          <w:b/>
          <w:color w:val="000000"/>
          <w:sz w:val="26"/>
          <w:szCs w:val="26"/>
        </w:rPr>
      </w:pPr>
    </w:p>
    <w:p w14:paraId="3461D779" w14:textId="77777777" w:rsidR="00AF0E76" w:rsidRDefault="00AF0E76">
      <w:pPr>
        <w:pBdr>
          <w:top w:val="nil"/>
          <w:left w:val="nil"/>
          <w:bottom w:val="nil"/>
          <w:right w:val="nil"/>
          <w:between w:val="nil"/>
        </w:pBdr>
        <w:rPr>
          <w:rFonts w:ascii="Arial" w:eastAsia="Arial" w:hAnsi="Arial" w:cs="Arial"/>
          <w:b/>
          <w:color w:val="000000"/>
          <w:sz w:val="26"/>
          <w:szCs w:val="26"/>
        </w:rPr>
      </w:pPr>
    </w:p>
    <w:p w14:paraId="3CF2D8B6" w14:textId="77777777" w:rsidR="00AF0E76" w:rsidRDefault="00AF0E76">
      <w:pPr>
        <w:pBdr>
          <w:top w:val="nil"/>
          <w:left w:val="nil"/>
          <w:bottom w:val="nil"/>
          <w:right w:val="nil"/>
          <w:between w:val="nil"/>
        </w:pBdr>
        <w:rPr>
          <w:rFonts w:ascii="Arial" w:eastAsia="Arial" w:hAnsi="Arial" w:cs="Arial"/>
          <w:b/>
          <w:color w:val="000000"/>
          <w:sz w:val="26"/>
          <w:szCs w:val="26"/>
        </w:rPr>
      </w:pPr>
    </w:p>
    <w:p w14:paraId="0FB78278" w14:textId="77777777" w:rsidR="00AF0E76" w:rsidRDefault="00AF0E76">
      <w:pPr>
        <w:pBdr>
          <w:top w:val="nil"/>
          <w:left w:val="nil"/>
          <w:bottom w:val="nil"/>
          <w:right w:val="nil"/>
          <w:between w:val="nil"/>
        </w:pBdr>
        <w:rPr>
          <w:rFonts w:ascii="Arial" w:eastAsia="Arial" w:hAnsi="Arial" w:cs="Arial"/>
          <w:b/>
          <w:color w:val="000000"/>
          <w:sz w:val="26"/>
          <w:szCs w:val="26"/>
        </w:rPr>
      </w:pPr>
    </w:p>
    <w:p w14:paraId="1FC39945" w14:textId="77777777" w:rsidR="00AF0E76" w:rsidRDefault="00AF0E76">
      <w:pPr>
        <w:pBdr>
          <w:top w:val="nil"/>
          <w:left w:val="nil"/>
          <w:bottom w:val="nil"/>
          <w:right w:val="nil"/>
          <w:between w:val="nil"/>
        </w:pBdr>
        <w:rPr>
          <w:rFonts w:ascii="Arial" w:eastAsia="Arial" w:hAnsi="Arial" w:cs="Arial"/>
          <w:b/>
          <w:color w:val="000000"/>
          <w:sz w:val="26"/>
          <w:szCs w:val="26"/>
        </w:rPr>
      </w:pPr>
    </w:p>
    <w:p w14:paraId="0562CB0E" w14:textId="77777777" w:rsidR="00AF0E76" w:rsidRDefault="00AF0E76">
      <w:pPr>
        <w:pBdr>
          <w:top w:val="nil"/>
          <w:left w:val="nil"/>
          <w:bottom w:val="nil"/>
          <w:right w:val="nil"/>
          <w:between w:val="nil"/>
        </w:pBdr>
        <w:rPr>
          <w:rFonts w:ascii="Arial" w:eastAsia="Arial" w:hAnsi="Arial" w:cs="Arial"/>
          <w:b/>
          <w:color w:val="000000"/>
          <w:sz w:val="26"/>
          <w:szCs w:val="26"/>
        </w:rPr>
      </w:pPr>
    </w:p>
    <w:p w14:paraId="34CE0A41" w14:textId="77777777" w:rsidR="00AF0E76" w:rsidRDefault="00AF0E76">
      <w:pPr>
        <w:pBdr>
          <w:top w:val="nil"/>
          <w:left w:val="nil"/>
          <w:bottom w:val="nil"/>
          <w:right w:val="nil"/>
          <w:between w:val="nil"/>
        </w:pBdr>
        <w:rPr>
          <w:rFonts w:ascii="Arial" w:eastAsia="Arial" w:hAnsi="Arial" w:cs="Arial"/>
          <w:b/>
          <w:color w:val="000000"/>
          <w:sz w:val="26"/>
          <w:szCs w:val="26"/>
        </w:rPr>
      </w:pPr>
    </w:p>
    <w:p w14:paraId="62EBF3C5" w14:textId="77777777" w:rsidR="00AF0E76" w:rsidRDefault="00AF0E76">
      <w:pPr>
        <w:pBdr>
          <w:top w:val="nil"/>
          <w:left w:val="nil"/>
          <w:bottom w:val="nil"/>
          <w:right w:val="nil"/>
          <w:between w:val="nil"/>
        </w:pBdr>
        <w:rPr>
          <w:rFonts w:ascii="Arial" w:eastAsia="Arial" w:hAnsi="Arial" w:cs="Arial"/>
          <w:b/>
          <w:color w:val="000000"/>
          <w:sz w:val="26"/>
          <w:szCs w:val="26"/>
        </w:rPr>
      </w:pPr>
    </w:p>
    <w:p w14:paraId="6D98A12B" w14:textId="77777777" w:rsidR="00AF0E76" w:rsidRDefault="00AF0E76">
      <w:pPr>
        <w:pBdr>
          <w:top w:val="nil"/>
          <w:left w:val="nil"/>
          <w:bottom w:val="nil"/>
          <w:right w:val="nil"/>
          <w:between w:val="nil"/>
        </w:pBdr>
        <w:rPr>
          <w:rFonts w:ascii="Arial" w:eastAsia="Arial" w:hAnsi="Arial" w:cs="Arial"/>
          <w:b/>
          <w:color w:val="000000"/>
          <w:sz w:val="26"/>
          <w:szCs w:val="26"/>
        </w:rPr>
      </w:pPr>
    </w:p>
    <w:p w14:paraId="2946DB82" w14:textId="77777777" w:rsidR="00AF0E76" w:rsidRDefault="00AF0E76">
      <w:pPr>
        <w:pBdr>
          <w:top w:val="nil"/>
          <w:left w:val="nil"/>
          <w:bottom w:val="nil"/>
          <w:right w:val="nil"/>
          <w:between w:val="nil"/>
        </w:pBdr>
        <w:rPr>
          <w:rFonts w:ascii="Arial" w:eastAsia="Arial" w:hAnsi="Arial" w:cs="Arial"/>
          <w:b/>
          <w:color w:val="000000"/>
          <w:sz w:val="26"/>
          <w:szCs w:val="26"/>
        </w:rPr>
      </w:pPr>
    </w:p>
    <w:p w14:paraId="5997CC1D" w14:textId="77777777" w:rsidR="00AF0E76" w:rsidRDefault="00AF0E76">
      <w:pPr>
        <w:pBdr>
          <w:top w:val="nil"/>
          <w:left w:val="nil"/>
          <w:bottom w:val="nil"/>
          <w:right w:val="nil"/>
          <w:between w:val="nil"/>
        </w:pBdr>
        <w:rPr>
          <w:rFonts w:ascii="Arial" w:eastAsia="Arial" w:hAnsi="Arial" w:cs="Arial"/>
          <w:b/>
          <w:color w:val="000000"/>
          <w:sz w:val="26"/>
          <w:szCs w:val="26"/>
        </w:rPr>
      </w:pPr>
    </w:p>
    <w:p w14:paraId="23475811" w14:textId="77777777" w:rsidR="00AF0E76" w:rsidRDefault="00F456ED">
      <w:pPr>
        <w:pStyle w:val="Ttulo1"/>
        <w:spacing w:before="161"/>
        <w:ind w:left="0" w:right="13"/>
        <w:jc w:val="center"/>
      </w:pPr>
      <w:r>
        <w:t xml:space="preserve">CAMPINA GRANDE - PB </w:t>
      </w:r>
    </w:p>
    <w:p w14:paraId="73F56A6F" w14:textId="77777777" w:rsidR="00AF0E76" w:rsidRDefault="00F456ED">
      <w:pPr>
        <w:pStyle w:val="Ttulo1"/>
        <w:spacing w:before="161"/>
        <w:ind w:left="0" w:right="13"/>
        <w:jc w:val="center"/>
        <w:sectPr w:rsidR="00AF0E76" w:rsidSect="00A175B8">
          <w:headerReference w:type="default" r:id="rId7"/>
          <w:footerReference w:type="default" r:id="rId8"/>
          <w:pgSz w:w="11920" w:h="16840"/>
          <w:pgMar w:top="1701" w:right="1134" w:bottom="1134" w:left="1701" w:header="720" w:footer="720" w:gutter="0"/>
          <w:pgNumType w:start="1"/>
          <w:cols w:space="720"/>
          <w:docGrid w:linePitch="299"/>
        </w:sectPr>
      </w:pPr>
      <w:r>
        <w:t>2023</w:t>
      </w:r>
    </w:p>
    <w:p w14:paraId="462B8C7A" w14:textId="77777777" w:rsidR="00AF0E76" w:rsidRDefault="00F456ED">
      <w:pPr>
        <w:pBdr>
          <w:top w:val="nil"/>
          <w:left w:val="nil"/>
          <w:bottom w:val="nil"/>
          <w:right w:val="nil"/>
          <w:between w:val="nil"/>
        </w:pBdr>
        <w:spacing w:before="65"/>
        <w:ind w:left="979" w:right="1461"/>
        <w:jc w:val="center"/>
        <w:rPr>
          <w:color w:val="000000"/>
          <w:sz w:val="24"/>
          <w:szCs w:val="24"/>
        </w:rPr>
      </w:pPr>
      <w:r>
        <w:rPr>
          <w:color w:val="000000"/>
          <w:sz w:val="24"/>
          <w:szCs w:val="24"/>
        </w:rPr>
        <w:lastRenderedPageBreak/>
        <w:t>EDUARDO BARBOSA SOBRAL MENEZES</w:t>
      </w:r>
    </w:p>
    <w:p w14:paraId="110FFD37" w14:textId="77777777" w:rsidR="00AF0E76" w:rsidRDefault="00AF0E76">
      <w:pPr>
        <w:pBdr>
          <w:top w:val="nil"/>
          <w:left w:val="nil"/>
          <w:bottom w:val="nil"/>
          <w:right w:val="nil"/>
          <w:between w:val="nil"/>
        </w:pBdr>
        <w:rPr>
          <w:color w:val="000000"/>
          <w:sz w:val="26"/>
          <w:szCs w:val="26"/>
        </w:rPr>
      </w:pPr>
    </w:p>
    <w:p w14:paraId="6B699379" w14:textId="77777777" w:rsidR="00AF0E76" w:rsidRDefault="00AF0E76">
      <w:pPr>
        <w:pBdr>
          <w:top w:val="nil"/>
          <w:left w:val="nil"/>
          <w:bottom w:val="nil"/>
          <w:right w:val="nil"/>
          <w:between w:val="nil"/>
        </w:pBdr>
        <w:rPr>
          <w:color w:val="000000"/>
          <w:sz w:val="26"/>
          <w:szCs w:val="26"/>
        </w:rPr>
      </w:pPr>
    </w:p>
    <w:p w14:paraId="3FE9F23F" w14:textId="77777777" w:rsidR="00AF0E76" w:rsidRDefault="00AF0E76">
      <w:pPr>
        <w:pBdr>
          <w:top w:val="nil"/>
          <w:left w:val="nil"/>
          <w:bottom w:val="nil"/>
          <w:right w:val="nil"/>
          <w:between w:val="nil"/>
        </w:pBdr>
        <w:rPr>
          <w:color w:val="000000"/>
          <w:sz w:val="26"/>
          <w:szCs w:val="26"/>
        </w:rPr>
      </w:pPr>
    </w:p>
    <w:p w14:paraId="1F72F646" w14:textId="77777777" w:rsidR="00AF0E76" w:rsidRDefault="00AF0E76">
      <w:pPr>
        <w:pBdr>
          <w:top w:val="nil"/>
          <w:left w:val="nil"/>
          <w:bottom w:val="nil"/>
          <w:right w:val="nil"/>
          <w:between w:val="nil"/>
        </w:pBdr>
        <w:rPr>
          <w:color w:val="000000"/>
          <w:sz w:val="26"/>
          <w:szCs w:val="26"/>
        </w:rPr>
      </w:pPr>
    </w:p>
    <w:p w14:paraId="08CE6F91" w14:textId="77777777" w:rsidR="00AF0E76" w:rsidRDefault="00AF0E76">
      <w:pPr>
        <w:pBdr>
          <w:top w:val="nil"/>
          <w:left w:val="nil"/>
          <w:bottom w:val="nil"/>
          <w:right w:val="nil"/>
          <w:between w:val="nil"/>
        </w:pBdr>
        <w:rPr>
          <w:color w:val="000000"/>
          <w:sz w:val="26"/>
          <w:szCs w:val="26"/>
        </w:rPr>
      </w:pPr>
    </w:p>
    <w:p w14:paraId="61CDCEAD" w14:textId="77777777" w:rsidR="00AF0E76" w:rsidRDefault="00AF0E76">
      <w:pPr>
        <w:pBdr>
          <w:top w:val="nil"/>
          <w:left w:val="nil"/>
          <w:bottom w:val="nil"/>
          <w:right w:val="nil"/>
          <w:between w:val="nil"/>
        </w:pBdr>
        <w:spacing w:before="9"/>
        <w:rPr>
          <w:color w:val="000000"/>
          <w:sz w:val="33"/>
          <w:szCs w:val="33"/>
        </w:rPr>
      </w:pPr>
    </w:p>
    <w:p w14:paraId="282BDA8B" w14:textId="77777777" w:rsidR="00AF0E76" w:rsidRDefault="00F456ED">
      <w:pPr>
        <w:pBdr>
          <w:top w:val="nil"/>
          <w:left w:val="nil"/>
          <w:bottom w:val="nil"/>
          <w:right w:val="nil"/>
          <w:between w:val="nil"/>
        </w:pBdr>
        <w:spacing w:before="1" w:line="381" w:lineRule="auto"/>
        <w:ind w:left="1019" w:right="1654" w:firstLine="152"/>
        <w:jc w:val="center"/>
        <w:rPr>
          <w:color w:val="000000"/>
          <w:sz w:val="24"/>
          <w:szCs w:val="24"/>
        </w:rPr>
      </w:pPr>
      <w:r>
        <w:rPr>
          <w:color w:val="000000"/>
          <w:sz w:val="24"/>
          <w:szCs w:val="24"/>
        </w:rPr>
        <w:t>A (IM)POSSIBILIDADE DE IMPLEMENTAÇÃO DE COMITÊS DE RESOLUÇÃO DE CONFLITOS (</w:t>
      </w:r>
      <w:r>
        <w:rPr>
          <w:i/>
          <w:color w:val="000000"/>
          <w:sz w:val="24"/>
          <w:szCs w:val="24"/>
        </w:rPr>
        <w:t>DISPUTE BOARD</w:t>
      </w:r>
      <w:r>
        <w:rPr>
          <w:color w:val="000000"/>
          <w:sz w:val="24"/>
          <w:szCs w:val="24"/>
        </w:rPr>
        <w:t>) NO ESTADO DA PARAÍBA</w:t>
      </w:r>
    </w:p>
    <w:p w14:paraId="6BB9E253" w14:textId="77777777" w:rsidR="00AF0E76" w:rsidRDefault="00AF0E76">
      <w:pPr>
        <w:pBdr>
          <w:top w:val="nil"/>
          <w:left w:val="nil"/>
          <w:bottom w:val="nil"/>
          <w:right w:val="nil"/>
          <w:between w:val="nil"/>
        </w:pBdr>
        <w:rPr>
          <w:color w:val="000000"/>
          <w:sz w:val="26"/>
          <w:szCs w:val="26"/>
        </w:rPr>
      </w:pPr>
    </w:p>
    <w:p w14:paraId="23DE523C" w14:textId="77777777" w:rsidR="00AF0E76" w:rsidRDefault="00AF0E76">
      <w:pPr>
        <w:pBdr>
          <w:top w:val="nil"/>
          <w:left w:val="nil"/>
          <w:bottom w:val="nil"/>
          <w:right w:val="nil"/>
          <w:between w:val="nil"/>
        </w:pBdr>
        <w:rPr>
          <w:color w:val="000000"/>
          <w:sz w:val="26"/>
          <w:szCs w:val="26"/>
        </w:rPr>
      </w:pPr>
    </w:p>
    <w:p w14:paraId="52E56223" w14:textId="77777777" w:rsidR="00AF0E76" w:rsidRDefault="00AF0E76">
      <w:pPr>
        <w:pBdr>
          <w:top w:val="nil"/>
          <w:left w:val="nil"/>
          <w:bottom w:val="nil"/>
          <w:right w:val="nil"/>
          <w:between w:val="nil"/>
        </w:pBdr>
        <w:rPr>
          <w:color w:val="000000"/>
          <w:sz w:val="26"/>
          <w:szCs w:val="26"/>
        </w:rPr>
      </w:pPr>
    </w:p>
    <w:p w14:paraId="07547A01" w14:textId="77777777" w:rsidR="00AF0E76" w:rsidRDefault="00AF0E76">
      <w:pPr>
        <w:pBdr>
          <w:top w:val="nil"/>
          <w:left w:val="nil"/>
          <w:bottom w:val="nil"/>
          <w:right w:val="nil"/>
          <w:between w:val="nil"/>
        </w:pBdr>
        <w:rPr>
          <w:color w:val="000000"/>
          <w:sz w:val="26"/>
          <w:szCs w:val="26"/>
        </w:rPr>
      </w:pPr>
    </w:p>
    <w:p w14:paraId="5043CB0F" w14:textId="77777777" w:rsidR="00AF0E76" w:rsidRDefault="00AF0E76">
      <w:pPr>
        <w:pBdr>
          <w:top w:val="nil"/>
          <w:left w:val="nil"/>
          <w:bottom w:val="nil"/>
          <w:right w:val="nil"/>
          <w:between w:val="nil"/>
        </w:pBdr>
        <w:rPr>
          <w:color w:val="000000"/>
          <w:sz w:val="26"/>
          <w:szCs w:val="26"/>
        </w:rPr>
      </w:pPr>
    </w:p>
    <w:p w14:paraId="07459315" w14:textId="77777777" w:rsidR="00AF0E76" w:rsidRDefault="00AF0E76">
      <w:pPr>
        <w:pBdr>
          <w:top w:val="nil"/>
          <w:left w:val="nil"/>
          <w:bottom w:val="nil"/>
          <w:right w:val="nil"/>
          <w:between w:val="nil"/>
        </w:pBdr>
        <w:rPr>
          <w:color w:val="000000"/>
          <w:sz w:val="26"/>
          <w:szCs w:val="26"/>
        </w:rPr>
      </w:pPr>
    </w:p>
    <w:p w14:paraId="6537F28F" w14:textId="77777777" w:rsidR="00AF0E76" w:rsidRDefault="00AF0E76">
      <w:pPr>
        <w:pBdr>
          <w:top w:val="nil"/>
          <w:left w:val="nil"/>
          <w:bottom w:val="nil"/>
          <w:right w:val="nil"/>
          <w:between w:val="nil"/>
        </w:pBdr>
        <w:rPr>
          <w:color w:val="000000"/>
          <w:sz w:val="26"/>
          <w:szCs w:val="26"/>
        </w:rPr>
      </w:pPr>
    </w:p>
    <w:p w14:paraId="6DFB9E20" w14:textId="77777777" w:rsidR="00AF0E76" w:rsidRDefault="00AF0E76">
      <w:pPr>
        <w:pBdr>
          <w:top w:val="nil"/>
          <w:left w:val="nil"/>
          <w:bottom w:val="nil"/>
          <w:right w:val="nil"/>
          <w:between w:val="nil"/>
        </w:pBdr>
        <w:rPr>
          <w:color w:val="000000"/>
          <w:sz w:val="26"/>
          <w:szCs w:val="26"/>
        </w:rPr>
      </w:pPr>
    </w:p>
    <w:p w14:paraId="70DF9E56" w14:textId="77777777" w:rsidR="00AF0E76" w:rsidRDefault="00AF0E76">
      <w:pPr>
        <w:pBdr>
          <w:top w:val="nil"/>
          <w:left w:val="nil"/>
          <w:bottom w:val="nil"/>
          <w:right w:val="nil"/>
          <w:between w:val="nil"/>
        </w:pBdr>
        <w:rPr>
          <w:color w:val="000000"/>
          <w:sz w:val="26"/>
          <w:szCs w:val="26"/>
        </w:rPr>
      </w:pPr>
    </w:p>
    <w:p w14:paraId="44E871BC" w14:textId="77777777" w:rsidR="00AF0E76" w:rsidRDefault="00AF0E76">
      <w:pPr>
        <w:pBdr>
          <w:top w:val="nil"/>
          <w:left w:val="nil"/>
          <w:bottom w:val="nil"/>
          <w:right w:val="nil"/>
          <w:between w:val="nil"/>
        </w:pBdr>
        <w:rPr>
          <w:color w:val="000000"/>
          <w:sz w:val="26"/>
          <w:szCs w:val="26"/>
        </w:rPr>
      </w:pPr>
    </w:p>
    <w:p w14:paraId="144A5D23" w14:textId="77777777" w:rsidR="00AF0E76" w:rsidRDefault="00AF0E76">
      <w:pPr>
        <w:pBdr>
          <w:top w:val="nil"/>
          <w:left w:val="nil"/>
          <w:bottom w:val="nil"/>
          <w:right w:val="nil"/>
          <w:between w:val="nil"/>
        </w:pBdr>
        <w:spacing w:before="3"/>
        <w:rPr>
          <w:color w:val="000000"/>
          <w:sz w:val="26"/>
          <w:szCs w:val="26"/>
        </w:rPr>
      </w:pPr>
    </w:p>
    <w:p w14:paraId="017AC7E0" w14:textId="77777777" w:rsidR="00AF0E76" w:rsidRDefault="00F456ED">
      <w:pPr>
        <w:pBdr>
          <w:top w:val="nil"/>
          <w:left w:val="nil"/>
          <w:bottom w:val="nil"/>
          <w:right w:val="nil"/>
          <w:between w:val="nil"/>
        </w:pBdr>
        <w:spacing w:line="249" w:lineRule="auto"/>
        <w:ind w:left="4660" w:right="602"/>
        <w:jc w:val="both"/>
        <w:rPr>
          <w:color w:val="000000"/>
          <w:sz w:val="24"/>
          <w:szCs w:val="24"/>
        </w:rPr>
      </w:pPr>
      <w:r>
        <w:rPr>
          <w:color w:val="000000"/>
          <w:sz w:val="24"/>
          <w:szCs w:val="24"/>
        </w:rPr>
        <w:t>Trabalho de Conclusão de Curso - Artigo Científico - apresentado como pré- requisito para a obtenção do título de Bacharel em Direito pela UniFacisa – Centro Universitário.</w:t>
      </w:r>
    </w:p>
    <w:p w14:paraId="738610EB" w14:textId="77777777" w:rsidR="00AF0E76" w:rsidRDefault="00AF0E76">
      <w:pPr>
        <w:pBdr>
          <w:top w:val="nil"/>
          <w:left w:val="nil"/>
          <w:bottom w:val="nil"/>
          <w:right w:val="nil"/>
          <w:between w:val="nil"/>
        </w:pBdr>
        <w:rPr>
          <w:color w:val="000000"/>
          <w:sz w:val="26"/>
          <w:szCs w:val="26"/>
        </w:rPr>
      </w:pPr>
    </w:p>
    <w:p w14:paraId="518F9903" w14:textId="77777777" w:rsidR="00AF0E76" w:rsidRDefault="00F456ED">
      <w:pPr>
        <w:pBdr>
          <w:top w:val="nil"/>
          <w:left w:val="nil"/>
          <w:bottom w:val="nil"/>
          <w:right w:val="nil"/>
          <w:between w:val="nil"/>
        </w:pBdr>
        <w:spacing w:before="157" w:line="249" w:lineRule="auto"/>
        <w:ind w:left="4660" w:right="395"/>
        <w:rPr>
          <w:color w:val="000000"/>
          <w:sz w:val="24"/>
          <w:szCs w:val="24"/>
        </w:rPr>
      </w:pPr>
      <w:r>
        <w:rPr>
          <w:color w:val="000000"/>
          <w:sz w:val="24"/>
          <w:szCs w:val="24"/>
        </w:rPr>
        <w:t>Área de Concentração: Direito Público. Orientador: Prof.º da UniFacisa, Rafaela Silva, Dr.</w:t>
      </w:r>
    </w:p>
    <w:p w14:paraId="637805D2" w14:textId="77777777" w:rsidR="00AF0E76" w:rsidRDefault="00AF0E76">
      <w:pPr>
        <w:pBdr>
          <w:top w:val="nil"/>
          <w:left w:val="nil"/>
          <w:bottom w:val="nil"/>
          <w:right w:val="nil"/>
          <w:between w:val="nil"/>
        </w:pBdr>
        <w:rPr>
          <w:color w:val="000000"/>
          <w:sz w:val="26"/>
          <w:szCs w:val="26"/>
        </w:rPr>
      </w:pPr>
    </w:p>
    <w:p w14:paraId="463F29E8" w14:textId="77777777" w:rsidR="00AF0E76" w:rsidRDefault="00AF0E76">
      <w:pPr>
        <w:pBdr>
          <w:top w:val="nil"/>
          <w:left w:val="nil"/>
          <w:bottom w:val="nil"/>
          <w:right w:val="nil"/>
          <w:between w:val="nil"/>
        </w:pBdr>
        <w:rPr>
          <w:color w:val="000000"/>
          <w:sz w:val="26"/>
          <w:szCs w:val="26"/>
        </w:rPr>
      </w:pPr>
    </w:p>
    <w:p w14:paraId="3B7B4B86" w14:textId="77777777" w:rsidR="00AF0E76" w:rsidRDefault="00AF0E76">
      <w:pPr>
        <w:pBdr>
          <w:top w:val="nil"/>
          <w:left w:val="nil"/>
          <w:bottom w:val="nil"/>
          <w:right w:val="nil"/>
          <w:between w:val="nil"/>
        </w:pBdr>
        <w:rPr>
          <w:color w:val="000000"/>
          <w:sz w:val="26"/>
          <w:szCs w:val="26"/>
        </w:rPr>
      </w:pPr>
    </w:p>
    <w:p w14:paraId="3A0FF5F2" w14:textId="77777777" w:rsidR="00AF0E76" w:rsidRDefault="00AF0E76">
      <w:pPr>
        <w:pBdr>
          <w:top w:val="nil"/>
          <w:left w:val="nil"/>
          <w:bottom w:val="nil"/>
          <w:right w:val="nil"/>
          <w:between w:val="nil"/>
        </w:pBdr>
        <w:rPr>
          <w:color w:val="000000"/>
          <w:sz w:val="26"/>
          <w:szCs w:val="26"/>
        </w:rPr>
      </w:pPr>
    </w:p>
    <w:p w14:paraId="5630AD66" w14:textId="77777777" w:rsidR="00AF0E76" w:rsidRDefault="00AF0E76">
      <w:pPr>
        <w:pBdr>
          <w:top w:val="nil"/>
          <w:left w:val="nil"/>
          <w:bottom w:val="nil"/>
          <w:right w:val="nil"/>
          <w:between w:val="nil"/>
        </w:pBdr>
        <w:rPr>
          <w:color w:val="000000"/>
          <w:sz w:val="26"/>
          <w:szCs w:val="26"/>
        </w:rPr>
      </w:pPr>
    </w:p>
    <w:p w14:paraId="61829076" w14:textId="77777777" w:rsidR="00AF0E76" w:rsidRDefault="00AF0E76">
      <w:pPr>
        <w:pBdr>
          <w:top w:val="nil"/>
          <w:left w:val="nil"/>
          <w:bottom w:val="nil"/>
          <w:right w:val="nil"/>
          <w:between w:val="nil"/>
        </w:pBdr>
        <w:rPr>
          <w:color w:val="000000"/>
          <w:sz w:val="26"/>
          <w:szCs w:val="26"/>
        </w:rPr>
      </w:pPr>
    </w:p>
    <w:p w14:paraId="2BA226A1" w14:textId="77777777" w:rsidR="00AF0E76" w:rsidRDefault="00AF0E76">
      <w:pPr>
        <w:pBdr>
          <w:top w:val="nil"/>
          <w:left w:val="nil"/>
          <w:bottom w:val="nil"/>
          <w:right w:val="nil"/>
          <w:between w:val="nil"/>
        </w:pBdr>
        <w:rPr>
          <w:color w:val="000000"/>
          <w:sz w:val="26"/>
          <w:szCs w:val="26"/>
        </w:rPr>
      </w:pPr>
    </w:p>
    <w:p w14:paraId="17AD93B2" w14:textId="77777777" w:rsidR="00AF0E76" w:rsidRDefault="00AF0E76">
      <w:pPr>
        <w:pBdr>
          <w:top w:val="nil"/>
          <w:left w:val="nil"/>
          <w:bottom w:val="nil"/>
          <w:right w:val="nil"/>
          <w:between w:val="nil"/>
        </w:pBdr>
        <w:rPr>
          <w:color w:val="000000"/>
          <w:sz w:val="26"/>
          <w:szCs w:val="26"/>
        </w:rPr>
      </w:pPr>
    </w:p>
    <w:p w14:paraId="0DE4B5B7" w14:textId="77777777" w:rsidR="00AF0E76" w:rsidRDefault="00AF0E76">
      <w:pPr>
        <w:pBdr>
          <w:top w:val="nil"/>
          <w:left w:val="nil"/>
          <w:bottom w:val="nil"/>
          <w:right w:val="nil"/>
          <w:between w:val="nil"/>
        </w:pBdr>
        <w:spacing w:before="3"/>
        <w:rPr>
          <w:color w:val="000000"/>
          <w:sz w:val="21"/>
          <w:szCs w:val="21"/>
        </w:rPr>
      </w:pPr>
    </w:p>
    <w:p w14:paraId="33C1CD4A" w14:textId="77777777" w:rsidR="00AF0E76" w:rsidRDefault="00F456ED">
      <w:pPr>
        <w:pBdr>
          <w:top w:val="nil"/>
          <w:left w:val="nil"/>
          <w:bottom w:val="nil"/>
          <w:right w:val="nil"/>
          <w:between w:val="nil"/>
        </w:pBdr>
        <w:spacing w:line="249" w:lineRule="auto"/>
        <w:ind w:right="13"/>
        <w:jc w:val="center"/>
        <w:rPr>
          <w:color w:val="000000"/>
          <w:sz w:val="24"/>
          <w:szCs w:val="24"/>
        </w:rPr>
      </w:pPr>
      <w:r>
        <w:rPr>
          <w:color w:val="000000"/>
          <w:sz w:val="24"/>
          <w:szCs w:val="24"/>
        </w:rPr>
        <w:t>Campina Grande-PB</w:t>
      </w:r>
    </w:p>
    <w:p w14:paraId="09F5B23E" w14:textId="77777777" w:rsidR="00AF0E76" w:rsidRDefault="00F456ED">
      <w:pPr>
        <w:pBdr>
          <w:top w:val="nil"/>
          <w:left w:val="nil"/>
          <w:bottom w:val="nil"/>
          <w:right w:val="nil"/>
          <w:between w:val="nil"/>
        </w:pBdr>
        <w:spacing w:line="249" w:lineRule="auto"/>
        <w:ind w:right="13"/>
        <w:jc w:val="center"/>
        <w:rPr>
          <w:color w:val="000000"/>
          <w:sz w:val="24"/>
          <w:szCs w:val="24"/>
        </w:rPr>
        <w:sectPr w:rsidR="00AF0E76" w:rsidSect="00A175B8">
          <w:headerReference w:type="default" r:id="rId9"/>
          <w:footerReference w:type="default" r:id="rId10"/>
          <w:pgSz w:w="11920" w:h="16840"/>
          <w:pgMar w:top="1701" w:right="1134" w:bottom="1134" w:left="1701" w:header="720" w:footer="720" w:gutter="0"/>
          <w:cols w:space="720"/>
          <w:docGrid w:linePitch="299"/>
        </w:sectPr>
      </w:pPr>
      <w:r>
        <w:rPr>
          <w:color w:val="000000"/>
          <w:sz w:val="24"/>
          <w:szCs w:val="24"/>
        </w:rPr>
        <w:t xml:space="preserve"> 2023</w:t>
      </w:r>
    </w:p>
    <w:p w14:paraId="66204FF1" w14:textId="77777777" w:rsidR="00AF0E76" w:rsidRDefault="00AF0E76">
      <w:pPr>
        <w:pBdr>
          <w:top w:val="nil"/>
          <w:left w:val="nil"/>
          <w:bottom w:val="nil"/>
          <w:right w:val="nil"/>
          <w:between w:val="nil"/>
        </w:pBdr>
        <w:rPr>
          <w:color w:val="000000"/>
          <w:sz w:val="20"/>
          <w:szCs w:val="20"/>
        </w:rPr>
      </w:pPr>
    </w:p>
    <w:p w14:paraId="2DBF0D7D" w14:textId="77777777" w:rsidR="00AF0E76" w:rsidRDefault="00AF0E76">
      <w:pPr>
        <w:pBdr>
          <w:top w:val="nil"/>
          <w:left w:val="nil"/>
          <w:bottom w:val="nil"/>
          <w:right w:val="nil"/>
          <w:between w:val="nil"/>
        </w:pBdr>
        <w:rPr>
          <w:color w:val="000000"/>
          <w:sz w:val="20"/>
          <w:szCs w:val="20"/>
        </w:rPr>
      </w:pPr>
    </w:p>
    <w:p w14:paraId="6B62F1B3" w14:textId="77777777" w:rsidR="00AF0E76" w:rsidRDefault="00AF0E76">
      <w:pPr>
        <w:pBdr>
          <w:top w:val="nil"/>
          <w:left w:val="nil"/>
          <w:bottom w:val="nil"/>
          <w:right w:val="nil"/>
          <w:between w:val="nil"/>
        </w:pBdr>
        <w:rPr>
          <w:color w:val="000000"/>
          <w:sz w:val="20"/>
          <w:szCs w:val="20"/>
        </w:rPr>
      </w:pPr>
    </w:p>
    <w:p w14:paraId="02F2C34E" w14:textId="77777777" w:rsidR="00AF0E76" w:rsidRDefault="00AF0E76">
      <w:pPr>
        <w:pBdr>
          <w:top w:val="nil"/>
          <w:left w:val="nil"/>
          <w:bottom w:val="nil"/>
          <w:right w:val="nil"/>
          <w:between w:val="nil"/>
        </w:pBdr>
        <w:rPr>
          <w:color w:val="000000"/>
          <w:sz w:val="20"/>
          <w:szCs w:val="20"/>
        </w:rPr>
      </w:pPr>
    </w:p>
    <w:p w14:paraId="680A4E5D" w14:textId="77777777" w:rsidR="00AF0E76" w:rsidRDefault="00AF0E76">
      <w:pPr>
        <w:pBdr>
          <w:top w:val="nil"/>
          <w:left w:val="nil"/>
          <w:bottom w:val="nil"/>
          <w:right w:val="nil"/>
          <w:between w:val="nil"/>
        </w:pBdr>
        <w:rPr>
          <w:color w:val="000000"/>
          <w:sz w:val="20"/>
          <w:szCs w:val="20"/>
        </w:rPr>
      </w:pPr>
    </w:p>
    <w:p w14:paraId="19219836" w14:textId="77777777" w:rsidR="00AF0E76" w:rsidRDefault="00AF0E76">
      <w:pPr>
        <w:pBdr>
          <w:top w:val="nil"/>
          <w:left w:val="nil"/>
          <w:bottom w:val="nil"/>
          <w:right w:val="nil"/>
          <w:between w:val="nil"/>
        </w:pBdr>
        <w:rPr>
          <w:color w:val="000000"/>
          <w:sz w:val="20"/>
          <w:szCs w:val="20"/>
        </w:rPr>
      </w:pPr>
    </w:p>
    <w:p w14:paraId="296FEF7D" w14:textId="77777777" w:rsidR="00AF0E76" w:rsidRDefault="00AF0E76">
      <w:pPr>
        <w:pBdr>
          <w:top w:val="nil"/>
          <w:left w:val="nil"/>
          <w:bottom w:val="nil"/>
          <w:right w:val="nil"/>
          <w:between w:val="nil"/>
        </w:pBdr>
        <w:rPr>
          <w:color w:val="000000"/>
          <w:sz w:val="20"/>
          <w:szCs w:val="20"/>
        </w:rPr>
      </w:pPr>
    </w:p>
    <w:p w14:paraId="7194DBDC" w14:textId="77777777" w:rsidR="00AF0E76" w:rsidRDefault="00AF0E76">
      <w:pPr>
        <w:pBdr>
          <w:top w:val="nil"/>
          <w:left w:val="nil"/>
          <w:bottom w:val="nil"/>
          <w:right w:val="nil"/>
          <w:between w:val="nil"/>
        </w:pBdr>
        <w:rPr>
          <w:color w:val="000000"/>
          <w:sz w:val="20"/>
          <w:szCs w:val="20"/>
        </w:rPr>
      </w:pPr>
    </w:p>
    <w:p w14:paraId="769D0D3C" w14:textId="77777777" w:rsidR="00AF0E76" w:rsidRDefault="00AF0E76">
      <w:pPr>
        <w:pBdr>
          <w:top w:val="nil"/>
          <w:left w:val="nil"/>
          <w:bottom w:val="nil"/>
          <w:right w:val="nil"/>
          <w:between w:val="nil"/>
        </w:pBdr>
        <w:rPr>
          <w:color w:val="000000"/>
          <w:sz w:val="20"/>
          <w:szCs w:val="20"/>
        </w:rPr>
      </w:pPr>
    </w:p>
    <w:p w14:paraId="54CD245A" w14:textId="77777777" w:rsidR="00AF0E76" w:rsidRDefault="00AF0E76">
      <w:pPr>
        <w:pBdr>
          <w:top w:val="nil"/>
          <w:left w:val="nil"/>
          <w:bottom w:val="nil"/>
          <w:right w:val="nil"/>
          <w:between w:val="nil"/>
        </w:pBdr>
        <w:rPr>
          <w:color w:val="000000"/>
          <w:sz w:val="20"/>
          <w:szCs w:val="20"/>
        </w:rPr>
      </w:pPr>
    </w:p>
    <w:p w14:paraId="1231BE67" w14:textId="77777777" w:rsidR="00AF0E76" w:rsidRDefault="00AF0E76">
      <w:pPr>
        <w:pBdr>
          <w:top w:val="nil"/>
          <w:left w:val="nil"/>
          <w:bottom w:val="nil"/>
          <w:right w:val="nil"/>
          <w:between w:val="nil"/>
        </w:pBdr>
        <w:rPr>
          <w:color w:val="000000"/>
          <w:sz w:val="20"/>
          <w:szCs w:val="20"/>
        </w:rPr>
      </w:pPr>
    </w:p>
    <w:p w14:paraId="36FEB5B0" w14:textId="77777777" w:rsidR="00AF0E76" w:rsidRDefault="00AF0E76">
      <w:pPr>
        <w:pBdr>
          <w:top w:val="nil"/>
          <w:left w:val="nil"/>
          <w:bottom w:val="nil"/>
          <w:right w:val="nil"/>
          <w:between w:val="nil"/>
        </w:pBdr>
        <w:rPr>
          <w:color w:val="000000"/>
          <w:sz w:val="20"/>
          <w:szCs w:val="20"/>
        </w:rPr>
      </w:pPr>
    </w:p>
    <w:p w14:paraId="30D7AA69" w14:textId="77777777" w:rsidR="00AF0E76" w:rsidRDefault="00AF0E76">
      <w:pPr>
        <w:pBdr>
          <w:top w:val="nil"/>
          <w:left w:val="nil"/>
          <w:bottom w:val="nil"/>
          <w:right w:val="nil"/>
          <w:between w:val="nil"/>
        </w:pBdr>
        <w:rPr>
          <w:color w:val="000000"/>
          <w:sz w:val="20"/>
          <w:szCs w:val="20"/>
        </w:rPr>
      </w:pPr>
    </w:p>
    <w:p w14:paraId="7196D064" w14:textId="77777777" w:rsidR="00AF0E76" w:rsidRDefault="00AF0E76">
      <w:pPr>
        <w:pBdr>
          <w:top w:val="nil"/>
          <w:left w:val="nil"/>
          <w:bottom w:val="nil"/>
          <w:right w:val="nil"/>
          <w:between w:val="nil"/>
        </w:pBdr>
        <w:rPr>
          <w:color w:val="000000"/>
          <w:sz w:val="20"/>
          <w:szCs w:val="20"/>
        </w:rPr>
      </w:pPr>
    </w:p>
    <w:p w14:paraId="34FF1C98" w14:textId="77777777" w:rsidR="00AF0E76" w:rsidRDefault="00AF0E76">
      <w:pPr>
        <w:pBdr>
          <w:top w:val="nil"/>
          <w:left w:val="nil"/>
          <w:bottom w:val="nil"/>
          <w:right w:val="nil"/>
          <w:between w:val="nil"/>
        </w:pBdr>
        <w:rPr>
          <w:color w:val="000000"/>
          <w:sz w:val="20"/>
          <w:szCs w:val="20"/>
        </w:rPr>
      </w:pPr>
    </w:p>
    <w:p w14:paraId="6D072C0D" w14:textId="77777777" w:rsidR="00AF0E76" w:rsidRDefault="00AF0E76">
      <w:pPr>
        <w:pBdr>
          <w:top w:val="nil"/>
          <w:left w:val="nil"/>
          <w:bottom w:val="nil"/>
          <w:right w:val="nil"/>
          <w:between w:val="nil"/>
        </w:pBdr>
        <w:rPr>
          <w:color w:val="000000"/>
          <w:sz w:val="20"/>
          <w:szCs w:val="20"/>
        </w:rPr>
      </w:pPr>
    </w:p>
    <w:p w14:paraId="48A21919" w14:textId="77777777" w:rsidR="00AF0E76" w:rsidRDefault="00AF0E76">
      <w:pPr>
        <w:pBdr>
          <w:top w:val="nil"/>
          <w:left w:val="nil"/>
          <w:bottom w:val="nil"/>
          <w:right w:val="nil"/>
          <w:between w:val="nil"/>
        </w:pBdr>
        <w:rPr>
          <w:color w:val="000000"/>
          <w:sz w:val="20"/>
          <w:szCs w:val="20"/>
        </w:rPr>
      </w:pPr>
    </w:p>
    <w:p w14:paraId="6BD18F9B" w14:textId="77777777" w:rsidR="00AF0E76" w:rsidRDefault="00AF0E76">
      <w:pPr>
        <w:pBdr>
          <w:top w:val="nil"/>
          <w:left w:val="nil"/>
          <w:bottom w:val="nil"/>
          <w:right w:val="nil"/>
          <w:between w:val="nil"/>
        </w:pBdr>
        <w:rPr>
          <w:color w:val="000000"/>
          <w:sz w:val="20"/>
          <w:szCs w:val="20"/>
        </w:rPr>
      </w:pPr>
    </w:p>
    <w:p w14:paraId="238601FE" w14:textId="77777777" w:rsidR="00AF0E76" w:rsidRDefault="00AF0E76">
      <w:pPr>
        <w:pBdr>
          <w:top w:val="nil"/>
          <w:left w:val="nil"/>
          <w:bottom w:val="nil"/>
          <w:right w:val="nil"/>
          <w:between w:val="nil"/>
        </w:pBdr>
        <w:rPr>
          <w:color w:val="000000"/>
          <w:sz w:val="20"/>
          <w:szCs w:val="20"/>
        </w:rPr>
      </w:pPr>
    </w:p>
    <w:p w14:paraId="0F3CABC7" w14:textId="77777777" w:rsidR="00AF0E76" w:rsidRDefault="00AF0E76">
      <w:pPr>
        <w:pBdr>
          <w:top w:val="nil"/>
          <w:left w:val="nil"/>
          <w:bottom w:val="nil"/>
          <w:right w:val="nil"/>
          <w:between w:val="nil"/>
        </w:pBdr>
        <w:rPr>
          <w:color w:val="000000"/>
          <w:sz w:val="20"/>
          <w:szCs w:val="20"/>
        </w:rPr>
      </w:pPr>
    </w:p>
    <w:p w14:paraId="5B08B5D1" w14:textId="77777777" w:rsidR="00AF0E76" w:rsidRDefault="00AF0E76">
      <w:pPr>
        <w:pBdr>
          <w:top w:val="nil"/>
          <w:left w:val="nil"/>
          <w:bottom w:val="nil"/>
          <w:right w:val="nil"/>
          <w:between w:val="nil"/>
        </w:pBdr>
        <w:rPr>
          <w:color w:val="000000"/>
          <w:sz w:val="20"/>
          <w:szCs w:val="20"/>
        </w:rPr>
      </w:pPr>
    </w:p>
    <w:p w14:paraId="16DEB4AB" w14:textId="77777777" w:rsidR="00AF0E76" w:rsidRDefault="00AF0E76">
      <w:pPr>
        <w:pBdr>
          <w:top w:val="nil"/>
          <w:left w:val="nil"/>
          <w:bottom w:val="nil"/>
          <w:right w:val="nil"/>
          <w:between w:val="nil"/>
        </w:pBdr>
        <w:rPr>
          <w:color w:val="000000"/>
          <w:sz w:val="20"/>
          <w:szCs w:val="20"/>
        </w:rPr>
      </w:pPr>
    </w:p>
    <w:p w14:paraId="0AD9C6F4" w14:textId="77777777" w:rsidR="00AF0E76" w:rsidRDefault="00AF0E76">
      <w:pPr>
        <w:pBdr>
          <w:top w:val="nil"/>
          <w:left w:val="nil"/>
          <w:bottom w:val="nil"/>
          <w:right w:val="nil"/>
          <w:between w:val="nil"/>
        </w:pBdr>
        <w:rPr>
          <w:color w:val="000000"/>
          <w:sz w:val="20"/>
          <w:szCs w:val="20"/>
        </w:rPr>
      </w:pPr>
    </w:p>
    <w:p w14:paraId="4B1F511A" w14:textId="77777777" w:rsidR="00AF0E76" w:rsidRDefault="00AF0E76">
      <w:pPr>
        <w:pBdr>
          <w:top w:val="nil"/>
          <w:left w:val="nil"/>
          <w:bottom w:val="nil"/>
          <w:right w:val="nil"/>
          <w:between w:val="nil"/>
        </w:pBdr>
        <w:rPr>
          <w:color w:val="000000"/>
          <w:sz w:val="20"/>
          <w:szCs w:val="20"/>
        </w:rPr>
      </w:pPr>
    </w:p>
    <w:p w14:paraId="65F9C3DC" w14:textId="77777777" w:rsidR="00AF0E76" w:rsidRDefault="00AF0E76">
      <w:pPr>
        <w:pBdr>
          <w:top w:val="nil"/>
          <w:left w:val="nil"/>
          <w:bottom w:val="nil"/>
          <w:right w:val="nil"/>
          <w:between w:val="nil"/>
        </w:pBdr>
        <w:rPr>
          <w:color w:val="000000"/>
          <w:sz w:val="20"/>
          <w:szCs w:val="20"/>
        </w:rPr>
      </w:pPr>
    </w:p>
    <w:p w14:paraId="5023141B" w14:textId="77777777" w:rsidR="00AF0E76" w:rsidRDefault="00AF0E76">
      <w:pPr>
        <w:pBdr>
          <w:top w:val="nil"/>
          <w:left w:val="nil"/>
          <w:bottom w:val="nil"/>
          <w:right w:val="nil"/>
          <w:between w:val="nil"/>
        </w:pBdr>
        <w:rPr>
          <w:color w:val="000000"/>
          <w:sz w:val="20"/>
          <w:szCs w:val="20"/>
        </w:rPr>
      </w:pPr>
    </w:p>
    <w:p w14:paraId="1F3B1409" w14:textId="77777777" w:rsidR="00AF0E76" w:rsidRDefault="00AF0E76">
      <w:pPr>
        <w:pBdr>
          <w:top w:val="nil"/>
          <w:left w:val="nil"/>
          <w:bottom w:val="nil"/>
          <w:right w:val="nil"/>
          <w:between w:val="nil"/>
        </w:pBdr>
        <w:rPr>
          <w:color w:val="000000"/>
          <w:sz w:val="20"/>
          <w:szCs w:val="20"/>
        </w:rPr>
      </w:pPr>
    </w:p>
    <w:p w14:paraId="562C75D1" w14:textId="77777777" w:rsidR="00AF0E76" w:rsidRDefault="00AF0E76">
      <w:pPr>
        <w:pBdr>
          <w:top w:val="nil"/>
          <w:left w:val="nil"/>
          <w:bottom w:val="nil"/>
          <w:right w:val="nil"/>
          <w:between w:val="nil"/>
        </w:pBdr>
        <w:rPr>
          <w:color w:val="000000"/>
          <w:sz w:val="20"/>
          <w:szCs w:val="20"/>
        </w:rPr>
      </w:pPr>
    </w:p>
    <w:p w14:paraId="664355AD" w14:textId="77777777" w:rsidR="00AF0E76" w:rsidRDefault="00AF0E76">
      <w:pPr>
        <w:pBdr>
          <w:top w:val="nil"/>
          <w:left w:val="nil"/>
          <w:bottom w:val="nil"/>
          <w:right w:val="nil"/>
          <w:between w:val="nil"/>
        </w:pBdr>
        <w:rPr>
          <w:color w:val="000000"/>
          <w:sz w:val="20"/>
          <w:szCs w:val="20"/>
        </w:rPr>
      </w:pPr>
    </w:p>
    <w:p w14:paraId="1A965116" w14:textId="77777777" w:rsidR="00AF0E76" w:rsidRDefault="00AF0E76">
      <w:pPr>
        <w:pBdr>
          <w:top w:val="nil"/>
          <w:left w:val="nil"/>
          <w:bottom w:val="nil"/>
          <w:right w:val="nil"/>
          <w:between w:val="nil"/>
        </w:pBdr>
        <w:rPr>
          <w:color w:val="000000"/>
          <w:sz w:val="20"/>
          <w:szCs w:val="20"/>
        </w:rPr>
      </w:pPr>
    </w:p>
    <w:p w14:paraId="7DF4E37C" w14:textId="77777777" w:rsidR="00AF0E76" w:rsidRDefault="00AF0E76">
      <w:pPr>
        <w:pBdr>
          <w:top w:val="nil"/>
          <w:left w:val="nil"/>
          <w:bottom w:val="nil"/>
          <w:right w:val="nil"/>
          <w:between w:val="nil"/>
        </w:pBdr>
        <w:rPr>
          <w:color w:val="000000"/>
          <w:sz w:val="20"/>
          <w:szCs w:val="20"/>
        </w:rPr>
      </w:pPr>
    </w:p>
    <w:p w14:paraId="44FB30F8" w14:textId="77777777" w:rsidR="00AF0E76" w:rsidRDefault="00AF0E76">
      <w:pPr>
        <w:pBdr>
          <w:top w:val="nil"/>
          <w:left w:val="nil"/>
          <w:bottom w:val="nil"/>
          <w:right w:val="nil"/>
          <w:between w:val="nil"/>
        </w:pBdr>
        <w:rPr>
          <w:color w:val="000000"/>
          <w:sz w:val="20"/>
          <w:szCs w:val="20"/>
        </w:rPr>
      </w:pPr>
    </w:p>
    <w:p w14:paraId="1DA6542E" w14:textId="77777777" w:rsidR="00AF0E76" w:rsidRDefault="00AF0E76">
      <w:pPr>
        <w:pBdr>
          <w:top w:val="nil"/>
          <w:left w:val="nil"/>
          <w:bottom w:val="nil"/>
          <w:right w:val="nil"/>
          <w:between w:val="nil"/>
        </w:pBdr>
        <w:rPr>
          <w:color w:val="000000"/>
          <w:sz w:val="20"/>
          <w:szCs w:val="20"/>
        </w:rPr>
      </w:pPr>
    </w:p>
    <w:p w14:paraId="3041E394" w14:textId="77777777" w:rsidR="00AF0E76" w:rsidRDefault="00AF0E76">
      <w:pPr>
        <w:pBdr>
          <w:top w:val="nil"/>
          <w:left w:val="nil"/>
          <w:bottom w:val="nil"/>
          <w:right w:val="nil"/>
          <w:between w:val="nil"/>
        </w:pBdr>
        <w:rPr>
          <w:color w:val="000000"/>
          <w:sz w:val="20"/>
          <w:szCs w:val="20"/>
        </w:rPr>
      </w:pPr>
    </w:p>
    <w:p w14:paraId="722B00AE" w14:textId="77777777" w:rsidR="00AF0E76" w:rsidRDefault="00AF0E76">
      <w:pPr>
        <w:pBdr>
          <w:top w:val="nil"/>
          <w:left w:val="nil"/>
          <w:bottom w:val="nil"/>
          <w:right w:val="nil"/>
          <w:between w:val="nil"/>
        </w:pBdr>
        <w:rPr>
          <w:color w:val="000000"/>
          <w:sz w:val="20"/>
          <w:szCs w:val="20"/>
        </w:rPr>
      </w:pPr>
    </w:p>
    <w:p w14:paraId="42C6D796" w14:textId="77777777" w:rsidR="00AF0E76" w:rsidRDefault="00AF0E76">
      <w:pPr>
        <w:pBdr>
          <w:top w:val="nil"/>
          <w:left w:val="nil"/>
          <w:bottom w:val="nil"/>
          <w:right w:val="nil"/>
          <w:between w:val="nil"/>
        </w:pBdr>
        <w:spacing w:before="9"/>
        <w:rPr>
          <w:color w:val="000000"/>
          <w:sz w:val="27"/>
          <w:szCs w:val="27"/>
        </w:rPr>
      </w:pPr>
    </w:p>
    <w:p w14:paraId="6E7B2296" w14:textId="00FE0989" w:rsidR="00AF0E76" w:rsidRDefault="7D535926" w:rsidP="7D535926">
      <w:pPr>
        <w:spacing w:before="93" w:line="249" w:lineRule="auto"/>
        <w:ind w:left="2790" w:right="2236" w:hanging="1215"/>
        <w:jc w:val="both"/>
        <w:rPr>
          <w:sz w:val="20"/>
          <w:szCs w:val="20"/>
        </w:rPr>
      </w:pPr>
      <w:r w:rsidRPr="7D535926">
        <w:rPr>
          <w:sz w:val="20"/>
          <w:szCs w:val="20"/>
        </w:rPr>
        <w:t>Dados Internacionais de Catalogação na Publicação (Biblioteca da UniFacisa)</w:t>
      </w:r>
    </w:p>
    <w:p w14:paraId="6E1831B3" w14:textId="77777777" w:rsidR="00AF0E76" w:rsidRDefault="00AF0E76">
      <w:pPr>
        <w:pBdr>
          <w:top w:val="nil"/>
          <w:left w:val="nil"/>
          <w:bottom w:val="nil"/>
          <w:right w:val="nil"/>
          <w:between w:val="nil"/>
        </w:pBdr>
        <w:spacing w:before="1"/>
        <w:rPr>
          <w:color w:val="000000"/>
          <w:sz w:val="21"/>
          <w:szCs w:val="21"/>
        </w:rPr>
      </w:pPr>
    </w:p>
    <w:p w14:paraId="59493DC5" w14:textId="77777777" w:rsidR="00AF0E76" w:rsidRDefault="00F456ED">
      <w:pPr>
        <w:spacing w:before="1"/>
        <w:ind w:left="685"/>
        <w:rPr>
          <w:sz w:val="20"/>
          <w:szCs w:val="20"/>
        </w:rPr>
      </w:pPr>
      <w:r>
        <w:rPr>
          <w:sz w:val="20"/>
          <w:szCs w:val="20"/>
        </w:rPr>
        <w:t>XXXXX</w:t>
      </w:r>
    </w:p>
    <w:p w14:paraId="0373C5C9" w14:textId="77777777" w:rsidR="00AF0E76" w:rsidRDefault="00F456ED">
      <w:pPr>
        <w:spacing w:before="2"/>
        <w:ind w:left="970"/>
        <w:rPr>
          <w:sz w:val="20"/>
          <w:szCs w:val="20"/>
        </w:rPr>
      </w:pPr>
      <w:r>
        <w:rPr>
          <w:sz w:val="20"/>
          <w:szCs w:val="20"/>
        </w:rPr>
        <w:t>Menezes, Eduardo.</w:t>
      </w:r>
    </w:p>
    <w:p w14:paraId="537DA3F6" w14:textId="77777777" w:rsidR="00AF0E76" w:rsidRDefault="00F456ED">
      <w:pPr>
        <w:spacing w:before="8" w:line="249" w:lineRule="auto"/>
        <w:ind w:left="970" w:right="395" w:firstLine="285"/>
        <w:rPr>
          <w:sz w:val="20"/>
          <w:szCs w:val="20"/>
        </w:rPr>
      </w:pPr>
      <w:r>
        <w:rPr>
          <w:sz w:val="20"/>
          <w:szCs w:val="20"/>
        </w:rPr>
        <w:t>A (IM)POSSIBILIDADE DE IMPLEMENTAÇÃO DE COMITÊS DE RESOLUÇÃO DE CONFLITOS (</w:t>
      </w:r>
      <w:r>
        <w:rPr>
          <w:i/>
          <w:sz w:val="20"/>
          <w:szCs w:val="20"/>
        </w:rPr>
        <w:t>DISPUTE BOARD</w:t>
      </w:r>
      <w:r>
        <w:rPr>
          <w:sz w:val="20"/>
          <w:szCs w:val="20"/>
        </w:rPr>
        <w:t>) NO ESTADO DA PARAÍBA</w:t>
      </w:r>
    </w:p>
    <w:p w14:paraId="7204701F" w14:textId="77777777" w:rsidR="00AF0E76" w:rsidRDefault="00F456ED">
      <w:pPr>
        <w:spacing w:before="1"/>
        <w:ind w:left="1255"/>
        <w:rPr>
          <w:sz w:val="20"/>
          <w:szCs w:val="20"/>
        </w:rPr>
      </w:pPr>
      <w:r>
        <w:rPr>
          <w:sz w:val="20"/>
          <w:szCs w:val="20"/>
        </w:rPr>
        <w:t>/ Eduardo Barbosa Sobral Menezes. – Campina Grande-PB, 2023.</w:t>
      </w:r>
    </w:p>
    <w:p w14:paraId="54E11D2A" w14:textId="77777777" w:rsidR="00AF0E76" w:rsidRDefault="00AF0E76">
      <w:pPr>
        <w:pBdr>
          <w:top w:val="nil"/>
          <w:left w:val="nil"/>
          <w:bottom w:val="nil"/>
          <w:right w:val="nil"/>
          <w:between w:val="nil"/>
        </w:pBdr>
        <w:spacing w:before="9"/>
        <w:rPr>
          <w:color w:val="000000"/>
          <w:sz w:val="21"/>
          <w:szCs w:val="21"/>
        </w:rPr>
      </w:pPr>
    </w:p>
    <w:p w14:paraId="3A016C1F" w14:textId="77777777" w:rsidR="00AF0E76" w:rsidRDefault="00F456ED">
      <w:pPr>
        <w:spacing w:line="249" w:lineRule="auto"/>
        <w:ind w:left="970" w:right="395" w:firstLine="285"/>
        <w:rPr>
          <w:sz w:val="20"/>
          <w:szCs w:val="20"/>
        </w:rPr>
      </w:pPr>
      <w:r>
        <w:rPr>
          <w:sz w:val="20"/>
          <w:szCs w:val="20"/>
        </w:rPr>
        <w:t>Originalmente apresentada como Artigo Científico de bacharelado em Direito do autor (bacharel – UniFacisa – Centro Universitário, 2023).</w:t>
      </w:r>
    </w:p>
    <w:p w14:paraId="3F415857" w14:textId="77777777" w:rsidR="00AF0E76" w:rsidRDefault="00F456ED">
      <w:pPr>
        <w:spacing w:before="2"/>
        <w:ind w:left="1255"/>
        <w:rPr>
          <w:sz w:val="20"/>
          <w:szCs w:val="20"/>
        </w:rPr>
      </w:pPr>
      <w:r>
        <w:rPr>
          <w:sz w:val="20"/>
          <w:szCs w:val="20"/>
        </w:rPr>
        <w:t>Referências.</w:t>
      </w:r>
    </w:p>
    <w:p w14:paraId="31126E5D" w14:textId="77777777" w:rsidR="00AF0E76" w:rsidRDefault="00AF0E76">
      <w:pPr>
        <w:pBdr>
          <w:top w:val="nil"/>
          <w:left w:val="nil"/>
          <w:bottom w:val="nil"/>
          <w:right w:val="nil"/>
          <w:between w:val="nil"/>
        </w:pBdr>
        <w:spacing w:before="7"/>
        <w:rPr>
          <w:color w:val="000000"/>
          <w:sz w:val="21"/>
          <w:szCs w:val="21"/>
        </w:rPr>
      </w:pPr>
    </w:p>
    <w:p w14:paraId="59DBA4E7" w14:textId="289FAC68" w:rsidR="00AF0E76" w:rsidRDefault="7D535926" w:rsidP="7D535926">
      <w:pPr>
        <w:pStyle w:val="PargrafodaLista"/>
        <w:numPr>
          <w:ilvl w:val="1"/>
          <w:numId w:val="1"/>
        </w:numPr>
        <w:tabs>
          <w:tab w:val="left" w:pos="1689"/>
        </w:tabs>
        <w:spacing w:line="249" w:lineRule="auto"/>
        <w:ind w:right="1084"/>
        <w:rPr>
          <w:sz w:val="20"/>
          <w:szCs w:val="20"/>
        </w:rPr>
      </w:pPr>
      <w:r w:rsidRPr="7D535926">
        <w:rPr>
          <w:sz w:val="20"/>
          <w:szCs w:val="20"/>
        </w:rPr>
        <w:t>Comitê de Resolução de Disputas. 2. Mediação. 3. Direito administrativo I. A (Im)possibilidade de Implementação de Comitês de Resolução de Conflitos (Dispute Board) no Estado da Paraíba.</w:t>
      </w:r>
    </w:p>
    <w:p w14:paraId="2DE403A5" w14:textId="77777777" w:rsidR="00AF0E76" w:rsidRDefault="00AF0E76">
      <w:pPr>
        <w:pBdr>
          <w:top w:val="nil"/>
          <w:left w:val="nil"/>
          <w:bottom w:val="nil"/>
          <w:right w:val="nil"/>
          <w:between w:val="nil"/>
        </w:pBdr>
        <w:spacing w:before="1"/>
        <w:rPr>
          <w:color w:val="000000"/>
          <w:sz w:val="21"/>
          <w:szCs w:val="21"/>
        </w:rPr>
      </w:pPr>
    </w:p>
    <w:p w14:paraId="799DBB98" w14:textId="77777777" w:rsidR="00AF0E76" w:rsidRDefault="00F456ED">
      <w:pPr>
        <w:ind w:right="882"/>
        <w:jc w:val="right"/>
        <w:rPr>
          <w:sz w:val="20"/>
          <w:szCs w:val="20"/>
        </w:rPr>
      </w:pPr>
      <w:r>
        <w:rPr>
          <w:sz w:val="20"/>
          <w:szCs w:val="20"/>
        </w:rPr>
        <w:t>CDU-XXXX(XXX)(XXX)</w:t>
      </w:r>
    </w:p>
    <w:p w14:paraId="2B9E795D" w14:textId="77777777" w:rsidR="00AF0E76" w:rsidRDefault="00F456ED">
      <w:pPr>
        <w:pBdr>
          <w:top w:val="nil"/>
          <w:left w:val="nil"/>
          <w:bottom w:val="nil"/>
          <w:right w:val="nil"/>
          <w:between w:val="nil"/>
        </w:pBdr>
        <w:rPr>
          <w:color w:val="000000"/>
          <w:sz w:val="14"/>
          <w:szCs w:val="14"/>
        </w:rPr>
      </w:pPr>
      <w:r>
        <w:rPr>
          <w:noProof/>
        </w:rPr>
        <mc:AlternateContent>
          <mc:Choice Requires="wps">
            <w:drawing>
              <wp:anchor distT="0" distB="0" distL="114300" distR="114300" simplePos="0" relativeHeight="251658240" behindDoc="0" locked="0" layoutInCell="1" hidden="0" allowOverlap="1" wp14:anchorId="1D9F1896" wp14:editId="07777777">
                <wp:simplePos x="0" y="0"/>
                <wp:positionH relativeFrom="column">
                  <wp:posOffset>510540</wp:posOffset>
                </wp:positionH>
                <wp:positionV relativeFrom="paragraph">
                  <wp:posOffset>132715</wp:posOffset>
                </wp:positionV>
                <wp:extent cx="5229225" cy="1270"/>
                <wp:effectExtent l="9525" t="7620" r="9525" b="10160"/>
                <wp:wrapTopAndBottom distT="0" distB="0"/>
                <wp:docPr id="1"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9225" cy="1270"/>
                        </a:xfrm>
                        <a:custGeom>
                          <a:avLst/>
                          <a:gdLst>
                            <a:gd name="T0" fmla="+- 0 2505 2505"/>
                            <a:gd name="T1" fmla="*/ T0 w 8235"/>
                            <a:gd name="T2" fmla="+- 0 10740 2505"/>
                            <a:gd name="T3" fmla="*/ T2 w 8235"/>
                          </a:gdLst>
                          <a:ahLst/>
                          <a:cxnLst>
                            <a:cxn ang="0">
                              <a:pos x="T1" y="0"/>
                            </a:cxn>
                            <a:cxn ang="0">
                              <a:pos x="T3" y="0"/>
                            </a:cxn>
                          </a:cxnLst>
                          <a:rect l="0" t="0" r="r" b="b"/>
                          <a:pathLst>
                            <a:path w="8235">
                              <a:moveTo>
                                <a:pt x="0" y="0"/>
                              </a:moveTo>
                              <a:lnTo>
                                <a:pt x="8235" y="0"/>
                              </a:lnTo>
                            </a:path>
                          </a:pathLst>
                        </a:custGeom>
                        <a:no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w:drawing>
              <wp:anchor xmlns:wp14="http://schemas.microsoft.com/office/word/2010/wordprocessingDrawing" distT="0" distB="0" distL="114300" distR="114300" simplePos="0" relativeHeight="0" behindDoc="0" locked="0" layoutInCell="1" hidden="0" allowOverlap="1" wp14:anchorId="5A9A7D6D" wp14:editId="7777777">
                <wp:simplePos x="0" y="0"/>
                <wp:positionH relativeFrom="column">
                  <wp:posOffset>510540</wp:posOffset>
                </wp:positionH>
                <wp:positionV relativeFrom="paragraph">
                  <wp:posOffset>132715</wp:posOffset>
                </wp:positionV>
                <wp:extent cx="5248275" cy="19050"/>
                <wp:effectExtent l="0" t="0" r="0" b="0"/>
                <wp:wrapTopAndBottom distT="0" distB="0"/>
                <wp:docPr id="1360220630" name="image1.png"/>
                <a:graphic>
                  <a:graphicData uri="http://schemas.openxmlformats.org/drawingml/2006/picture">
                    <pic:pic>
                      <pic:nvPicPr>
                        <pic:cNvPr id="0" name="image1.png"/>
                        <pic:cNvPicPr preferRelativeResize="0"/>
                      </pic:nvPicPr>
                      <pic:blipFill>
                        <a:blip r:embed="rId11"/>
                        <a:srcRect l="0" t="0" r="0" b="0"/>
                        <a:stretch>
                          <a:fillRect/>
                        </a:stretch>
                      </pic:blipFill>
                      <pic:spPr>
                        <a:xfrm>
                          <a:off x="0" y="0"/>
                          <a:ext cx="5248275" cy="19050"/>
                        </a:xfrm>
                        <a:prstGeom prst="rect"/>
                        <a:ln/>
                      </pic:spPr>
                    </pic:pic>
                  </a:graphicData>
                </a:graphic>
              </wp:anchor>
            </w:drawing>
          </mc:Fallback>
        </mc:AlternateContent>
      </w:r>
    </w:p>
    <w:p w14:paraId="78009777" w14:textId="77777777" w:rsidR="00AF0E76" w:rsidRDefault="00F456ED">
      <w:pPr>
        <w:spacing w:before="34"/>
        <w:ind w:left="820"/>
        <w:rPr>
          <w:sz w:val="20"/>
          <w:szCs w:val="20"/>
        </w:rPr>
        <w:sectPr w:rsidR="00AF0E76" w:rsidSect="00A175B8">
          <w:headerReference w:type="default" r:id="rId12"/>
          <w:footerReference w:type="default" r:id="rId13"/>
          <w:pgSz w:w="11920" w:h="16840"/>
          <w:pgMar w:top="1701" w:right="1134" w:bottom="1134" w:left="1701" w:header="720" w:footer="720" w:gutter="0"/>
          <w:cols w:space="720"/>
          <w:docGrid w:linePitch="299"/>
        </w:sectPr>
      </w:pPr>
      <w:r>
        <w:rPr>
          <w:sz w:val="20"/>
          <w:szCs w:val="20"/>
        </w:rPr>
        <w:t>Elaborado pela Bibliotecária Rosa Núbia de Lima Matias CRB 15/568 Catalogação na fonte</w:t>
      </w:r>
    </w:p>
    <w:p w14:paraId="62431CDC" w14:textId="77777777" w:rsidR="00AF0E76" w:rsidRDefault="00AF0E76">
      <w:pPr>
        <w:pBdr>
          <w:top w:val="nil"/>
          <w:left w:val="nil"/>
          <w:bottom w:val="nil"/>
          <w:right w:val="nil"/>
          <w:between w:val="nil"/>
        </w:pBdr>
        <w:rPr>
          <w:color w:val="000000"/>
          <w:sz w:val="20"/>
          <w:szCs w:val="20"/>
        </w:rPr>
      </w:pPr>
    </w:p>
    <w:p w14:paraId="49E398E2" w14:textId="77777777" w:rsidR="00AF0E76" w:rsidRDefault="00AF0E76">
      <w:pPr>
        <w:pBdr>
          <w:top w:val="nil"/>
          <w:left w:val="nil"/>
          <w:bottom w:val="nil"/>
          <w:right w:val="nil"/>
          <w:between w:val="nil"/>
        </w:pBdr>
        <w:rPr>
          <w:color w:val="000000"/>
          <w:sz w:val="20"/>
          <w:szCs w:val="20"/>
        </w:rPr>
      </w:pPr>
    </w:p>
    <w:p w14:paraId="16287F21" w14:textId="77777777" w:rsidR="00AF0E76" w:rsidRDefault="00AF0E76">
      <w:pPr>
        <w:pBdr>
          <w:top w:val="nil"/>
          <w:left w:val="nil"/>
          <w:bottom w:val="nil"/>
          <w:right w:val="nil"/>
          <w:between w:val="nil"/>
        </w:pBdr>
        <w:rPr>
          <w:color w:val="000000"/>
          <w:sz w:val="20"/>
          <w:szCs w:val="20"/>
        </w:rPr>
      </w:pPr>
    </w:p>
    <w:p w14:paraId="5BE93A62" w14:textId="77777777" w:rsidR="00AF0E76" w:rsidRDefault="00AF0E76">
      <w:pPr>
        <w:pBdr>
          <w:top w:val="nil"/>
          <w:left w:val="nil"/>
          <w:bottom w:val="nil"/>
          <w:right w:val="nil"/>
          <w:between w:val="nil"/>
        </w:pBdr>
        <w:rPr>
          <w:color w:val="000000"/>
          <w:sz w:val="20"/>
          <w:szCs w:val="20"/>
        </w:rPr>
      </w:pPr>
    </w:p>
    <w:p w14:paraId="384BA73E" w14:textId="77777777" w:rsidR="00AF0E76" w:rsidRDefault="00AF0E76">
      <w:pPr>
        <w:pBdr>
          <w:top w:val="nil"/>
          <w:left w:val="nil"/>
          <w:bottom w:val="nil"/>
          <w:right w:val="nil"/>
          <w:between w:val="nil"/>
        </w:pBdr>
        <w:rPr>
          <w:color w:val="000000"/>
          <w:sz w:val="20"/>
          <w:szCs w:val="20"/>
        </w:rPr>
      </w:pPr>
    </w:p>
    <w:p w14:paraId="34B3F2EB" w14:textId="77777777" w:rsidR="00AF0E76" w:rsidRDefault="00AF0E76">
      <w:pPr>
        <w:pBdr>
          <w:top w:val="nil"/>
          <w:left w:val="nil"/>
          <w:bottom w:val="nil"/>
          <w:right w:val="nil"/>
          <w:between w:val="nil"/>
        </w:pBdr>
        <w:rPr>
          <w:color w:val="000000"/>
          <w:sz w:val="20"/>
          <w:szCs w:val="20"/>
        </w:rPr>
      </w:pPr>
    </w:p>
    <w:p w14:paraId="7D34F5C7" w14:textId="77777777" w:rsidR="00AF0E76" w:rsidRDefault="00AF0E76">
      <w:pPr>
        <w:pBdr>
          <w:top w:val="nil"/>
          <w:left w:val="nil"/>
          <w:bottom w:val="nil"/>
          <w:right w:val="nil"/>
          <w:between w:val="nil"/>
        </w:pBdr>
        <w:rPr>
          <w:color w:val="000000"/>
          <w:sz w:val="20"/>
          <w:szCs w:val="20"/>
        </w:rPr>
      </w:pPr>
    </w:p>
    <w:p w14:paraId="0B4020A7" w14:textId="77777777" w:rsidR="00AF0E76" w:rsidRDefault="00AF0E76">
      <w:pPr>
        <w:pBdr>
          <w:top w:val="nil"/>
          <w:left w:val="nil"/>
          <w:bottom w:val="nil"/>
          <w:right w:val="nil"/>
          <w:between w:val="nil"/>
        </w:pBdr>
        <w:rPr>
          <w:color w:val="000000"/>
          <w:sz w:val="20"/>
          <w:szCs w:val="20"/>
        </w:rPr>
      </w:pPr>
    </w:p>
    <w:p w14:paraId="1D7B270A" w14:textId="77777777" w:rsidR="00AF0E76" w:rsidRDefault="00AF0E76">
      <w:pPr>
        <w:pBdr>
          <w:top w:val="nil"/>
          <w:left w:val="nil"/>
          <w:bottom w:val="nil"/>
          <w:right w:val="nil"/>
          <w:between w:val="nil"/>
        </w:pBdr>
        <w:rPr>
          <w:color w:val="000000"/>
          <w:sz w:val="20"/>
          <w:szCs w:val="20"/>
        </w:rPr>
      </w:pPr>
    </w:p>
    <w:p w14:paraId="4F904CB7" w14:textId="77777777" w:rsidR="00AF0E76" w:rsidRDefault="00AF0E76">
      <w:pPr>
        <w:pBdr>
          <w:top w:val="nil"/>
          <w:left w:val="nil"/>
          <w:bottom w:val="nil"/>
          <w:right w:val="nil"/>
          <w:between w:val="nil"/>
        </w:pBdr>
        <w:rPr>
          <w:color w:val="000000"/>
          <w:sz w:val="20"/>
          <w:szCs w:val="20"/>
        </w:rPr>
      </w:pPr>
    </w:p>
    <w:p w14:paraId="06971CD3" w14:textId="77777777" w:rsidR="00AF0E76" w:rsidRDefault="00AF0E76">
      <w:pPr>
        <w:pBdr>
          <w:top w:val="nil"/>
          <w:left w:val="nil"/>
          <w:bottom w:val="nil"/>
          <w:right w:val="nil"/>
          <w:between w:val="nil"/>
        </w:pBdr>
        <w:rPr>
          <w:color w:val="000000"/>
          <w:sz w:val="20"/>
          <w:szCs w:val="20"/>
        </w:rPr>
      </w:pPr>
    </w:p>
    <w:p w14:paraId="2A1F701D" w14:textId="77777777" w:rsidR="00AF0E76" w:rsidRDefault="00AF0E76">
      <w:pPr>
        <w:pBdr>
          <w:top w:val="nil"/>
          <w:left w:val="nil"/>
          <w:bottom w:val="nil"/>
          <w:right w:val="nil"/>
          <w:between w:val="nil"/>
        </w:pBdr>
        <w:rPr>
          <w:color w:val="000000"/>
          <w:sz w:val="20"/>
          <w:szCs w:val="20"/>
        </w:rPr>
      </w:pPr>
    </w:p>
    <w:p w14:paraId="03EFCA41" w14:textId="77777777" w:rsidR="00AF0E76" w:rsidRDefault="00AF0E76">
      <w:pPr>
        <w:pBdr>
          <w:top w:val="nil"/>
          <w:left w:val="nil"/>
          <w:bottom w:val="nil"/>
          <w:right w:val="nil"/>
          <w:between w:val="nil"/>
        </w:pBdr>
        <w:rPr>
          <w:color w:val="000000"/>
          <w:sz w:val="20"/>
          <w:szCs w:val="20"/>
        </w:rPr>
      </w:pPr>
    </w:p>
    <w:p w14:paraId="5F96A722" w14:textId="77777777" w:rsidR="00AF0E76" w:rsidRDefault="00AF0E76">
      <w:pPr>
        <w:pBdr>
          <w:top w:val="nil"/>
          <w:left w:val="nil"/>
          <w:bottom w:val="nil"/>
          <w:right w:val="nil"/>
          <w:between w:val="nil"/>
        </w:pBdr>
        <w:rPr>
          <w:color w:val="000000"/>
          <w:sz w:val="20"/>
          <w:szCs w:val="20"/>
        </w:rPr>
      </w:pPr>
    </w:p>
    <w:p w14:paraId="5B95CD12" w14:textId="77777777" w:rsidR="00AF0E76" w:rsidRDefault="00AF0E76">
      <w:pPr>
        <w:pBdr>
          <w:top w:val="nil"/>
          <w:left w:val="nil"/>
          <w:bottom w:val="nil"/>
          <w:right w:val="nil"/>
          <w:between w:val="nil"/>
        </w:pBdr>
        <w:spacing w:before="2"/>
        <w:rPr>
          <w:color w:val="000000"/>
          <w:sz w:val="19"/>
          <w:szCs w:val="19"/>
        </w:rPr>
      </w:pPr>
    </w:p>
    <w:p w14:paraId="62D9A496" w14:textId="56DACAF2" w:rsidR="00AF0E76" w:rsidRDefault="7E7B5994" w:rsidP="7E7B5994">
      <w:pPr>
        <w:pBdr>
          <w:top w:val="nil"/>
          <w:left w:val="nil"/>
          <w:bottom w:val="nil"/>
          <w:right w:val="nil"/>
          <w:between w:val="nil"/>
        </w:pBdr>
        <w:spacing w:before="92" w:line="249" w:lineRule="auto"/>
        <w:ind w:left="4660" w:right="599"/>
        <w:jc w:val="both"/>
        <w:rPr>
          <w:color w:val="000000" w:themeColor="text1"/>
          <w:sz w:val="24"/>
          <w:szCs w:val="24"/>
        </w:rPr>
      </w:pPr>
      <w:r w:rsidRPr="7E7B5994">
        <w:rPr>
          <w:color w:val="000000" w:themeColor="text1"/>
          <w:sz w:val="24"/>
          <w:szCs w:val="24"/>
        </w:rPr>
        <w:t>Trabalho de Conclusão de Curso - Artigo Científico – Título do artigo, apresentado por Eduardo Barbosa Sobral Menezes como parte dos requisitos para obtenção do título de Bacharel em Direito, outorgado pela UniFacisa – Centro Universitário.</w:t>
      </w:r>
    </w:p>
    <w:p w14:paraId="15F0E5A9" w14:textId="6B91EB01" w:rsidR="00AF0E76" w:rsidRDefault="00AF0E76" w:rsidP="4FC701EA">
      <w:pPr>
        <w:pBdr>
          <w:top w:val="nil"/>
          <w:left w:val="nil"/>
          <w:bottom w:val="nil"/>
          <w:right w:val="nil"/>
          <w:between w:val="nil"/>
        </w:pBdr>
        <w:spacing w:before="92" w:line="249" w:lineRule="auto"/>
        <w:ind w:left="2160" w:right="599"/>
        <w:jc w:val="both"/>
        <w:rPr>
          <w:color w:val="000000" w:themeColor="text1"/>
          <w:sz w:val="24"/>
          <w:szCs w:val="24"/>
        </w:rPr>
      </w:pPr>
    </w:p>
    <w:p w14:paraId="2F61F643" w14:textId="3ED923F3" w:rsidR="00AF0E76" w:rsidRDefault="00AF0E76" w:rsidP="4FC701EA">
      <w:pPr>
        <w:pBdr>
          <w:top w:val="nil"/>
          <w:left w:val="nil"/>
          <w:bottom w:val="nil"/>
          <w:right w:val="nil"/>
          <w:between w:val="nil"/>
        </w:pBdr>
        <w:spacing w:before="92" w:line="249" w:lineRule="auto"/>
        <w:ind w:left="3600" w:right="599"/>
        <w:jc w:val="both"/>
        <w:rPr>
          <w:color w:val="000000" w:themeColor="text1"/>
          <w:sz w:val="24"/>
          <w:szCs w:val="24"/>
        </w:rPr>
      </w:pPr>
    </w:p>
    <w:p w14:paraId="6B12A86C" w14:textId="4D1C2DB3" w:rsidR="00AF0E76" w:rsidRDefault="4FC701EA" w:rsidP="4FC701EA">
      <w:pPr>
        <w:pBdr>
          <w:top w:val="nil"/>
          <w:left w:val="nil"/>
          <w:bottom w:val="nil"/>
          <w:right w:val="nil"/>
          <w:between w:val="nil"/>
        </w:pBdr>
        <w:spacing w:before="92" w:line="249" w:lineRule="auto"/>
        <w:ind w:left="4680" w:right="599"/>
        <w:rPr>
          <w:color w:val="000000"/>
          <w:sz w:val="24"/>
          <w:szCs w:val="24"/>
        </w:rPr>
      </w:pPr>
      <w:r w:rsidRPr="4FC701EA">
        <w:rPr>
          <w:color w:val="000000" w:themeColor="text1"/>
          <w:sz w:val="24"/>
          <w:szCs w:val="24"/>
        </w:rPr>
        <w:t>APROVADO EM __/__/__</w:t>
      </w:r>
    </w:p>
    <w:p w14:paraId="6D9C8D39" w14:textId="77777777" w:rsidR="00AF0E76" w:rsidRDefault="00AF0E76" w:rsidP="7E7B5994">
      <w:pPr>
        <w:pBdr>
          <w:top w:val="nil"/>
          <w:left w:val="nil"/>
          <w:bottom w:val="nil"/>
          <w:right w:val="nil"/>
          <w:between w:val="nil"/>
        </w:pBdr>
        <w:tabs>
          <w:tab w:val="left" w:pos="7374"/>
          <w:tab w:val="left" w:pos="8239"/>
          <w:tab w:val="left" w:pos="9236"/>
        </w:tabs>
        <w:spacing w:line="496" w:lineRule="auto"/>
        <w:ind w:right="5541"/>
        <w:jc w:val="right"/>
        <w:rPr>
          <w:color w:val="000000"/>
          <w:sz w:val="24"/>
          <w:szCs w:val="24"/>
          <w:u w:val="single"/>
        </w:rPr>
      </w:pPr>
    </w:p>
    <w:p w14:paraId="08C871DD" w14:textId="77777777" w:rsidR="00AF0E76" w:rsidRDefault="4FC701EA" w:rsidP="4FC701EA">
      <w:pPr>
        <w:pBdr>
          <w:top w:val="nil"/>
          <w:left w:val="nil"/>
          <w:bottom w:val="nil"/>
          <w:right w:val="nil"/>
          <w:between w:val="nil"/>
        </w:pBdr>
        <w:tabs>
          <w:tab w:val="left" w:pos="7374"/>
          <w:tab w:val="left" w:pos="8239"/>
          <w:tab w:val="left" w:pos="9236"/>
        </w:tabs>
        <w:spacing w:line="496" w:lineRule="auto"/>
        <w:ind w:left="4320" w:right="13"/>
        <w:jc w:val="right"/>
        <w:rPr>
          <w:color w:val="000000"/>
          <w:sz w:val="24"/>
          <w:szCs w:val="24"/>
        </w:rPr>
      </w:pPr>
      <w:r w:rsidRPr="4FC701EA">
        <w:rPr>
          <w:color w:val="000000" w:themeColor="text1"/>
          <w:sz w:val="24"/>
          <w:szCs w:val="24"/>
        </w:rPr>
        <w:t>BANCA EXAMINADORA:</w:t>
      </w:r>
    </w:p>
    <w:p w14:paraId="62F626C0" w14:textId="13C40180" w:rsidR="7E7B5994" w:rsidRDefault="7E7B5994" w:rsidP="4FC701EA">
      <w:pPr>
        <w:pBdr>
          <w:top w:val="nil"/>
          <w:left w:val="nil"/>
          <w:bottom w:val="nil"/>
          <w:right w:val="nil"/>
          <w:between w:val="nil"/>
        </w:pBdr>
        <w:tabs>
          <w:tab w:val="left" w:pos="7374"/>
          <w:tab w:val="left" w:pos="8239"/>
          <w:tab w:val="left" w:pos="9236"/>
        </w:tabs>
        <w:spacing w:line="496" w:lineRule="auto"/>
        <w:ind w:left="4590" w:right="13"/>
        <w:jc w:val="right"/>
        <w:rPr>
          <w:color w:val="000000" w:themeColor="text1"/>
          <w:sz w:val="24"/>
          <w:szCs w:val="24"/>
        </w:rPr>
      </w:pPr>
    </w:p>
    <w:p w14:paraId="0B1FC386" w14:textId="56A40731" w:rsidR="00AF0E76" w:rsidRDefault="4FC701EA" w:rsidP="4FC701EA">
      <w:pPr>
        <w:pBdr>
          <w:top w:val="nil"/>
          <w:left w:val="nil"/>
          <w:bottom w:val="nil"/>
          <w:right w:val="nil"/>
          <w:between w:val="nil"/>
        </w:pBdr>
        <w:spacing w:before="2"/>
        <w:ind w:left="2430" w:right="13" w:firstLine="360"/>
        <w:jc w:val="right"/>
        <w:rPr>
          <w:color w:val="000000"/>
          <w:sz w:val="25"/>
          <w:szCs w:val="25"/>
        </w:rPr>
      </w:pPr>
      <w:r w:rsidRPr="4FC701EA">
        <w:rPr>
          <w:color w:val="000000" w:themeColor="text1"/>
          <w:sz w:val="25"/>
          <w:szCs w:val="25"/>
        </w:rPr>
        <w:t>________________________________________</w:t>
      </w:r>
    </w:p>
    <w:p w14:paraId="4E726805" w14:textId="27F36EC4" w:rsidR="7E7B5994" w:rsidRDefault="7E7B5994" w:rsidP="4FC701EA">
      <w:pPr>
        <w:pBdr>
          <w:top w:val="nil"/>
          <w:left w:val="nil"/>
          <w:bottom w:val="nil"/>
          <w:right w:val="nil"/>
          <w:between w:val="nil"/>
        </w:pBdr>
        <w:spacing w:before="2"/>
        <w:ind w:left="2430" w:right="13" w:firstLine="360"/>
        <w:jc w:val="right"/>
        <w:rPr>
          <w:color w:val="000000" w:themeColor="text1"/>
          <w:sz w:val="24"/>
          <w:szCs w:val="24"/>
        </w:rPr>
      </w:pPr>
    </w:p>
    <w:p w14:paraId="76B0EBB0" w14:textId="232BB747" w:rsidR="00AF0E76" w:rsidRDefault="4FC701EA" w:rsidP="4FC701EA">
      <w:pPr>
        <w:pBdr>
          <w:top w:val="nil"/>
          <w:left w:val="nil"/>
          <w:bottom w:val="nil"/>
          <w:right w:val="nil"/>
          <w:between w:val="nil"/>
        </w:pBdr>
        <w:spacing w:before="2"/>
        <w:ind w:left="4590" w:right="13"/>
        <w:jc w:val="right"/>
        <w:rPr>
          <w:color w:val="000000"/>
          <w:sz w:val="24"/>
          <w:szCs w:val="24"/>
        </w:rPr>
      </w:pPr>
      <w:r w:rsidRPr="4FC701EA">
        <w:rPr>
          <w:color w:val="000000" w:themeColor="text1"/>
          <w:sz w:val="24"/>
          <w:szCs w:val="24"/>
        </w:rPr>
        <w:t>Prof.º da UniFacisa, Nome Completo do Orientador, Titulação.</w:t>
      </w:r>
    </w:p>
    <w:p w14:paraId="11B847CF" w14:textId="77777777" w:rsidR="00AF0E76" w:rsidRDefault="4FC701EA" w:rsidP="4FC701EA">
      <w:pPr>
        <w:pBdr>
          <w:top w:val="nil"/>
          <w:left w:val="nil"/>
          <w:bottom w:val="nil"/>
          <w:right w:val="nil"/>
          <w:between w:val="nil"/>
        </w:pBdr>
        <w:spacing w:before="3"/>
        <w:ind w:left="4590" w:right="13"/>
        <w:jc w:val="right"/>
        <w:rPr>
          <w:color w:val="000000"/>
          <w:sz w:val="24"/>
          <w:szCs w:val="24"/>
        </w:rPr>
      </w:pPr>
      <w:r w:rsidRPr="4FC701EA">
        <w:rPr>
          <w:color w:val="000000" w:themeColor="text1"/>
          <w:sz w:val="24"/>
          <w:szCs w:val="24"/>
        </w:rPr>
        <w:t>Orientador</w:t>
      </w:r>
    </w:p>
    <w:p w14:paraId="2FC17F8B" w14:textId="556C324C" w:rsidR="00AF0E76" w:rsidRDefault="00AF0E76" w:rsidP="4FC701EA">
      <w:pPr>
        <w:pBdr>
          <w:top w:val="nil"/>
          <w:left w:val="nil"/>
          <w:bottom w:val="nil"/>
          <w:right w:val="nil"/>
          <w:between w:val="nil"/>
        </w:pBdr>
        <w:spacing w:before="3"/>
        <w:ind w:left="4320" w:right="13"/>
        <w:jc w:val="right"/>
        <w:rPr>
          <w:color w:val="000000"/>
          <w:sz w:val="24"/>
          <w:szCs w:val="24"/>
        </w:rPr>
      </w:pPr>
    </w:p>
    <w:p w14:paraId="5911AC6C" w14:textId="3B8DB499" w:rsidR="00AF0E76" w:rsidRDefault="4FC701EA" w:rsidP="4FC701EA">
      <w:pPr>
        <w:pBdr>
          <w:top w:val="nil"/>
          <w:left w:val="nil"/>
          <w:bottom w:val="nil"/>
          <w:right w:val="nil"/>
          <w:between w:val="nil"/>
        </w:pBdr>
        <w:spacing w:before="3"/>
        <w:ind w:left="2790" w:right="13"/>
        <w:jc w:val="right"/>
        <w:rPr>
          <w:color w:val="000000"/>
          <w:sz w:val="24"/>
          <w:szCs w:val="24"/>
        </w:rPr>
      </w:pPr>
      <w:r w:rsidRPr="4FC701EA">
        <w:rPr>
          <w:color w:val="000000" w:themeColor="text1"/>
          <w:sz w:val="24"/>
          <w:szCs w:val="24"/>
        </w:rPr>
        <w:t>__________________________________________</w:t>
      </w:r>
    </w:p>
    <w:p w14:paraId="0A4F7224" w14:textId="77777777" w:rsidR="00AF0E76" w:rsidRDefault="00AF0E76" w:rsidP="4FC701EA">
      <w:pPr>
        <w:pBdr>
          <w:top w:val="nil"/>
          <w:left w:val="nil"/>
          <w:bottom w:val="nil"/>
          <w:right w:val="nil"/>
          <w:between w:val="nil"/>
        </w:pBdr>
        <w:ind w:left="4590" w:right="13"/>
        <w:jc w:val="right"/>
        <w:rPr>
          <w:color w:val="000000"/>
          <w:sz w:val="20"/>
          <w:szCs w:val="20"/>
        </w:rPr>
      </w:pPr>
    </w:p>
    <w:p w14:paraId="2322001E" w14:textId="77777777" w:rsidR="00AF0E76" w:rsidRDefault="4FC701EA" w:rsidP="4FC701EA">
      <w:pPr>
        <w:pBdr>
          <w:top w:val="nil"/>
          <w:left w:val="nil"/>
          <w:bottom w:val="nil"/>
          <w:right w:val="nil"/>
          <w:between w:val="nil"/>
        </w:pBdr>
        <w:ind w:left="4590" w:right="13"/>
        <w:jc w:val="right"/>
        <w:rPr>
          <w:color w:val="000000"/>
          <w:sz w:val="24"/>
          <w:szCs w:val="24"/>
        </w:rPr>
      </w:pPr>
      <w:r w:rsidRPr="4FC701EA">
        <w:rPr>
          <w:color w:val="000000" w:themeColor="text1"/>
          <w:sz w:val="24"/>
          <w:szCs w:val="24"/>
        </w:rPr>
        <w:t>Prof.º da UniFacisa, Nome Completo do Segundo Membro, Titulação.</w:t>
      </w:r>
    </w:p>
    <w:p w14:paraId="5AE48A43" w14:textId="7278B826" w:rsidR="00AF0E76" w:rsidRDefault="00AF0E76" w:rsidP="4FC701EA">
      <w:pPr>
        <w:pBdr>
          <w:top w:val="nil"/>
          <w:left w:val="nil"/>
          <w:bottom w:val="nil"/>
          <w:right w:val="nil"/>
          <w:between w:val="nil"/>
        </w:pBdr>
        <w:ind w:right="13"/>
        <w:jc w:val="right"/>
        <w:rPr>
          <w:color w:val="000000"/>
          <w:sz w:val="24"/>
          <w:szCs w:val="24"/>
        </w:rPr>
      </w:pPr>
    </w:p>
    <w:p w14:paraId="1627DF48" w14:textId="4FAC5D79" w:rsidR="00AF0E76" w:rsidRDefault="4FC701EA" w:rsidP="4FC701EA">
      <w:pPr>
        <w:pBdr>
          <w:top w:val="nil"/>
          <w:left w:val="nil"/>
          <w:bottom w:val="nil"/>
          <w:right w:val="nil"/>
          <w:between w:val="nil"/>
        </w:pBdr>
        <w:ind w:left="2790" w:right="13"/>
        <w:jc w:val="right"/>
        <w:rPr>
          <w:color w:val="000000"/>
          <w:sz w:val="24"/>
          <w:szCs w:val="24"/>
        </w:rPr>
      </w:pPr>
      <w:r w:rsidRPr="4FC701EA">
        <w:rPr>
          <w:color w:val="000000" w:themeColor="text1"/>
          <w:sz w:val="24"/>
          <w:szCs w:val="24"/>
        </w:rPr>
        <w:t>__________________________________________</w:t>
      </w:r>
    </w:p>
    <w:p w14:paraId="50F40DEB" w14:textId="77777777" w:rsidR="00AF0E76" w:rsidRDefault="00AF0E76" w:rsidP="4FC701EA">
      <w:pPr>
        <w:pBdr>
          <w:top w:val="nil"/>
          <w:left w:val="nil"/>
          <w:bottom w:val="nil"/>
          <w:right w:val="nil"/>
          <w:between w:val="nil"/>
        </w:pBdr>
        <w:ind w:left="2790" w:right="13"/>
        <w:jc w:val="right"/>
        <w:rPr>
          <w:color w:val="000000"/>
          <w:sz w:val="20"/>
          <w:szCs w:val="20"/>
        </w:rPr>
      </w:pPr>
    </w:p>
    <w:p w14:paraId="1C4CB0AD" w14:textId="733E111C" w:rsidR="00AF0E76" w:rsidRDefault="4FC701EA" w:rsidP="4FC701EA">
      <w:pPr>
        <w:pBdr>
          <w:top w:val="nil"/>
          <w:left w:val="nil"/>
          <w:bottom w:val="nil"/>
          <w:right w:val="nil"/>
          <w:between w:val="nil"/>
        </w:pBdr>
        <w:ind w:left="4590" w:right="13"/>
        <w:jc w:val="right"/>
        <w:rPr>
          <w:color w:val="000000"/>
          <w:sz w:val="24"/>
          <w:szCs w:val="24"/>
        </w:rPr>
        <w:sectPr w:rsidR="00AF0E76" w:rsidSect="00A175B8">
          <w:headerReference w:type="default" r:id="rId14"/>
          <w:footerReference w:type="default" r:id="rId15"/>
          <w:pgSz w:w="11920" w:h="16840"/>
          <w:pgMar w:top="1701" w:right="1134" w:bottom="1134" w:left="1701" w:header="720" w:footer="720" w:gutter="0"/>
          <w:cols w:space="720"/>
          <w:docGrid w:linePitch="299"/>
        </w:sectPr>
      </w:pPr>
      <w:r w:rsidRPr="4FC701EA">
        <w:rPr>
          <w:color w:val="000000" w:themeColor="text1"/>
          <w:sz w:val="24"/>
          <w:szCs w:val="24"/>
        </w:rPr>
        <w:t>Prof.º da UniFacisa, Nome Completo do Terceiro Membro, Titulação.</w:t>
      </w:r>
    </w:p>
    <w:p w14:paraId="0EA78DA3" w14:textId="77777777" w:rsidR="00AF0E76" w:rsidRDefault="00F456ED">
      <w:pPr>
        <w:pBdr>
          <w:top w:val="nil"/>
          <w:left w:val="nil"/>
          <w:bottom w:val="nil"/>
          <w:right w:val="nil"/>
          <w:between w:val="nil"/>
        </w:pBdr>
        <w:spacing w:before="104" w:line="249" w:lineRule="auto"/>
        <w:ind w:left="865" w:right="1348"/>
        <w:jc w:val="both"/>
        <w:rPr>
          <w:color w:val="000000"/>
          <w:sz w:val="24"/>
          <w:szCs w:val="24"/>
        </w:rPr>
      </w:pPr>
      <w:r>
        <w:rPr>
          <w:color w:val="000000"/>
          <w:sz w:val="24"/>
          <w:szCs w:val="24"/>
        </w:rPr>
        <w:lastRenderedPageBreak/>
        <w:t>A (IM)POSSIBILIDADE DE IMPLEMENTAÇÃO DE COMITÊS DE RESOLUÇÃO DE CONFLITOS (</w:t>
      </w:r>
      <w:r>
        <w:rPr>
          <w:i/>
          <w:color w:val="000000"/>
          <w:sz w:val="24"/>
          <w:szCs w:val="24"/>
        </w:rPr>
        <w:t>DISPUTE BOARD</w:t>
      </w:r>
      <w:r>
        <w:rPr>
          <w:color w:val="000000"/>
          <w:sz w:val="24"/>
          <w:szCs w:val="24"/>
        </w:rPr>
        <w:t>) NO ESTADO DA PARAÍBA</w:t>
      </w:r>
    </w:p>
    <w:p w14:paraId="007DCDA8" w14:textId="77777777" w:rsidR="00AF0E76" w:rsidRDefault="00AF0E76">
      <w:pPr>
        <w:pBdr>
          <w:top w:val="nil"/>
          <w:left w:val="nil"/>
          <w:bottom w:val="nil"/>
          <w:right w:val="nil"/>
          <w:between w:val="nil"/>
        </w:pBdr>
        <w:rPr>
          <w:color w:val="000000"/>
          <w:sz w:val="20"/>
          <w:szCs w:val="20"/>
        </w:rPr>
      </w:pPr>
    </w:p>
    <w:p w14:paraId="450EA2D7" w14:textId="77777777" w:rsidR="00AF0E76" w:rsidRDefault="00AF0E76">
      <w:pPr>
        <w:pBdr>
          <w:top w:val="nil"/>
          <w:left w:val="nil"/>
          <w:bottom w:val="nil"/>
          <w:right w:val="nil"/>
          <w:between w:val="nil"/>
        </w:pBdr>
        <w:spacing w:before="6"/>
        <w:rPr>
          <w:color w:val="000000"/>
          <w:sz w:val="27"/>
          <w:szCs w:val="27"/>
        </w:rPr>
      </w:pPr>
    </w:p>
    <w:p w14:paraId="3DD355C9" w14:textId="77777777" w:rsidR="00AF0E76" w:rsidRDefault="00AF0E76">
      <w:pPr>
        <w:spacing w:before="95" w:line="145" w:lineRule="auto"/>
        <w:ind w:right="2471"/>
        <w:jc w:val="right"/>
        <w:rPr>
          <w:sz w:val="16"/>
          <w:szCs w:val="16"/>
        </w:rPr>
      </w:pPr>
    </w:p>
    <w:p w14:paraId="5ED12EC3" w14:textId="74CC46BF" w:rsidR="00AF0E76" w:rsidRDefault="7D535926" w:rsidP="7D535926">
      <w:pPr>
        <w:pBdr>
          <w:top w:val="nil"/>
          <w:left w:val="nil"/>
          <w:bottom w:val="nil"/>
          <w:right w:val="nil"/>
          <w:between w:val="nil"/>
        </w:pBdr>
        <w:ind w:left="4536"/>
        <w:rPr>
          <w:color w:val="000000"/>
          <w:sz w:val="24"/>
          <w:szCs w:val="24"/>
        </w:rPr>
      </w:pPr>
      <w:r w:rsidRPr="7D535926">
        <w:rPr>
          <w:color w:val="000000" w:themeColor="text1"/>
          <w:sz w:val="24"/>
          <w:szCs w:val="24"/>
        </w:rPr>
        <w:t>Eduardo Barbosa Sobral Menezes</w:t>
      </w:r>
      <w:r w:rsidR="00F456ED" w:rsidRPr="7D535926">
        <w:rPr>
          <w:rStyle w:val="Refdenotaderodap"/>
          <w:color w:val="000000" w:themeColor="text1"/>
          <w:sz w:val="24"/>
          <w:szCs w:val="24"/>
        </w:rPr>
        <w:footnoteReference w:id="1"/>
      </w:r>
    </w:p>
    <w:p w14:paraId="2BE218D3" w14:textId="3D57CC85" w:rsidR="00AF0E76" w:rsidRDefault="7D535926" w:rsidP="7D535926">
      <w:pPr>
        <w:pBdr>
          <w:top w:val="nil"/>
          <w:left w:val="nil"/>
          <w:bottom w:val="nil"/>
          <w:right w:val="nil"/>
          <w:between w:val="nil"/>
        </w:pBdr>
        <w:ind w:left="4536"/>
        <w:rPr>
          <w:color w:val="000000"/>
          <w:sz w:val="24"/>
          <w:szCs w:val="24"/>
        </w:rPr>
      </w:pPr>
      <w:r w:rsidRPr="7D535926">
        <w:rPr>
          <w:color w:val="000000" w:themeColor="text1"/>
          <w:sz w:val="24"/>
          <w:szCs w:val="24"/>
        </w:rPr>
        <w:t>Rafaela Silva</w:t>
      </w:r>
      <w:r w:rsidR="00F456ED" w:rsidRPr="7D535926">
        <w:rPr>
          <w:rStyle w:val="Refdenotaderodap"/>
          <w:color w:val="000000" w:themeColor="text1"/>
          <w:sz w:val="24"/>
          <w:szCs w:val="24"/>
        </w:rPr>
        <w:footnoteReference w:id="2"/>
      </w:r>
    </w:p>
    <w:p w14:paraId="1A81F0B1" w14:textId="77777777" w:rsidR="00AF0E76" w:rsidRDefault="00AF0E76">
      <w:pPr>
        <w:pBdr>
          <w:top w:val="nil"/>
          <w:left w:val="nil"/>
          <w:bottom w:val="nil"/>
          <w:right w:val="nil"/>
          <w:between w:val="nil"/>
        </w:pBdr>
        <w:ind w:left="4536"/>
        <w:rPr>
          <w:color w:val="000000"/>
          <w:sz w:val="24"/>
          <w:szCs w:val="24"/>
        </w:rPr>
      </w:pPr>
    </w:p>
    <w:p w14:paraId="717AAFBA" w14:textId="77777777" w:rsidR="00AF0E76" w:rsidRDefault="00AF0E76">
      <w:pPr>
        <w:pBdr>
          <w:top w:val="nil"/>
          <w:left w:val="nil"/>
          <w:bottom w:val="nil"/>
          <w:right w:val="nil"/>
          <w:between w:val="nil"/>
        </w:pBdr>
        <w:ind w:left="4536"/>
        <w:rPr>
          <w:color w:val="000000"/>
          <w:sz w:val="24"/>
          <w:szCs w:val="24"/>
        </w:rPr>
      </w:pPr>
    </w:p>
    <w:p w14:paraId="56EE48EE" w14:textId="77777777" w:rsidR="00AF0E76" w:rsidRDefault="00AF0E76">
      <w:pPr>
        <w:pBdr>
          <w:top w:val="nil"/>
          <w:left w:val="nil"/>
          <w:bottom w:val="nil"/>
          <w:right w:val="nil"/>
          <w:between w:val="nil"/>
        </w:pBdr>
        <w:ind w:left="4536"/>
        <w:rPr>
          <w:color w:val="000000"/>
          <w:sz w:val="24"/>
          <w:szCs w:val="24"/>
        </w:rPr>
      </w:pPr>
    </w:p>
    <w:p w14:paraId="343337A4" w14:textId="77777777" w:rsidR="00AF0E76" w:rsidRDefault="00F456ED">
      <w:pPr>
        <w:spacing w:line="360" w:lineRule="auto"/>
        <w:jc w:val="center"/>
        <w:rPr>
          <w:rFonts w:ascii="Arial" w:eastAsia="Arial" w:hAnsi="Arial" w:cs="Arial"/>
          <w:b/>
          <w:sz w:val="24"/>
          <w:szCs w:val="24"/>
        </w:rPr>
      </w:pPr>
      <w:r>
        <w:rPr>
          <w:rFonts w:ascii="Arial" w:eastAsia="Arial" w:hAnsi="Arial" w:cs="Arial"/>
          <w:b/>
          <w:sz w:val="24"/>
          <w:szCs w:val="24"/>
        </w:rPr>
        <w:t>RESUMO</w:t>
      </w:r>
    </w:p>
    <w:p w14:paraId="10514C3F" w14:textId="59612A3D" w:rsidR="00AF0E76" w:rsidRDefault="7D535926" w:rsidP="4FC701EA">
      <w:pPr>
        <w:spacing w:line="360" w:lineRule="auto"/>
        <w:jc w:val="both"/>
        <w:rPr>
          <w:rFonts w:ascii="Arial" w:eastAsia="Arial" w:hAnsi="Arial" w:cs="Arial"/>
          <w:sz w:val="24"/>
          <w:szCs w:val="24"/>
        </w:rPr>
      </w:pPr>
      <w:r w:rsidRPr="7D535926">
        <w:rPr>
          <w:rFonts w:ascii="Arial" w:eastAsia="Arial" w:hAnsi="Arial" w:cs="Arial"/>
          <w:sz w:val="24"/>
          <w:szCs w:val="24"/>
        </w:rPr>
        <w:t xml:space="preserve">Na busca para desafogar o judiciário e combater a lentidão dos processos judiciais, tem crescido no Brasil os meios de mediação. Para sedimentar ainda mais essa ideia, em 2015, foi publicada a Lei nº 13.140, que prevê a mediação na administração pública. Na paraíba ainda está em discussão a criação dos Comitês de Resolução de disputas, porém o Estado possui meios de mediação e conciliação de conflitos, que permite ter um panorama do desempenho desses futuros Comitês. A missão do Poder Judiciário é concretizar a justiça por meio de uma prestação jurisdicional acessível, célere e eficaz. </w:t>
      </w:r>
      <w:r w:rsidRPr="7D535926">
        <w:rPr>
          <w:rFonts w:ascii="Arial" w:eastAsia="Arial" w:hAnsi="Arial" w:cs="Arial"/>
          <w:b/>
          <w:bCs/>
          <w:sz w:val="24"/>
          <w:szCs w:val="24"/>
        </w:rPr>
        <w:t>Objetivo Geral</w:t>
      </w:r>
      <w:r w:rsidRPr="7D535926">
        <w:rPr>
          <w:rFonts w:ascii="Arial" w:eastAsia="Arial" w:hAnsi="Arial" w:cs="Arial"/>
          <w:sz w:val="24"/>
          <w:szCs w:val="24"/>
        </w:rPr>
        <w:t xml:space="preserve">: Analisar a viabilidade da implementação de Comitês de Resolução de Disputas no estado da Paraíba. </w:t>
      </w:r>
      <w:r w:rsidRPr="7D535926">
        <w:rPr>
          <w:rFonts w:ascii="Arial" w:eastAsia="Arial" w:hAnsi="Arial" w:cs="Arial"/>
          <w:b/>
          <w:bCs/>
          <w:sz w:val="24"/>
          <w:szCs w:val="24"/>
        </w:rPr>
        <w:t>Objetivos Específicos</w:t>
      </w:r>
      <w:r w:rsidRPr="7D535926">
        <w:rPr>
          <w:rFonts w:ascii="Arial" w:eastAsia="Arial" w:hAnsi="Arial" w:cs="Arial"/>
          <w:sz w:val="24"/>
          <w:szCs w:val="24"/>
        </w:rPr>
        <w:t xml:space="preserve">: a) Descrever o que são os Comitês de Resolução de Disputas; b) Analisar o arcabouço jurídico sobre os Comitês de Resolução de Disputas e analisar a possibilidade da implementação de Comitês de Resolução de Disputas no estado da Paraíba. </w:t>
      </w:r>
      <w:r w:rsidRPr="7D535926">
        <w:rPr>
          <w:rFonts w:ascii="Arial" w:eastAsia="Arial" w:hAnsi="Arial" w:cs="Arial"/>
          <w:b/>
          <w:bCs/>
          <w:sz w:val="24"/>
          <w:szCs w:val="24"/>
        </w:rPr>
        <w:t>Metodologia</w:t>
      </w:r>
      <w:r w:rsidRPr="7D535926">
        <w:rPr>
          <w:rFonts w:ascii="Arial" w:eastAsia="Arial" w:hAnsi="Arial" w:cs="Arial"/>
          <w:sz w:val="24"/>
          <w:szCs w:val="24"/>
        </w:rPr>
        <w:t xml:space="preserve">: Pesquisa bibliográfica, com abordagem qualitativa, realizando uma análise comparativa com outras regiões do Brasil e outros países na utilização de CRD’s. </w:t>
      </w:r>
      <w:r w:rsidRPr="7D535926">
        <w:rPr>
          <w:rFonts w:ascii="Arial" w:eastAsia="Arial" w:hAnsi="Arial" w:cs="Arial"/>
          <w:b/>
          <w:bCs/>
          <w:sz w:val="24"/>
          <w:szCs w:val="24"/>
        </w:rPr>
        <w:t>Resultados e Discussões</w:t>
      </w:r>
      <w:r w:rsidRPr="7D535926">
        <w:rPr>
          <w:rFonts w:ascii="Arial" w:eastAsia="Arial" w:hAnsi="Arial" w:cs="Arial"/>
          <w:sz w:val="24"/>
          <w:szCs w:val="24"/>
        </w:rPr>
        <w:t xml:space="preserve">: Os comitês de resolução de disputas ainda caminha a passos lentos no Brasil, pois só há um comitê criado no estado de São Paulo, apesar de se mostrar uma excelente alternativa ao judiciário. </w:t>
      </w:r>
      <w:r w:rsidRPr="7D535926">
        <w:rPr>
          <w:rFonts w:ascii="Arial" w:eastAsia="Arial" w:hAnsi="Arial" w:cs="Arial"/>
          <w:b/>
          <w:bCs/>
          <w:sz w:val="24"/>
          <w:szCs w:val="24"/>
        </w:rPr>
        <w:t>Considerações Finais</w:t>
      </w:r>
      <w:r w:rsidRPr="7D535926">
        <w:rPr>
          <w:rFonts w:ascii="Arial" w:eastAsia="Arial" w:hAnsi="Arial" w:cs="Arial"/>
          <w:sz w:val="24"/>
          <w:szCs w:val="24"/>
        </w:rPr>
        <w:t>: Apesar de ter sua importância reconhecida, inclusive por parlamentares paraibanos, a Paraíba ainda encontra alguns entraves que podem fazer com que sejam criados os CRD’s no Estado, porém não impedi-los.</w:t>
      </w:r>
    </w:p>
    <w:p w14:paraId="2908EB2C" w14:textId="77777777" w:rsidR="00AF0E76" w:rsidRDefault="00AF0E76" w:rsidP="4FC701EA">
      <w:pPr>
        <w:spacing w:line="360" w:lineRule="auto"/>
        <w:jc w:val="both"/>
        <w:rPr>
          <w:rFonts w:ascii="Arial" w:eastAsia="Arial" w:hAnsi="Arial" w:cs="Arial"/>
          <w:sz w:val="24"/>
          <w:szCs w:val="24"/>
        </w:rPr>
      </w:pPr>
    </w:p>
    <w:p w14:paraId="41DACFD3" w14:textId="77777777" w:rsidR="00AF0E76" w:rsidRDefault="4FC701EA" w:rsidP="4FC701EA">
      <w:pPr>
        <w:spacing w:line="360" w:lineRule="auto"/>
        <w:jc w:val="both"/>
        <w:rPr>
          <w:rFonts w:ascii="Arial" w:eastAsia="Arial" w:hAnsi="Arial" w:cs="Arial"/>
          <w:sz w:val="24"/>
          <w:szCs w:val="24"/>
        </w:rPr>
      </w:pPr>
      <w:r w:rsidRPr="4FC701EA">
        <w:rPr>
          <w:rFonts w:ascii="Arial" w:eastAsia="Arial" w:hAnsi="Arial" w:cs="Arial"/>
          <w:b/>
          <w:bCs/>
          <w:sz w:val="24"/>
          <w:szCs w:val="24"/>
        </w:rPr>
        <w:lastRenderedPageBreak/>
        <w:t>Palavras-chave</w:t>
      </w:r>
      <w:r w:rsidRPr="4FC701EA">
        <w:rPr>
          <w:rFonts w:ascii="Arial" w:eastAsia="Arial" w:hAnsi="Arial" w:cs="Arial"/>
          <w:sz w:val="24"/>
          <w:szCs w:val="24"/>
        </w:rPr>
        <w:t>: Comitê de Resolução de Disputas. Mediação. Direito administrativo.</w:t>
      </w:r>
    </w:p>
    <w:p w14:paraId="121FD38A" w14:textId="77777777" w:rsidR="00AF0E76" w:rsidRDefault="00AF0E76" w:rsidP="4FC701EA">
      <w:pPr>
        <w:spacing w:line="360" w:lineRule="auto"/>
        <w:jc w:val="both"/>
        <w:rPr>
          <w:rFonts w:ascii="Arial" w:eastAsia="Arial" w:hAnsi="Arial" w:cs="Arial"/>
          <w:sz w:val="24"/>
          <w:szCs w:val="24"/>
        </w:rPr>
      </w:pPr>
    </w:p>
    <w:p w14:paraId="056CBDF8" w14:textId="77777777" w:rsidR="00AF0E76" w:rsidRDefault="00F456ED">
      <w:pPr>
        <w:spacing w:line="360" w:lineRule="auto"/>
        <w:jc w:val="center"/>
        <w:rPr>
          <w:rFonts w:ascii="Arial" w:eastAsia="Arial" w:hAnsi="Arial" w:cs="Arial"/>
          <w:b/>
          <w:sz w:val="24"/>
          <w:szCs w:val="24"/>
        </w:rPr>
      </w:pPr>
      <w:r>
        <w:rPr>
          <w:rFonts w:ascii="Arial" w:eastAsia="Arial" w:hAnsi="Arial" w:cs="Arial"/>
          <w:b/>
          <w:sz w:val="24"/>
          <w:szCs w:val="24"/>
        </w:rPr>
        <w:t>ABSTRACT</w:t>
      </w:r>
    </w:p>
    <w:p w14:paraId="3E52699A" w14:textId="41F6A441" w:rsidR="00AF0E76" w:rsidRDefault="7D535926" w:rsidP="4FC701EA">
      <w:pPr>
        <w:spacing w:line="360" w:lineRule="auto"/>
        <w:jc w:val="both"/>
        <w:rPr>
          <w:rFonts w:ascii="Arial" w:eastAsia="Arial" w:hAnsi="Arial" w:cs="Arial"/>
          <w:sz w:val="24"/>
          <w:szCs w:val="24"/>
        </w:rPr>
      </w:pPr>
      <w:r w:rsidRPr="7D535926">
        <w:rPr>
          <w:rFonts w:ascii="Arial" w:eastAsia="Arial" w:hAnsi="Arial" w:cs="Arial"/>
          <w:sz w:val="24"/>
          <w:szCs w:val="24"/>
        </w:rPr>
        <w:t>In the quest to unburden the judiciary and combat the slowness of judicial processes, the means of mediation have grown in Brazil. To further solidify this idea, in 2015, Law No. 13,140 was published, which provides for mediation in public administration. In Paraíba, the creation of Dispute Resolution Committees is still under discussion, but the State has means of mediation and conciliation of conflicts, which allows an overview of the performance of these future Committees. The mission of the Judiciary is to achieve justice through accessible, rapid and effective judicial provision. General Objective: Analyze the feasibility of implementing Dispute Resolution Committees in the state of Paraíba. Specific Objectives: a) Describe what Dispute Resolution Committees are; b) Analyze the legal framework on Dispute Resolution Committees and analyze the possibility of implementing Dispute Resolution Committees in the state of Paraíba. Methodology: Bibliographical research, with a qualitative approach, carrying out a comparative analysis with other regions of Brazil and other countries in the use of CRDs. Results and Discussions: Dispute resolution committees are still moving slowly in Brazil, as there is only one committee created in the state of São Paulo, despite proving to be an excellent alternative to the judiciary. Final Considerations: Despite having its importance recognized, including by parliamentarians from Paraíba, Paraíba still encounters some obstacles that could lead to the creation of CRDs in the State, but not prevent them.</w:t>
      </w:r>
    </w:p>
    <w:p w14:paraId="1FE2DD96" w14:textId="77777777" w:rsidR="00AF0E76" w:rsidRDefault="00AF0E76" w:rsidP="4FC701EA">
      <w:pPr>
        <w:spacing w:line="360" w:lineRule="auto"/>
        <w:jc w:val="both"/>
        <w:rPr>
          <w:rFonts w:ascii="Arial" w:eastAsia="Arial" w:hAnsi="Arial" w:cs="Arial"/>
          <w:sz w:val="24"/>
          <w:szCs w:val="24"/>
        </w:rPr>
      </w:pPr>
    </w:p>
    <w:p w14:paraId="230264EF" w14:textId="77777777" w:rsidR="00AF0E76" w:rsidRDefault="4FC701EA" w:rsidP="4FC701EA">
      <w:pPr>
        <w:spacing w:line="360" w:lineRule="auto"/>
        <w:jc w:val="both"/>
        <w:rPr>
          <w:rFonts w:ascii="Arial" w:eastAsia="Arial" w:hAnsi="Arial" w:cs="Arial"/>
          <w:sz w:val="24"/>
          <w:szCs w:val="24"/>
        </w:rPr>
      </w:pPr>
      <w:r w:rsidRPr="4FC701EA">
        <w:rPr>
          <w:rFonts w:ascii="Arial" w:eastAsia="Arial" w:hAnsi="Arial" w:cs="Arial"/>
          <w:b/>
          <w:bCs/>
          <w:sz w:val="24"/>
          <w:szCs w:val="24"/>
        </w:rPr>
        <w:t xml:space="preserve">Keywords: </w:t>
      </w:r>
      <w:r w:rsidRPr="4FC701EA">
        <w:rPr>
          <w:rFonts w:ascii="Arial" w:eastAsia="Arial" w:hAnsi="Arial" w:cs="Arial"/>
          <w:sz w:val="24"/>
          <w:szCs w:val="24"/>
        </w:rPr>
        <w:t>Dispute Resolution Committee. Mediation. Administrative law.</w:t>
      </w:r>
    </w:p>
    <w:p w14:paraId="27357532" w14:textId="77777777" w:rsidR="00AF0E76" w:rsidRDefault="00AF0E76" w:rsidP="4FC701EA">
      <w:pPr>
        <w:spacing w:line="360" w:lineRule="auto"/>
        <w:jc w:val="both"/>
        <w:rPr>
          <w:rFonts w:ascii="Arial" w:eastAsia="Arial" w:hAnsi="Arial" w:cs="Arial"/>
          <w:b/>
          <w:bCs/>
          <w:sz w:val="24"/>
          <w:szCs w:val="24"/>
        </w:rPr>
      </w:pPr>
    </w:p>
    <w:p w14:paraId="0AC7A475" w14:textId="77777777" w:rsidR="00AF0E76" w:rsidRDefault="00F456ED">
      <w:pPr>
        <w:widowControl/>
        <w:numPr>
          <w:ilvl w:val="0"/>
          <w:numId w:val="3"/>
        </w:numPr>
        <w:pBdr>
          <w:top w:val="nil"/>
          <w:left w:val="nil"/>
          <w:bottom w:val="nil"/>
          <w:right w:val="nil"/>
          <w:between w:val="nil"/>
        </w:pBdr>
        <w:spacing w:line="360" w:lineRule="auto"/>
        <w:rPr>
          <w:rFonts w:ascii="Arial" w:eastAsia="Arial" w:hAnsi="Arial" w:cs="Arial"/>
          <w:b/>
          <w:color w:val="000000"/>
          <w:sz w:val="24"/>
          <w:szCs w:val="24"/>
        </w:rPr>
      </w:pPr>
      <w:r>
        <w:rPr>
          <w:rFonts w:ascii="Arial" w:eastAsia="Arial" w:hAnsi="Arial" w:cs="Arial"/>
          <w:b/>
          <w:color w:val="000000"/>
          <w:sz w:val="24"/>
          <w:szCs w:val="24"/>
        </w:rPr>
        <w:t>INTRODUÇÃO</w:t>
      </w:r>
    </w:p>
    <w:p w14:paraId="07F023C8" w14:textId="77777777" w:rsidR="00AF0E76" w:rsidRDefault="00AF0E76">
      <w:pPr>
        <w:pBdr>
          <w:top w:val="nil"/>
          <w:left w:val="nil"/>
          <w:bottom w:val="nil"/>
          <w:right w:val="nil"/>
          <w:between w:val="nil"/>
        </w:pBdr>
        <w:spacing w:line="360" w:lineRule="auto"/>
        <w:rPr>
          <w:rFonts w:ascii="Arial" w:eastAsia="Arial" w:hAnsi="Arial" w:cs="Arial"/>
          <w:color w:val="000000"/>
          <w:sz w:val="24"/>
          <w:szCs w:val="24"/>
        </w:rPr>
      </w:pPr>
    </w:p>
    <w:p w14:paraId="6CAEBAE4" w14:textId="77777777" w:rsidR="00AF0E76" w:rsidRDefault="00F456ED">
      <w:pPr>
        <w:widowControl/>
        <w:numPr>
          <w:ilvl w:val="1"/>
          <w:numId w:val="3"/>
        </w:numPr>
        <w:pBdr>
          <w:top w:val="nil"/>
          <w:left w:val="nil"/>
          <w:bottom w:val="nil"/>
          <w:right w:val="nil"/>
          <w:between w:val="nil"/>
        </w:pBdr>
        <w:spacing w:after="160" w:line="360" w:lineRule="auto"/>
        <w:rPr>
          <w:rFonts w:ascii="Arial" w:eastAsia="Arial" w:hAnsi="Arial" w:cs="Arial"/>
          <w:color w:val="000000"/>
          <w:sz w:val="24"/>
          <w:szCs w:val="24"/>
        </w:rPr>
      </w:pPr>
      <w:r>
        <w:rPr>
          <w:rFonts w:ascii="Arial" w:eastAsia="Arial" w:hAnsi="Arial" w:cs="Arial"/>
          <w:color w:val="000000"/>
          <w:sz w:val="24"/>
          <w:szCs w:val="24"/>
        </w:rPr>
        <w:t>CONTEXTUALIZAÇÃO</w:t>
      </w:r>
    </w:p>
    <w:p w14:paraId="7158BAC9"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 xml:space="preserve">Os Comitês de Resolução de Disputas são órgãos colegiados idealizados para acompanhar a execução de contratos e resolver disputas. Seu objetivo principal é prevenir e solucionar conflitos de forma persistente durante a execução de projetos, promovendo a harmonia entre as partes contratantes. </w:t>
      </w:r>
    </w:p>
    <w:p w14:paraId="0579B90B"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 xml:space="preserve">No contexto legal, a legislação geralmente permite a sua utilização, embora os </w:t>
      </w:r>
      <w:r>
        <w:rPr>
          <w:rFonts w:ascii="Arial" w:eastAsia="Arial" w:hAnsi="Arial" w:cs="Arial"/>
          <w:sz w:val="24"/>
          <w:szCs w:val="24"/>
        </w:rPr>
        <w:lastRenderedPageBreak/>
        <w:t xml:space="preserve">detalhes e a regulamentação específica possam variar de acordo com o país e o tipo de contrato. O modelo de resolução de ocnflitos é mais comum em países que adotam a Common Law, como o Reino Unido, Nova Zelândia, Singapura e Malásia. Esses comitês desempenham um papel importante na resolução de conflitos de maneira ágil e eficiente, contribuindo para o sucesso de empreendimentos comerciais e de construção. </w:t>
      </w:r>
    </w:p>
    <w:p w14:paraId="23AFD13F"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Os Comitês de Resolução de Disputas têm se indicados eficazes em diversas partes do mundo na prevenção e solução de conflitos contratuais de maneira eficiente. No entanto, a possibilidade de sua implantação no estado da Paraíba, Brasil, levanta questões importantes.</w:t>
      </w:r>
    </w:p>
    <w:p w14:paraId="7FB4F3E4"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Como o sistema legal e as práticas comerciais do estado se alinham ou divergem dos princípios e mecanismos de Comitês de Resolução de Disputas? Quais são os desafios culturais, legais e estruturais que podem afetar a adoção dessas comissões na Paraíba? os obstáculos à implementação de Comitês de Resolução de Disputas no contexto paraibano, considerando fatores como cultura jurídica, regulamentação local, acessíveis da comunidade jurídica e benefícios potenciais para o estado.</w:t>
      </w:r>
    </w:p>
    <w:p w14:paraId="09E28582"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O objetivo geral da presente pesquisa é analisar a viabilidade da implementação de Comitês de Resolução de Disputas no estado da Paraíba. Para alcançar o objetivo geral, tem-se o seguinte percurso: a) Descrever o que são os Comitês de Resolução de Disputas; b) Analisar o arcabouço jurídico sobre os Comitês de Resolução de Disputas e analisar a possibilidade da implementação de Comitês de Resolução de Disputas no estado da Paraíba.</w:t>
      </w:r>
    </w:p>
    <w:p w14:paraId="2F4AA08E"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Considerando que os Comitês de Resolução de Disputas tratam-se de um método alternativo de solução de conflitos no ordenamento jurídico brasileiro, algumas consequências podem atingir o cidadão, como a inviabilidade de ter sua lide analisada pelo judiciário diretamente, trazendo-lhe prejuízos maiores.</w:t>
      </w:r>
    </w:p>
    <w:p w14:paraId="48AC98C1"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A metodologia aplicada ao presete artigo é uma pesquisa bibliografica, com abordagem qualitativa, com vistas em obter informações por meio de livros, artigos, leis e jurisprudências, com o fulcro de realizar uma análise comparativa entre as práticas e regulamentações de Comitês de Resolução de Disputas em outras regiões do Brasil e em outros países, com foco nos casos de sucesso e nos desafios enfrentados.</w:t>
      </w:r>
    </w:p>
    <w:p w14:paraId="4BDB5498" w14:textId="77777777" w:rsidR="00AF0E76" w:rsidRDefault="00AF0E76">
      <w:pPr>
        <w:spacing w:line="360" w:lineRule="auto"/>
        <w:ind w:firstLine="709"/>
        <w:jc w:val="both"/>
        <w:rPr>
          <w:rFonts w:ascii="Arial" w:eastAsia="Arial" w:hAnsi="Arial" w:cs="Arial"/>
          <w:sz w:val="24"/>
          <w:szCs w:val="24"/>
        </w:rPr>
      </w:pPr>
    </w:p>
    <w:p w14:paraId="2916C19D" w14:textId="77777777" w:rsidR="00AF0E76" w:rsidRDefault="00AF0E76">
      <w:pPr>
        <w:pBdr>
          <w:top w:val="nil"/>
          <w:left w:val="nil"/>
          <w:bottom w:val="nil"/>
          <w:right w:val="nil"/>
          <w:between w:val="nil"/>
        </w:pBdr>
        <w:spacing w:line="360" w:lineRule="auto"/>
        <w:ind w:left="1080"/>
        <w:rPr>
          <w:rFonts w:ascii="Arial" w:eastAsia="Arial" w:hAnsi="Arial" w:cs="Arial"/>
          <w:color w:val="000000"/>
          <w:sz w:val="24"/>
          <w:szCs w:val="24"/>
        </w:rPr>
      </w:pPr>
    </w:p>
    <w:p w14:paraId="7AEEA4D3" w14:textId="77777777" w:rsidR="00AF0E76" w:rsidRDefault="00F456ED">
      <w:pPr>
        <w:widowControl/>
        <w:numPr>
          <w:ilvl w:val="0"/>
          <w:numId w:val="3"/>
        </w:numPr>
        <w:pBdr>
          <w:top w:val="nil"/>
          <w:left w:val="nil"/>
          <w:bottom w:val="nil"/>
          <w:right w:val="nil"/>
          <w:between w:val="nil"/>
        </w:pBdr>
        <w:spacing w:line="360" w:lineRule="auto"/>
        <w:rPr>
          <w:rFonts w:ascii="Arial" w:eastAsia="Arial" w:hAnsi="Arial" w:cs="Arial"/>
          <w:b/>
          <w:color w:val="000000"/>
          <w:sz w:val="24"/>
          <w:szCs w:val="24"/>
        </w:rPr>
      </w:pPr>
      <w:r>
        <w:rPr>
          <w:rFonts w:ascii="Arial" w:eastAsia="Arial" w:hAnsi="Arial" w:cs="Arial"/>
          <w:b/>
          <w:color w:val="000000"/>
          <w:sz w:val="24"/>
          <w:szCs w:val="24"/>
        </w:rPr>
        <w:t>FUNDAMENTAÇÃO TEÓRICA</w:t>
      </w:r>
    </w:p>
    <w:p w14:paraId="74869460" w14:textId="77777777" w:rsidR="00AF0E76" w:rsidRDefault="00AF0E76">
      <w:pPr>
        <w:pBdr>
          <w:top w:val="nil"/>
          <w:left w:val="nil"/>
          <w:bottom w:val="nil"/>
          <w:right w:val="nil"/>
          <w:between w:val="nil"/>
        </w:pBdr>
        <w:spacing w:line="360" w:lineRule="auto"/>
        <w:rPr>
          <w:rFonts w:ascii="Arial" w:eastAsia="Arial" w:hAnsi="Arial" w:cs="Arial"/>
          <w:color w:val="000000"/>
          <w:sz w:val="24"/>
          <w:szCs w:val="24"/>
        </w:rPr>
      </w:pPr>
    </w:p>
    <w:p w14:paraId="3FAF3FBB" w14:textId="77777777" w:rsidR="00AF0E76" w:rsidRDefault="4FC701EA" w:rsidP="4FC701EA">
      <w:pPr>
        <w:widowControl/>
        <w:numPr>
          <w:ilvl w:val="1"/>
          <w:numId w:val="3"/>
        </w:numPr>
        <w:pBdr>
          <w:top w:val="nil"/>
          <w:left w:val="nil"/>
          <w:bottom w:val="nil"/>
          <w:right w:val="nil"/>
          <w:between w:val="nil"/>
        </w:pBdr>
        <w:spacing w:after="160" w:line="360" w:lineRule="auto"/>
        <w:rPr>
          <w:rFonts w:ascii="Arial" w:eastAsia="Arial" w:hAnsi="Arial" w:cs="Arial"/>
          <w:color w:val="000000"/>
          <w:sz w:val="24"/>
          <w:szCs w:val="24"/>
        </w:rPr>
      </w:pPr>
      <w:r w:rsidRPr="4FC701EA">
        <w:rPr>
          <w:rFonts w:ascii="Arial" w:eastAsia="Arial" w:hAnsi="Arial" w:cs="Arial"/>
          <w:color w:val="000000" w:themeColor="text1"/>
          <w:sz w:val="24"/>
          <w:szCs w:val="24"/>
        </w:rPr>
        <w:t>COMITÊS DE RESOLUÇÃO DE DISPUTAS: CONCEITO, ESPÉCIES E PREVISÃO LEGAL</w:t>
      </w:r>
    </w:p>
    <w:p w14:paraId="187F57B8" w14:textId="77777777" w:rsidR="00AF0E76" w:rsidRDefault="00AF0E76" w:rsidP="4FC701EA">
      <w:pPr>
        <w:spacing w:line="360" w:lineRule="auto"/>
        <w:rPr>
          <w:rFonts w:ascii="Arial" w:eastAsia="Arial" w:hAnsi="Arial" w:cs="Arial"/>
          <w:sz w:val="24"/>
          <w:szCs w:val="24"/>
        </w:rPr>
      </w:pPr>
    </w:p>
    <w:p w14:paraId="35EAFC62"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Barros (2022) explica que além dos métodos tradicionais de resolução de conflitos (ADR), é relevante destacar a existência de diversos outros meios para resolver disputas, muitos dos quais podem ser combinados. Um exemplo é o uso de disputa boards, também conhecidos como Comitês de Resolução de Disputas (CRD). Esses comitês são órgãos colegiados projetados com o objetivo de monitorar a execução de contratos, com autoridade para emitir recomendações e decisões. Eles surgiram na década de 1970 nos Estados Unidos, especificamente em 1975, durante a construção do túnel Eisenhower no Colorado.</w:t>
      </w:r>
    </w:p>
    <w:p w14:paraId="4E6F61F0"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O Comitê de Resolução de Disputas é composto por três especialistas escolhidos pelas partes envolvidas no momento da celebração do contrato. A formação de um comitê oferece a vantagem de abordar as controvérsias por meio de uma abordagem colegiada, o que facilita o acompanhamento da execução do contrato. Isso, por sua vez, reduz a assimetria de informações e agiliza o processo de prevenção e solução de problemas à medida que surgem (Barros, 2022).</w:t>
      </w:r>
    </w:p>
    <w:p w14:paraId="4E3369EA"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Chaves (2023) esclarece que O Comitê de Resolução de Disputas surgiu a partir de desafios em contratos de obras públicas, onde os conflitos foram resolvidos de forma ineficaz no século XX. Os contratantes impuseram alterações ao construtor sem permitir que este paralisasse a obra. Para melhorar o processo, foram implementados mecanismos sensíveis, envolvendo profissionais técnicos contratados para fiscalizar e resolver disputas técnicas.</w:t>
      </w:r>
    </w:p>
    <w:p w14:paraId="51AE8DEF"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 xml:space="preserve">Um caso emblemático ocorreu em 1972, quando um estudo global de acordos que disputas e litígios envolveu o aumento dos custos de construção, fazendo com que o surgimento de disputa boards fosse uma forma de evitar problemas na execução das obras. O conceito de </w:t>
      </w:r>
      <w:r>
        <w:rPr>
          <w:rFonts w:ascii="Arial" w:eastAsia="Arial" w:hAnsi="Arial" w:cs="Arial"/>
          <w:i/>
          <w:sz w:val="24"/>
          <w:szCs w:val="24"/>
        </w:rPr>
        <w:t>Dispute Board</w:t>
      </w:r>
      <w:r>
        <w:rPr>
          <w:rFonts w:ascii="Arial" w:eastAsia="Arial" w:hAnsi="Arial" w:cs="Arial"/>
          <w:sz w:val="24"/>
          <w:szCs w:val="24"/>
        </w:rPr>
        <w:t>s envolve comitês que antecipam conflitos em contratos de médio e longo prazo, evitando que prejudiquem o projeto e mantendo a colaboração entre as partes envolvidas (CHAVES, 2023, p.22).</w:t>
      </w:r>
    </w:p>
    <w:p w14:paraId="773F7596"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lastRenderedPageBreak/>
        <w:t xml:space="preserve">No que se refere às espécies de CRD’s, Cabral (2018) informa que Os </w:t>
      </w:r>
      <w:r>
        <w:rPr>
          <w:rFonts w:ascii="Arial" w:eastAsia="Arial" w:hAnsi="Arial" w:cs="Arial"/>
          <w:i/>
          <w:sz w:val="24"/>
          <w:szCs w:val="24"/>
        </w:rPr>
        <w:t>Dispute Board</w:t>
      </w:r>
      <w:r>
        <w:rPr>
          <w:rFonts w:ascii="Arial" w:eastAsia="Arial" w:hAnsi="Arial" w:cs="Arial"/>
          <w:sz w:val="24"/>
          <w:szCs w:val="24"/>
        </w:rPr>
        <w:t xml:space="preserve">s podem ser classificados com base a) nos efeitos de suas decisões; b) no momento de sua formação e c) na quantidade de membros que o compõem. Existem três tipos principais de Comitês de Resolução de Disputas: </w:t>
      </w:r>
    </w:p>
    <w:p w14:paraId="5883B9D4" w14:textId="77777777" w:rsidR="00AF0E76" w:rsidRDefault="00F456ED">
      <w:pPr>
        <w:widowControl/>
        <w:numPr>
          <w:ilvl w:val="0"/>
          <w:numId w:val="4"/>
        </w:num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o Dispute Review Board (DRB), que emite recomendações não vinculativas para as partes; </w:t>
      </w:r>
    </w:p>
    <w:p w14:paraId="2889562C" w14:textId="77777777" w:rsidR="00AF0E76" w:rsidRDefault="00F456ED">
      <w:pPr>
        <w:widowControl/>
        <w:numPr>
          <w:ilvl w:val="0"/>
          <w:numId w:val="4"/>
        </w:num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o Dispute Adjudication Board (DAB), que emite decisões imediatamente vinculativas sujeitas a contestação legal; </w:t>
      </w:r>
    </w:p>
    <w:p w14:paraId="0285C5AB" w14:textId="77777777" w:rsidR="00AF0E76" w:rsidRDefault="00F456ED">
      <w:pPr>
        <w:widowControl/>
        <w:numPr>
          <w:ilvl w:val="0"/>
          <w:numId w:val="4"/>
        </w:num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 o Combined </w:t>
      </w:r>
      <w:r>
        <w:rPr>
          <w:rFonts w:ascii="Arial" w:eastAsia="Arial" w:hAnsi="Arial" w:cs="Arial"/>
          <w:i/>
          <w:color w:val="000000"/>
          <w:sz w:val="24"/>
          <w:szCs w:val="24"/>
        </w:rPr>
        <w:t>Dispute Board</w:t>
      </w:r>
      <w:r>
        <w:rPr>
          <w:rFonts w:ascii="Arial" w:eastAsia="Arial" w:hAnsi="Arial" w:cs="Arial"/>
          <w:color w:val="000000"/>
          <w:sz w:val="24"/>
          <w:szCs w:val="24"/>
        </w:rPr>
        <w:t xml:space="preserve"> (CDB), que emite recomendações que se tornam vinculativas sob certas condições (CABRAL, 2018).</w:t>
      </w:r>
    </w:p>
    <w:p w14:paraId="0D0407B5"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 xml:space="preserve">Esses comitês podem ser estabelecidos no momento da celebração do contrato até seu cumprimento total (conhecido como Standing </w:t>
      </w:r>
      <w:r>
        <w:rPr>
          <w:rFonts w:ascii="Arial" w:eastAsia="Arial" w:hAnsi="Arial" w:cs="Arial"/>
          <w:i/>
          <w:sz w:val="24"/>
          <w:szCs w:val="24"/>
        </w:rPr>
        <w:t>Dispute Board</w:t>
      </w:r>
      <w:r>
        <w:rPr>
          <w:rFonts w:ascii="Arial" w:eastAsia="Arial" w:hAnsi="Arial" w:cs="Arial"/>
          <w:sz w:val="24"/>
          <w:szCs w:val="24"/>
        </w:rPr>
        <w:t>) ou para resolver disputas específicas que surgem durante a execução do contrato (</w:t>
      </w:r>
      <w:r>
        <w:rPr>
          <w:rFonts w:ascii="Arial" w:eastAsia="Arial" w:hAnsi="Arial" w:cs="Arial"/>
          <w:i/>
          <w:sz w:val="24"/>
          <w:szCs w:val="24"/>
        </w:rPr>
        <w:t>Dispute Board Ad Hoc).</w:t>
      </w:r>
      <w:r>
        <w:rPr>
          <w:rFonts w:ascii="Arial" w:eastAsia="Arial" w:hAnsi="Arial" w:cs="Arial"/>
          <w:sz w:val="24"/>
          <w:szCs w:val="24"/>
        </w:rPr>
        <w:t xml:space="preserve"> Não há requisitos específicos quanto ao número de membros do comitê, permitindo às partes escolher um único membro (Dispute Review Expert) por razões de custo ou dois membros com um mecanismo para evitar desacordos. É essencial que os membros dos comitês sejam pessoas de confiança, imparciais e independentes, mas não há outras imposições quanto à sua formação (CABRAL, 2018).</w:t>
      </w:r>
    </w:p>
    <w:p w14:paraId="322710D0" w14:textId="77777777" w:rsidR="00AF0E76" w:rsidRDefault="00F456ED">
      <w:pPr>
        <w:spacing w:line="360" w:lineRule="auto"/>
        <w:ind w:firstLine="709"/>
        <w:jc w:val="both"/>
        <w:rPr>
          <w:rFonts w:ascii="Arial" w:eastAsia="Arial" w:hAnsi="Arial" w:cs="Arial"/>
          <w:color w:val="000000"/>
          <w:sz w:val="24"/>
          <w:szCs w:val="24"/>
        </w:rPr>
      </w:pPr>
      <w:r>
        <w:rPr>
          <w:rFonts w:ascii="Arial" w:eastAsia="Arial" w:hAnsi="Arial" w:cs="Arial"/>
          <w:sz w:val="24"/>
          <w:szCs w:val="24"/>
        </w:rPr>
        <w:t>As CRD’s estão previstas no artigo 151 da nova Lei de licitações, Lei nº 14.133/21 ao afirmar que: “</w:t>
      </w:r>
      <w:r>
        <w:rPr>
          <w:rFonts w:ascii="Arial" w:eastAsia="Arial" w:hAnsi="Arial" w:cs="Arial"/>
          <w:color w:val="000000"/>
          <w:sz w:val="24"/>
          <w:szCs w:val="24"/>
        </w:rPr>
        <w:t>Nas contratações regidas por esta Lei, poderão ser utilizados meios alternativos de prevenção e resolução de controvérsias, notadamente a conciliação, a mediação, o comitê de resolução de disputas e a arbitragem” (Brasil, 2021).</w:t>
      </w:r>
    </w:p>
    <w:p w14:paraId="6774B7E1" w14:textId="77777777" w:rsidR="00AF0E76" w:rsidRDefault="00F456ED">
      <w:pPr>
        <w:spacing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Além da Lei de licitações, a Lei Federal 13.105/15, Código de Processo Civil, estabelece que a arbitragem é permitida e que o Estado deve promover, sempre que possível, a resolução consensual de conflitos. Além disso, a conciliação, a mediação e outros métodos de solução consensual de conflitos devem ser incentivados por profissionais da justiça, incluindo juízes, advogados, defensores públicos e membros do Ministério Público, mesmo durante o processo judicial (BRASIL, 2015).</w:t>
      </w:r>
    </w:p>
    <w:p w14:paraId="54738AF4" w14:textId="77777777" w:rsidR="00AF0E76" w:rsidRDefault="00AF0E76">
      <w:pPr>
        <w:spacing w:line="360" w:lineRule="auto"/>
        <w:rPr>
          <w:rFonts w:ascii="Arial" w:eastAsia="Arial" w:hAnsi="Arial" w:cs="Arial"/>
          <w:sz w:val="24"/>
          <w:szCs w:val="24"/>
        </w:rPr>
      </w:pPr>
    </w:p>
    <w:p w14:paraId="1A59678A" w14:textId="77777777" w:rsidR="00AF0E76" w:rsidRDefault="00F456ED">
      <w:pPr>
        <w:widowControl/>
        <w:numPr>
          <w:ilvl w:val="1"/>
          <w:numId w:val="3"/>
        </w:numPr>
        <w:pBdr>
          <w:top w:val="nil"/>
          <w:left w:val="nil"/>
          <w:bottom w:val="nil"/>
          <w:right w:val="nil"/>
          <w:between w:val="nil"/>
        </w:pBdr>
        <w:spacing w:after="160" w:line="360" w:lineRule="auto"/>
        <w:rPr>
          <w:rFonts w:ascii="Arial" w:eastAsia="Arial" w:hAnsi="Arial" w:cs="Arial"/>
          <w:color w:val="000000"/>
          <w:sz w:val="24"/>
          <w:szCs w:val="24"/>
        </w:rPr>
      </w:pPr>
      <w:r>
        <w:rPr>
          <w:rFonts w:ascii="Arial" w:eastAsia="Arial" w:hAnsi="Arial" w:cs="Arial"/>
          <w:color w:val="000000"/>
          <w:sz w:val="24"/>
          <w:szCs w:val="24"/>
        </w:rPr>
        <w:t xml:space="preserve"> O SISTEMA JURÍDICO DA PARAÍBA</w:t>
      </w:r>
    </w:p>
    <w:p w14:paraId="2590251F" w14:textId="28EC767A" w:rsidR="00AF0E76" w:rsidRDefault="4FC701EA">
      <w:pPr>
        <w:spacing w:line="360" w:lineRule="auto"/>
        <w:ind w:firstLine="709"/>
        <w:jc w:val="both"/>
        <w:rPr>
          <w:rFonts w:ascii="Arial" w:eastAsia="Arial" w:hAnsi="Arial" w:cs="Arial"/>
          <w:sz w:val="24"/>
          <w:szCs w:val="24"/>
        </w:rPr>
      </w:pPr>
      <w:r w:rsidRPr="4FC701EA">
        <w:rPr>
          <w:rFonts w:ascii="Arial" w:eastAsia="Arial" w:hAnsi="Arial" w:cs="Arial"/>
          <w:sz w:val="24"/>
          <w:szCs w:val="24"/>
        </w:rPr>
        <w:t xml:space="preserve">Filho, Barbosa e Barbosa (2022) dissertam que alguns fatos que marcaram a </w:t>
      </w:r>
      <w:r w:rsidRPr="4FC701EA">
        <w:rPr>
          <w:rFonts w:ascii="Arial" w:eastAsia="Arial" w:hAnsi="Arial" w:cs="Arial"/>
          <w:sz w:val="24"/>
          <w:szCs w:val="24"/>
        </w:rPr>
        <w:lastRenderedPageBreak/>
        <w:t xml:space="preserve">história do Superior Tribunal de Justiça podem ser sistematizados da seguinte forma: foi criado em 30 de setembro de 1891 pelo Decreto nº 69 e sua instauração em 15 de outubro desse mesmo ano; na atualidade passou a se chamar Tribunal de Justiça da Paraíba; sua primeira sessão ordinária ocorreu em 20 de outubro de 1891. </w:t>
      </w:r>
    </w:p>
    <w:p w14:paraId="4B73D090" w14:textId="505EF785" w:rsidR="00AF0E76" w:rsidRDefault="4FC701EA">
      <w:pPr>
        <w:spacing w:line="360" w:lineRule="auto"/>
        <w:ind w:firstLine="709"/>
        <w:jc w:val="both"/>
        <w:rPr>
          <w:rFonts w:ascii="Arial" w:eastAsia="Arial" w:hAnsi="Arial" w:cs="Arial"/>
          <w:sz w:val="24"/>
          <w:szCs w:val="24"/>
        </w:rPr>
      </w:pPr>
      <w:r w:rsidRPr="4FC701EA">
        <w:rPr>
          <w:rFonts w:ascii="Arial" w:eastAsia="Arial" w:hAnsi="Arial" w:cs="Arial"/>
          <w:sz w:val="24"/>
          <w:szCs w:val="24"/>
        </w:rPr>
        <w:t>Hodiernamente, o Tribunal de Justiça da Paraíba compõe o Poder Judiciário Estadual, consoante o Art. 2º da Lei de Organização Judiciária que assim preceitua: “Art. 2º São órgãos do Poder Judiciário do Estado: I –o Tribunal de Justiça; II –o Tribunal do Júri; III –os Juízes Substitutos e  de  Direito; IV –a  Justiça  Militar; V –os Juizados Especiais; VI –a Justiça  de Paz.”.No que concerne a divisão territorial, as comarcas são a representação física do Poder Judiciário, representadas também através dos fóruns (prédios), servidores e magistrados (recursos humanos). A Lei de Organização Judiciária da Paraíba divide as comarcas em 08 grupos, de acordo com a localização das cidades sede. Nas comarcas estão instaladas as varas, encarregadas da movimentação/cumprimento processual (Filho, Barbosa e Barbosa, 2022) .</w:t>
      </w:r>
    </w:p>
    <w:p w14:paraId="26F6D745"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A nomenclatura dos cargos que integram os recursos humanos das comarcas é de acordo  com  o  nível  de  escolaridade,  quais  sejam:  auxiliar  judiciário  (nível  fundamental);  técnico  judiciário  (nível  médio)  e analista judiciário (nível superior).A  corte  Paraibana  apresenta  como  missão  concretizar  a  justiça,  por  meio  de  uma  prestação  jurisdicional  acessível, célere  e  efetiva,  ao  tempo  que  a  visão  é  alcançar  o  grau  de  excelência  na  prestação  de  seus  serviços  e  ser  reconhecida  pela sociedade  como  uma  instituição  confiável,  acessível  e  justa,  na  garantia  do  exercício  plenoda  cidadania  e  promoção  da  paz social</w:t>
      </w:r>
    </w:p>
    <w:p w14:paraId="46ABBD8F" w14:textId="77777777" w:rsidR="00AF0E76" w:rsidRDefault="00AF0E76">
      <w:pPr>
        <w:pBdr>
          <w:top w:val="nil"/>
          <w:left w:val="nil"/>
          <w:bottom w:val="nil"/>
          <w:right w:val="nil"/>
          <w:between w:val="nil"/>
        </w:pBdr>
        <w:spacing w:line="360" w:lineRule="auto"/>
        <w:ind w:left="1080"/>
        <w:rPr>
          <w:rFonts w:ascii="Arial" w:eastAsia="Arial" w:hAnsi="Arial" w:cs="Arial"/>
          <w:color w:val="000000"/>
          <w:sz w:val="24"/>
          <w:szCs w:val="24"/>
        </w:rPr>
      </w:pPr>
    </w:p>
    <w:p w14:paraId="2B5D46B1" w14:textId="77777777" w:rsidR="00AF0E76" w:rsidRDefault="00F456ED">
      <w:pPr>
        <w:widowControl/>
        <w:numPr>
          <w:ilvl w:val="2"/>
          <w:numId w:val="3"/>
        </w:numPr>
        <w:pBdr>
          <w:top w:val="nil"/>
          <w:left w:val="nil"/>
          <w:bottom w:val="nil"/>
          <w:right w:val="nil"/>
          <w:between w:val="nil"/>
        </w:pBdr>
        <w:spacing w:line="360" w:lineRule="auto"/>
        <w:rPr>
          <w:rFonts w:ascii="Arial" w:eastAsia="Arial" w:hAnsi="Arial" w:cs="Arial"/>
          <w:b/>
          <w:color w:val="000000"/>
          <w:sz w:val="24"/>
          <w:szCs w:val="24"/>
        </w:rPr>
      </w:pPr>
      <w:r>
        <w:rPr>
          <w:rFonts w:ascii="Arial" w:eastAsia="Arial" w:hAnsi="Arial" w:cs="Arial"/>
          <w:b/>
          <w:color w:val="000000"/>
          <w:sz w:val="24"/>
          <w:szCs w:val="24"/>
        </w:rPr>
        <w:t xml:space="preserve">  Estrutura do Poder Judiciário na Paraíba</w:t>
      </w:r>
    </w:p>
    <w:p w14:paraId="06BBA33E" w14:textId="77777777" w:rsidR="00AF0E76" w:rsidRDefault="00AF0E76">
      <w:pPr>
        <w:pBdr>
          <w:top w:val="nil"/>
          <w:left w:val="nil"/>
          <w:bottom w:val="nil"/>
          <w:right w:val="nil"/>
          <w:between w:val="nil"/>
        </w:pBdr>
        <w:spacing w:line="360" w:lineRule="auto"/>
        <w:ind w:left="1800"/>
        <w:rPr>
          <w:rFonts w:ascii="Arial" w:eastAsia="Arial" w:hAnsi="Arial" w:cs="Arial"/>
          <w:b/>
          <w:color w:val="000000"/>
          <w:sz w:val="24"/>
          <w:szCs w:val="24"/>
        </w:rPr>
      </w:pPr>
    </w:p>
    <w:p w14:paraId="122EE738"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 xml:space="preserve">Para entender a estrutura dopoder Judiciário do Estado da Paraíba a melhor fonte para extrair informações é a Constituição do Estado da Paraíba, em seu artigo 91, que traz a seguinte estrutura: I - o Tribunal de Justiça; II - o Tribunal do Júri; III - os Juízes de Direito; IV - os Juízes Substitutos; V - o Juiz Auditor Militar Estadual; VI - outros juízes instituídos por lei. Além dessas instâncias, a citada normativa deixa aberto, no artigo 93, a crianção de juizados especiais de causas cíveis de menor complexidade e de pequenarelevância, de infrações penais de menor potencial </w:t>
      </w:r>
      <w:r>
        <w:rPr>
          <w:rFonts w:ascii="Arial" w:eastAsia="Arial" w:hAnsi="Arial" w:cs="Arial"/>
          <w:sz w:val="24"/>
          <w:szCs w:val="24"/>
        </w:rPr>
        <w:lastRenderedPageBreak/>
        <w:t>ofensivo e juizados de instrução criminal e justiça de paz.</w:t>
      </w:r>
    </w:p>
    <w:p w14:paraId="0DA9E04E"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Quanto a organização judiciária, o artigo 92 da CE/PB determina que a lei de organização judiciária é de iniciativa do Tribunal de Justiça. Isso significa que o próprio Tribunal de Justiça é responsável por propor e desenvolver uma legislação que rege a organização e o funcionamento do Poder Judiciário do estado.</w:t>
      </w:r>
    </w:p>
    <w:p w14:paraId="464FCBC1" w14:textId="77777777" w:rsidR="00AF0E76" w:rsidRDefault="00AF0E76">
      <w:pPr>
        <w:spacing w:line="360" w:lineRule="auto"/>
        <w:ind w:firstLine="709"/>
        <w:jc w:val="both"/>
        <w:rPr>
          <w:rFonts w:ascii="Arial" w:eastAsia="Arial" w:hAnsi="Arial" w:cs="Arial"/>
          <w:sz w:val="24"/>
          <w:szCs w:val="24"/>
        </w:rPr>
      </w:pPr>
    </w:p>
    <w:p w14:paraId="342328F8" w14:textId="77777777" w:rsidR="00AF0E76" w:rsidRDefault="4FC701EA" w:rsidP="4FC701EA">
      <w:pPr>
        <w:widowControl/>
        <w:numPr>
          <w:ilvl w:val="2"/>
          <w:numId w:val="3"/>
        </w:numPr>
        <w:pBdr>
          <w:top w:val="nil"/>
          <w:left w:val="nil"/>
          <w:bottom w:val="nil"/>
          <w:right w:val="nil"/>
          <w:between w:val="nil"/>
        </w:pBdr>
        <w:spacing w:line="360" w:lineRule="auto"/>
        <w:rPr>
          <w:rFonts w:ascii="Arial" w:eastAsia="Arial" w:hAnsi="Arial" w:cs="Arial"/>
          <w:b/>
          <w:bCs/>
          <w:color w:val="000000"/>
          <w:sz w:val="24"/>
          <w:szCs w:val="24"/>
        </w:rPr>
      </w:pPr>
      <w:r w:rsidRPr="4FC701EA">
        <w:rPr>
          <w:rFonts w:ascii="Arial" w:eastAsia="Arial" w:hAnsi="Arial" w:cs="Arial"/>
          <w:b/>
          <w:bCs/>
          <w:color w:val="000000" w:themeColor="text1"/>
          <w:sz w:val="24"/>
          <w:szCs w:val="24"/>
        </w:rPr>
        <w:t xml:space="preserve"> Processo de Resolução de Disputas na Paraíba e utilização de métodos alternativos de resolução de Conflitos no Estado</w:t>
      </w:r>
    </w:p>
    <w:p w14:paraId="5C8C6B09" w14:textId="77777777" w:rsidR="00AF0E76" w:rsidRDefault="00AF0E76" w:rsidP="4FC701EA">
      <w:pPr>
        <w:widowControl/>
        <w:pBdr>
          <w:top w:val="nil"/>
          <w:left w:val="nil"/>
          <w:bottom w:val="nil"/>
          <w:right w:val="nil"/>
          <w:between w:val="nil"/>
        </w:pBdr>
        <w:spacing w:after="160" w:line="360" w:lineRule="auto"/>
        <w:ind w:left="1800"/>
        <w:rPr>
          <w:rFonts w:ascii="Arial" w:eastAsia="Arial" w:hAnsi="Arial" w:cs="Arial"/>
          <w:b/>
          <w:bCs/>
          <w:color w:val="000000"/>
          <w:sz w:val="24"/>
          <w:szCs w:val="24"/>
        </w:rPr>
      </w:pPr>
    </w:p>
    <w:p w14:paraId="3018DB63"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 xml:space="preserve">Na Paraíba, a resolução de disputas como método extrajudicial, é representando pelo CEJUSC (Centro Judicial de Solução de Conflitos. O CEJUSC (Centro Judicial de Solução de Conflitos) é um centro de solução de conflitos que recebe demandas que envolvam questões pré-processuais.  O objetivo do CEJUSC é buscar a solução consensual dos conflitos, evitando o ajuizamento de novas demandas e, consequentemente, reduzindo o número de processos judiciais a serem resolvidos pelo meio heterocompositivo (SILVA FILHO, 2023).  </w:t>
      </w:r>
    </w:p>
    <w:p w14:paraId="63ABD4A2"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O processo de conciliação e mediação no CEJUSC é conduzido por um conciliador ou mediador, que é um profissional capacitado para auxiliar as partes a chegarem a um acordo. Durante a audiência, as partes são ouvidas e o conciliador ou mediador busca identificar os interesses e necessidades de cada uma delas, a fim de encontrar uma solução que seja satisfatória para ambas. Caso as partes cheguem a um acordo, este é formalizado em um termo de acordo, que tem força de título executivo judicial (Maia, 2018).</w:t>
      </w:r>
    </w:p>
    <w:p w14:paraId="3D2BD37D"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 xml:space="preserve">A conciliação e a mediação são meios consensuais de resolução de conflitos que podem ser aplicados em casos de direito de família, trabalhista, Direito Empresarial; Direito Médico e Hospitalar; Direito do Consumidor; Direito Ambiental; Direito Imobiliário e Condominial. Esses métodos são especialmente úteis em casos de divórcio, guarda de filhos, pensão alimentícia, entre outros (Maia, 2018). </w:t>
      </w:r>
    </w:p>
    <w:p w14:paraId="137D89EE"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 xml:space="preserve">Na conciliação, as partes são auxiliadas por um conciliador a chegarem a um acordo que seja satisfatório para ambas. No caso de direito de família, a conciliação pode ser utilizada para definir questões como a guarda dos filhos, o regime de visitas, a partilha de bens, entre outros. </w:t>
      </w:r>
    </w:p>
    <w:p w14:paraId="17682CAA"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 xml:space="preserve">Já na mediação, as partes são auxiliadas por um mediador a identificar os </w:t>
      </w:r>
      <w:r>
        <w:rPr>
          <w:rFonts w:ascii="Arial" w:eastAsia="Arial" w:hAnsi="Arial" w:cs="Arial"/>
          <w:sz w:val="24"/>
          <w:szCs w:val="24"/>
        </w:rPr>
        <w:lastRenderedPageBreak/>
        <w:t xml:space="preserve">interesses e necessidades de cada uma delas, a fim de encontrar uma solução que seja satisfatória para ambas. No caso de direito de família, a mediação pode ser utilizada para melhorar a comunicação entre as partes, definir questões relacionadas à guarda dos filhos, pensão alimentícia, entre outros. </w:t>
      </w:r>
    </w:p>
    <w:p w14:paraId="2935A8CF"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É importante ressaltar que a conciliação e a mediação são métodos voluntários, ou seja, as partes envolvidas devem concordar em participar desses processos. Além disso, é fundamental que o mediador ou conciliador seja capacitado e esteja preparado para lidar com as questões emocionais envolvidas em casos de direito de família.</w:t>
      </w:r>
    </w:p>
    <w:p w14:paraId="3382A365" w14:textId="77777777" w:rsidR="00AF0E76" w:rsidRDefault="00AF0E76">
      <w:pPr>
        <w:spacing w:line="360" w:lineRule="auto"/>
        <w:ind w:firstLine="709"/>
        <w:jc w:val="both"/>
        <w:rPr>
          <w:rFonts w:ascii="Arial" w:eastAsia="Arial" w:hAnsi="Arial" w:cs="Arial"/>
          <w:sz w:val="24"/>
          <w:szCs w:val="24"/>
        </w:rPr>
      </w:pPr>
    </w:p>
    <w:p w14:paraId="70BCF433" w14:textId="77777777" w:rsidR="00AF0E76" w:rsidRDefault="4FC701EA" w:rsidP="4FC701EA">
      <w:pPr>
        <w:widowControl/>
        <w:numPr>
          <w:ilvl w:val="2"/>
          <w:numId w:val="3"/>
        </w:numPr>
        <w:pBdr>
          <w:top w:val="nil"/>
          <w:left w:val="nil"/>
          <w:bottom w:val="nil"/>
          <w:right w:val="nil"/>
          <w:between w:val="nil"/>
        </w:pBdr>
        <w:spacing w:line="360" w:lineRule="auto"/>
        <w:rPr>
          <w:rFonts w:ascii="Arial" w:eastAsia="Arial" w:hAnsi="Arial" w:cs="Arial"/>
          <w:b/>
          <w:bCs/>
          <w:color w:val="000000"/>
          <w:sz w:val="24"/>
          <w:szCs w:val="24"/>
        </w:rPr>
      </w:pPr>
      <w:r w:rsidRPr="4FC701EA">
        <w:rPr>
          <w:rFonts w:ascii="Arial" w:eastAsia="Arial" w:hAnsi="Arial" w:cs="Arial"/>
          <w:b/>
          <w:bCs/>
          <w:color w:val="000000" w:themeColor="text1"/>
          <w:sz w:val="24"/>
          <w:szCs w:val="24"/>
        </w:rPr>
        <w:t xml:space="preserve"> Desafios no Sistema Jurídico da Paraíba quanto aos métodos alternativos de solução de conflitos</w:t>
      </w:r>
    </w:p>
    <w:p w14:paraId="5C71F136" w14:textId="77777777" w:rsidR="00AF0E76" w:rsidRDefault="00AF0E76" w:rsidP="4FC701EA">
      <w:pPr>
        <w:pBdr>
          <w:top w:val="nil"/>
          <w:left w:val="nil"/>
          <w:bottom w:val="nil"/>
          <w:right w:val="nil"/>
          <w:between w:val="nil"/>
        </w:pBdr>
        <w:spacing w:line="360" w:lineRule="auto"/>
        <w:ind w:left="1800"/>
        <w:rPr>
          <w:rFonts w:ascii="Arial" w:eastAsia="Arial" w:hAnsi="Arial" w:cs="Arial"/>
          <w:b/>
          <w:bCs/>
          <w:color w:val="000000"/>
          <w:sz w:val="24"/>
          <w:szCs w:val="24"/>
        </w:rPr>
      </w:pPr>
    </w:p>
    <w:p w14:paraId="4E2E460C"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 xml:space="preserve">Para Maia (2018) um dos principais desafios é a ausência das partes nas audiências, o que acaba comprometendo a realização dos acordos. Além disso, não existe um padrão seguido no que se refere à parte que mais se ausenta. </w:t>
      </w:r>
    </w:p>
    <w:p w14:paraId="325050E8"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A ausência das partes nas audiências é, de fato, um desafio significativo em qualquer sistema de resolução de conflitos, como os Centros Judiciários de Solução de Conflitos e Cidadania (CEJUSCs). Quando as partes não parecem compatíveis, isso compromete seriamente a capacidade do sistema de alcançar acordos efetivos e solucionar disputas de maneira eficaz. A presença das partes é fundamental para o processo de negociação, uma vez que elas são as principais questões e conhecimento direto das questões em disputa.</w:t>
      </w:r>
    </w:p>
    <w:p w14:paraId="7CE4726E"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A falta de um padrão consistente em relação a qual parte se ausenta com mais frequência pode agravar esse problema, tornando-o ainda mais desafiadores de lidar. Isso cria incertezas e dificulta a gestão adequada das audiências e das expectativas das partes. Além disso, a falta de um padrão pode afetar a imparcialidade percebida do sistema, fazendo com que algumas partes acreditem que o processo é injusto.</w:t>
      </w:r>
    </w:p>
    <w:p w14:paraId="62199465" w14:textId="77777777" w:rsidR="00AF0E76" w:rsidRDefault="00AF0E76">
      <w:pPr>
        <w:pBdr>
          <w:top w:val="nil"/>
          <w:left w:val="nil"/>
          <w:bottom w:val="nil"/>
          <w:right w:val="nil"/>
          <w:between w:val="nil"/>
        </w:pBdr>
        <w:spacing w:line="360" w:lineRule="auto"/>
        <w:rPr>
          <w:rFonts w:ascii="Arial" w:eastAsia="Arial" w:hAnsi="Arial" w:cs="Arial"/>
          <w:color w:val="000000"/>
          <w:sz w:val="24"/>
          <w:szCs w:val="24"/>
        </w:rPr>
      </w:pPr>
    </w:p>
    <w:p w14:paraId="529F5F87" w14:textId="77777777" w:rsidR="00AF0E76" w:rsidRDefault="00F456ED">
      <w:pPr>
        <w:widowControl/>
        <w:numPr>
          <w:ilvl w:val="0"/>
          <w:numId w:val="3"/>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RESULTADOS E DISCUSSÕES</w:t>
      </w:r>
    </w:p>
    <w:p w14:paraId="0DA123B1" w14:textId="77777777" w:rsidR="00AF0E76" w:rsidRDefault="00AF0E76">
      <w:pPr>
        <w:widowControl/>
        <w:pBdr>
          <w:top w:val="nil"/>
          <w:left w:val="nil"/>
          <w:bottom w:val="nil"/>
          <w:right w:val="nil"/>
          <w:between w:val="nil"/>
        </w:pBdr>
        <w:spacing w:after="160" w:line="360" w:lineRule="auto"/>
        <w:rPr>
          <w:rFonts w:ascii="Arial" w:eastAsia="Arial" w:hAnsi="Arial" w:cs="Arial"/>
          <w:color w:val="000000"/>
          <w:sz w:val="24"/>
          <w:szCs w:val="24"/>
        </w:rPr>
      </w:pPr>
    </w:p>
    <w:p w14:paraId="12E04AB0" w14:textId="77777777" w:rsidR="00AF0E76" w:rsidRDefault="00F456ED">
      <w:pPr>
        <w:widowControl/>
        <w:pBdr>
          <w:top w:val="nil"/>
          <w:left w:val="nil"/>
          <w:bottom w:val="nil"/>
          <w:right w:val="nil"/>
          <w:between w:val="nil"/>
        </w:pBdr>
        <w:spacing w:line="360" w:lineRule="auto"/>
        <w:ind w:firstLine="660"/>
        <w:jc w:val="both"/>
        <w:rPr>
          <w:rFonts w:ascii="Arial" w:eastAsia="Arial" w:hAnsi="Arial" w:cs="Arial"/>
          <w:color w:val="000000"/>
          <w:sz w:val="24"/>
          <w:szCs w:val="24"/>
        </w:rPr>
      </w:pPr>
      <w:r>
        <w:rPr>
          <w:rFonts w:ascii="Arial" w:eastAsia="Arial" w:hAnsi="Arial" w:cs="Arial"/>
          <w:color w:val="000000"/>
          <w:sz w:val="24"/>
          <w:szCs w:val="24"/>
        </w:rPr>
        <w:t xml:space="preserve">O Comitê de Resolução de Disputas, também conhecido como </w:t>
      </w:r>
      <w:r>
        <w:rPr>
          <w:rFonts w:ascii="Arial" w:eastAsia="Arial" w:hAnsi="Arial" w:cs="Arial"/>
          <w:i/>
          <w:color w:val="000000"/>
          <w:sz w:val="24"/>
          <w:szCs w:val="24"/>
        </w:rPr>
        <w:t>Dispute Board</w:t>
      </w:r>
      <w:r>
        <w:rPr>
          <w:rFonts w:ascii="Arial" w:eastAsia="Arial" w:hAnsi="Arial" w:cs="Arial"/>
          <w:color w:val="000000"/>
          <w:sz w:val="24"/>
          <w:szCs w:val="24"/>
        </w:rPr>
        <w:t xml:space="preserve">, é um eficaz meio de solucionar conflitos em contratos, tanto públicos quanto privados. </w:t>
      </w:r>
      <w:r>
        <w:rPr>
          <w:rFonts w:ascii="Arial" w:eastAsia="Arial" w:hAnsi="Arial" w:cs="Arial"/>
          <w:color w:val="000000"/>
          <w:sz w:val="24"/>
          <w:szCs w:val="24"/>
        </w:rPr>
        <w:lastRenderedPageBreak/>
        <w:t>Envolve a seleção de especialistas em contratos com experiência e imparcialidade para acompanhar o processo de execução do contrato, incluindo a fase pré-contratual. Um de seus principais objetivos é ajudar as partes a antecipar a resolução de conflitos antes que se tornem disputas formais (ESTEVÃO e LIMA, 2022).</w:t>
      </w:r>
    </w:p>
    <w:p w14:paraId="0040E51D" w14:textId="77777777" w:rsidR="00AF0E76" w:rsidRDefault="00F456ED">
      <w:pPr>
        <w:widowControl/>
        <w:pBdr>
          <w:top w:val="nil"/>
          <w:left w:val="nil"/>
          <w:bottom w:val="nil"/>
          <w:right w:val="nil"/>
          <w:between w:val="nil"/>
        </w:pBdr>
        <w:spacing w:line="360" w:lineRule="auto"/>
        <w:ind w:firstLine="660"/>
        <w:jc w:val="both"/>
        <w:rPr>
          <w:rFonts w:ascii="Arial" w:eastAsia="Arial" w:hAnsi="Arial" w:cs="Arial"/>
          <w:color w:val="000000"/>
          <w:sz w:val="24"/>
          <w:szCs w:val="24"/>
        </w:rPr>
      </w:pPr>
      <w:r>
        <w:rPr>
          <w:rFonts w:ascii="Arial" w:eastAsia="Arial" w:hAnsi="Arial" w:cs="Arial"/>
          <w:color w:val="000000"/>
          <w:sz w:val="24"/>
          <w:szCs w:val="24"/>
        </w:rPr>
        <w:t>Na esfera da Administração Pública, os Comitês de Resolução de Disputas estão se tornando uma opção viável para resolver conflitos em contratos públicos, especialmente na construção civil. Isso ajuda a preservar o orçamento e o cronograma das obras, alinhando-se ao princípio da eficiência estabelecido na Constituição Federal de 1988 (ESTEVÃO e LIMA, 2022).</w:t>
      </w:r>
    </w:p>
    <w:p w14:paraId="6217EC19" w14:textId="77777777" w:rsidR="00AF0E76" w:rsidRDefault="00F456ED">
      <w:pPr>
        <w:widowControl/>
        <w:pBdr>
          <w:top w:val="nil"/>
          <w:left w:val="nil"/>
          <w:bottom w:val="nil"/>
          <w:right w:val="nil"/>
          <w:between w:val="nil"/>
        </w:pBdr>
        <w:spacing w:line="360" w:lineRule="auto"/>
        <w:ind w:firstLine="660"/>
        <w:jc w:val="both"/>
        <w:rPr>
          <w:rFonts w:ascii="Arial" w:eastAsia="Arial" w:hAnsi="Arial" w:cs="Arial"/>
          <w:color w:val="000000"/>
          <w:sz w:val="24"/>
          <w:szCs w:val="24"/>
        </w:rPr>
      </w:pPr>
      <w:r>
        <w:rPr>
          <w:rFonts w:ascii="Arial" w:eastAsia="Arial" w:hAnsi="Arial" w:cs="Arial"/>
          <w:color w:val="000000"/>
          <w:sz w:val="24"/>
          <w:szCs w:val="24"/>
        </w:rPr>
        <w:t>A Lei de Licitações e Contratos Administrativos, promulgada em 2021, inovou ao reconhecer o Comitê de Resolução de Disputas como um meio alternativo de resolver controvérsias, conforme o artigo 151. No entanto, diferentemente da Arbitragem e Mediação, que têm legislação específica, os Comitês de Resolução de Disputas carecem de uma regulamentação mais detalhada, como apontado por Maria Sylvia Zanella Di Pietro (2022).</w:t>
      </w:r>
    </w:p>
    <w:p w14:paraId="77942147" w14:textId="77777777" w:rsidR="00AF0E76" w:rsidRDefault="00F456ED">
      <w:pPr>
        <w:widowControl/>
        <w:pBdr>
          <w:top w:val="nil"/>
          <w:left w:val="nil"/>
          <w:bottom w:val="nil"/>
          <w:right w:val="nil"/>
          <w:between w:val="nil"/>
        </w:pBdr>
        <w:spacing w:line="360" w:lineRule="auto"/>
        <w:ind w:firstLine="660"/>
        <w:jc w:val="both"/>
        <w:rPr>
          <w:rFonts w:ascii="Arial" w:eastAsia="Arial" w:hAnsi="Arial" w:cs="Arial"/>
          <w:color w:val="000000"/>
          <w:sz w:val="24"/>
          <w:szCs w:val="24"/>
        </w:rPr>
      </w:pPr>
      <w:r>
        <w:rPr>
          <w:rFonts w:ascii="Arial" w:eastAsia="Arial" w:hAnsi="Arial" w:cs="Arial"/>
          <w:color w:val="000000"/>
          <w:sz w:val="24"/>
          <w:szCs w:val="24"/>
        </w:rPr>
        <w:t>Apesar da ausência de uma lei federal abrangente, alguns municípios, como São Paulo e Belo Horizonte, promulgaram leis locais que regulamentam a instalação de Comitês de Prevenção e Solução de Disputas em contratos administrativos. Isso representa um passo importante na disseminação desse método de resolução de conflitos no setor público.</w:t>
      </w:r>
    </w:p>
    <w:p w14:paraId="5AA82389"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 xml:space="preserve">A Assembleia Legislativa da Paraíba realizou uma Sessão Especial para discutir a implementação dos Comitês de Resolução de Disputas, também conhecidos como </w:t>
      </w:r>
      <w:r>
        <w:rPr>
          <w:rFonts w:ascii="Arial" w:eastAsia="Arial" w:hAnsi="Arial" w:cs="Arial"/>
          <w:i/>
          <w:sz w:val="24"/>
          <w:szCs w:val="24"/>
        </w:rPr>
        <w:t>Dispute Boards</w:t>
      </w:r>
      <w:r>
        <w:rPr>
          <w:rFonts w:ascii="Arial" w:eastAsia="Arial" w:hAnsi="Arial" w:cs="Arial"/>
          <w:sz w:val="24"/>
          <w:szCs w:val="24"/>
        </w:rPr>
        <w:t>. Proposto pelo deputado Tovar Correia Lima, o evento aconteceu no Plenário Deputado José Mariz e contou com a presença de palestrantes e representantes do governo (ALPB, 2019).</w:t>
      </w:r>
    </w:p>
    <w:p w14:paraId="53BB0099"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 xml:space="preserve">A iniciativa do Poder Legislativo em dar destaque ao </w:t>
      </w:r>
      <w:r>
        <w:rPr>
          <w:rFonts w:ascii="Arial" w:eastAsia="Arial" w:hAnsi="Arial" w:cs="Arial"/>
          <w:i/>
          <w:sz w:val="24"/>
          <w:szCs w:val="24"/>
        </w:rPr>
        <w:t>Dispute Board</w:t>
      </w:r>
      <w:r>
        <w:rPr>
          <w:rFonts w:ascii="Arial" w:eastAsia="Arial" w:hAnsi="Arial" w:cs="Arial"/>
          <w:sz w:val="24"/>
          <w:szCs w:val="24"/>
        </w:rPr>
        <w:t xml:space="preserve"> traz boas perspectivas, e a possível criação de um Projeto de Lei sobre o assunto é vista como uma oportunidade benéfica tanto para o Estado quanto para a população. (ALPB, 2019).</w:t>
      </w:r>
    </w:p>
    <w:p w14:paraId="2AA142C5"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Considerando que a Paraiba não possui até o presente momento um Comite de Resolução de conflitos, a base de comparação é o CEJUS que apresenta os seguintes desafios, de acordo com Maia (2018):</w:t>
      </w:r>
    </w:p>
    <w:p w14:paraId="1BFB2EC2"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 Transformação da cultura do litígio em uma cultura de pacificação social;</w:t>
      </w:r>
    </w:p>
    <w:p w14:paraId="31136E83" w14:textId="40B2D59B" w:rsidR="00AF0E76" w:rsidRDefault="4FC701EA" w:rsidP="4FC701EA">
      <w:pPr>
        <w:spacing w:line="360" w:lineRule="auto"/>
        <w:ind w:firstLine="709"/>
        <w:jc w:val="both"/>
        <w:rPr>
          <w:rFonts w:ascii="Arial" w:eastAsia="Arial" w:hAnsi="Arial" w:cs="Arial"/>
          <w:sz w:val="24"/>
          <w:szCs w:val="24"/>
        </w:rPr>
      </w:pPr>
      <w:r w:rsidRPr="4FC701EA">
        <w:rPr>
          <w:rFonts w:ascii="Arial" w:eastAsia="Arial" w:hAnsi="Arial" w:cs="Arial"/>
          <w:sz w:val="24"/>
          <w:szCs w:val="24"/>
        </w:rPr>
        <w:lastRenderedPageBreak/>
        <w:t>- Falta de conhecimento e informação sobre os métodos consensuais de resolução de conflitos por parte da população;</w:t>
      </w:r>
    </w:p>
    <w:p w14:paraId="0FB18A37" w14:textId="3C166BD7" w:rsidR="00AF0E76" w:rsidRDefault="4FC701EA">
      <w:pPr>
        <w:spacing w:line="360" w:lineRule="auto"/>
        <w:ind w:firstLine="709"/>
        <w:jc w:val="both"/>
        <w:rPr>
          <w:rFonts w:ascii="Arial" w:eastAsia="Arial" w:hAnsi="Arial" w:cs="Arial"/>
          <w:sz w:val="24"/>
          <w:szCs w:val="24"/>
        </w:rPr>
      </w:pPr>
      <w:r w:rsidRPr="4FC701EA">
        <w:rPr>
          <w:rFonts w:ascii="Arial" w:eastAsia="Arial" w:hAnsi="Arial" w:cs="Arial"/>
          <w:sz w:val="24"/>
          <w:szCs w:val="24"/>
        </w:rPr>
        <w:t>- Ausência das partes nas audiências, comprometendo a realização dos acordos;</w:t>
      </w:r>
    </w:p>
    <w:p w14:paraId="4BE6DC98"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 Falta de um padrão seguido no que se refere à parte que mais se ausenta;</w:t>
      </w:r>
    </w:p>
    <w:p w14:paraId="724438DF" w14:textId="2CEDB816" w:rsidR="00AF0E76" w:rsidRDefault="4FC701EA">
      <w:pPr>
        <w:spacing w:line="360" w:lineRule="auto"/>
        <w:ind w:firstLine="709"/>
        <w:jc w:val="both"/>
        <w:rPr>
          <w:rFonts w:ascii="Arial" w:eastAsia="Arial" w:hAnsi="Arial" w:cs="Arial"/>
          <w:sz w:val="24"/>
          <w:szCs w:val="24"/>
        </w:rPr>
      </w:pPr>
      <w:r w:rsidRPr="4FC701EA">
        <w:rPr>
          <w:rFonts w:ascii="Arial" w:eastAsia="Arial" w:hAnsi="Arial" w:cs="Arial"/>
          <w:sz w:val="24"/>
          <w:szCs w:val="24"/>
        </w:rPr>
        <w:t>- Dificuldade em lidar com conflitos complexos ou de grande repercussão social;</w:t>
      </w:r>
    </w:p>
    <w:p w14:paraId="3E9D35B7"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 Falta de recursos financeiros e humanos para a implementação e manutenção dos CEJUSCs;</w:t>
      </w:r>
    </w:p>
    <w:p w14:paraId="3FA561EF" w14:textId="77777777" w:rsidR="00AF0E76" w:rsidRDefault="00F456ED">
      <w:pPr>
        <w:spacing w:line="360" w:lineRule="auto"/>
        <w:ind w:firstLine="709"/>
        <w:jc w:val="both"/>
        <w:rPr>
          <w:rFonts w:ascii="Arial" w:eastAsia="Arial" w:hAnsi="Arial" w:cs="Arial"/>
          <w:sz w:val="24"/>
          <w:szCs w:val="24"/>
        </w:rPr>
      </w:pPr>
      <w:r>
        <w:rPr>
          <w:rFonts w:ascii="Arial" w:eastAsia="Arial" w:hAnsi="Arial" w:cs="Arial"/>
          <w:sz w:val="24"/>
          <w:szCs w:val="24"/>
        </w:rPr>
        <w:t>- Resistência por parte de alguns profissionais do direito em relação aos métodos consensuais de resolução de conflitos.</w:t>
      </w:r>
    </w:p>
    <w:p w14:paraId="0610EFB2" w14:textId="77777777" w:rsidR="00AF0E76" w:rsidRDefault="00F456ED">
      <w:pPr>
        <w:widowControl/>
        <w:pBdr>
          <w:top w:val="nil"/>
          <w:left w:val="nil"/>
          <w:bottom w:val="nil"/>
          <w:right w:val="nil"/>
          <w:between w:val="nil"/>
        </w:pBdr>
        <w:spacing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Isso demonstra que o contexto Socioeconômico da Paraíba e a capacidade Institucional e barreiras Culturais e Institucionais são um fator que dificulta a implantação dos </w:t>
      </w:r>
      <w:r>
        <w:rPr>
          <w:rFonts w:ascii="Arial" w:eastAsia="Arial" w:hAnsi="Arial" w:cs="Arial"/>
          <w:i/>
          <w:color w:val="000000"/>
          <w:sz w:val="24"/>
          <w:szCs w:val="24"/>
          <w:highlight w:val="white"/>
        </w:rPr>
        <w:t>Dispute Board</w:t>
      </w:r>
      <w:r>
        <w:rPr>
          <w:rFonts w:ascii="Arial" w:eastAsia="Arial" w:hAnsi="Arial" w:cs="Arial"/>
          <w:color w:val="000000"/>
          <w:sz w:val="24"/>
          <w:szCs w:val="24"/>
          <w:highlight w:val="white"/>
        </w:rPr>
        <w:t>s na Paraíba.</w:t>
      </w:r>
    </w:p>
    <w:p w14:paraId="415BF365" w14:textId="77777777" w:rsidR="00AF0E76" w:rsidRDefault="00F456ED">
      <w:pPr>
        <w:widowControl/>
        <w:pBdr>
          <w:top w:val="nil"/>
          <w:left w:val="nil"/>
          <w:bottom w:val="nil"/>
          <w:right w:val="nil"/>
          <w:between w:val="nil"/>
        </w:pBdr>
        <w:spacing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O Estado pioneiro na aplicação dos CRD’S foi o Estado de São Paulo. Os “CRD’s” (Comitês de Resolução de Disputas) são um mecanismo relativamente recente no Brasil e que ainda estão em uma fase inicial de adoção. Embora tenham se originado em países que seguem o sistema jurídico da common law, como a arbitragem, sua aplicabilidade no sistema jurídico brasileiro não é muito diferente. Os CRD's são regulados pelas regras convencionadas pelas partes e são vistos como uma opção para solucionar conflitos em contratos privados. No entanto, o seu uso no Brasil, que segue o sistema jurídico do Direito Civil, ainda não é amplamente difundido (ALPB, 2018).</w:t>
      </w:r>
    </w:p>
    <w:p w14:paraId="6E6BC632" w14:textId="77777777" w:rsidR="00AF0E76" w:rsidRDefault="00F456ED">
      <w:pPr>
        <w:widowControl/>
        <w:pBdr>
          <w:top w:val="nil"/>
          <w:left w:val="nil"/>
          <w:bottom w:val="nil"/>
          <w:right w:val="nil"/>
          <w:between w:val="nil"/>
        </w:pBdr>
        <w:spacing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Sob a influência da necessidade de investimentos em infraestrutura, os CRD's envolveram a atrair mais atenção no Brasil, especialmente em projetos financiados por instituições financeiras internacionais, como o Banco Mundial e o Banco Interamericano de Desenvolvimento (BID). Um exemplo é a Linha Amarela do Metrô de São Paulo, onde o uso de CRD era uma condição para o financiamento da obra pelo BID. No entanto, também é apontado que, em alguns casos, a adesão aos CRD's pode ser mais motivada pelo interesse em obter financiamento do que pela resolução de conflitos em si (UBATUBA, 2020).</w:t>
      </w:r>
    </w:p>
    <w:p w14:paraId="175DD05F" w14:textId="77777777" w:rsidR="00AF0E76" w:rsidRDefault="00F456ED">
      <w:pPr>
        <w:widowControl/>
        <w:pBdr>
          <w:top w:val="nil"/>
          <w:left w:val="nil"/>
          <w:bottom w:val="nil"/>
          <w:right w:val="nil"/>
          <w:between w:val="nil"/>
        </w:pBdr>
        <w:spacing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No setor público, existem alguns diplomas legais que permitem a utilização de mecanismos privados de solução de litígios, incluindo os CRD's, em contratos públicos. No entanto, a adoção dos CRD's em contratos administrativos ainda é vista </w:t>
      </w:r>
      <w:r>
        <w:rPr>
          <w:rFonts w:ascii="Arial" w:eastAsia="Arial" w:hAnsi="Arial" w:cs="Arial"/>
          <w:color w:val="000000"/>
          <w:sz w:val="24"/>
          <w:szCs w:val="24"/>
        </w:rPr>
        <w:lastRenderedPageBreak/>
        <w:t>como incipiente e controversa, com opiniões divergentes sobre sua compatibilidade com o sistema legal brasileiro. Alguns autores argumentam que os CRD's podem ser aplicados, desde que sejam benéficos relacionados aos direitos patrimoniais disponíveis e não entrem em conflito com o interesse público primário, enquanto outros questionam sua legalidade em contratos públicos (Ubatuba, 2020).</w:t>
      </w:r>
    </w:p>
    <w:p w14:paraId="2C9F9533" w14:textId="77777777" w:rsidR="00AF0E76" w:rsidRDefault="00F456ED">
      <w:pPr>
        <w:widowControl/>
        <w:pBdr>
          <w:top w:val="nil"/>
          <w:left w:val="nil"/>
          <w:bottom w:val="nil"/>
          <w:right w:val="nil"/>
          <w:between w:val="nil"/>
        </w:pBdr>
        <w:spacing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No geral, os CRD's estão começando a chamar a atenção no Brasil, principalmente no setor de construção civil e em projetos de infraestrutura, mas sua adoção ainda é relativamente limitada e enfrenta desafios em relação à legislação e à cultura conciliatória no país. Projetos de lei e iniciativas estão em andamento para regulamentos e promoção do uso de CRD's no Brasil, o que poderia contribuir para sua utilização e adoção no futuro (Ubatuba, 2020).</w:t>
      </w:r>
    </w:p>
    <w:p w14:paraId="37B8665D" w14:textId="77777777" w:rsidR="00AF0E76" w:rsidRDefault="4FC701EA" w:rsidP="4FC701EA">
      <w:pPr>
        <w:widowControl/>
        <w:numPr>
          <w:ilvl w:val="0"/>
          <w:numId w:val="3"/>
        </w:numPr>
        <w:pBdr>
          <w:top w:val="nil"/>
          <w:left w:val="nil"/>
          <w:bottom w:val="nil"/>
          <w:right w:val="nil"/>
          <w:between w:val="nil"/>
        </w:pBdr>
        <w:spacing w:before="280" w:after="280" w:line="360" w:lineRule="auto"/>
        <w:jc w:val="both"/>
        <w:rPr>
          <w:rFonts w:ascii="Arial" w:eastAsia="Arial" w:hAnsi="Arial" w:cs="Arial"/>
          <w:color w:val="000000"/>
          <w:sz w:val="24"/>
          <w:szCs w:val="24"/>
        </w:rPr>
      </w:pPr>
      <w:r w:rsidRPr="4FC701EA">
        <w:rPr>
          <w:rFonts w:ascii="Arial" w:eastAsia="Arial" w:hAnsi="Arial" w:cs="Arial"/>
          <w:color w:val="000000" w:themeColor="text1"/>
          <w:sz w:val="24"/>
          <w:szCs w:val="24"/>
        </w:rPr>
        <w:t>CONSIDERAÇÕES FINAIS</w:t>
      </w:r>
    </w:p>
    <w:p w14:paraId="65A93237" w14:textId="77777777" w:rsidR="00AF0E76" w:rsidRDefault="00F456ED">
      <w:pPr>
        <w:widowControl/>
        <w:pBdr>
          <w:top w:val="nil"/>
          <w:left w:val="nil"/>
          <w:bottom w:val="nil"/>
          <w:right w:val="nil"/>
          <w:between w:val="nil"/>
        </w:pBdr>
        <w:spacing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As pesquisas sobre o tema abrangem a importância dos Comitês de Resolução de Disputas (CRD’s) como uma ferramenta valiosa na resolução de conflitos contratuais. Esses comitês oferecem uma abordagem colaborativa que não apenas monitora a execução dos contratos, mas também ajuda a reduzir a assimetria de informações e acelerar o processo de prevenção e resolução de problemas. Isso se aplica tanto ao setor público quanto ao privado e tem o potencial de melhorar a eficácia e eficiência na execução de projetos e contratos.</w:t>
      </w:r>
    </w:p>
    <w:p w14:paraId="70E9AF23" w14:textId="77777777" w:rsidR="00AF0E76" w:rsidRDefault="00F456ED">
      <w:pPr>
        <w:widowControl/>
        <w:pBdr>
          <w:top w:val="nil"/>
          <w:left w:val="nil"/>
          <w:bottom w:val="nil"/>
          <w:right w:val="nil"/>
          <w:between w:val="nil"/>
        </w:pBdr>
        <w:spacing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Além disso, é necessário observar o contexto jurídico da Paraíba e o desafio de implementar CRDs em uma jurisdição que segue o sistema jurídico do Direito Civil. Superar barreiras culturais e institucionais é fundamental para promover a adoção de CRDs na região.</w:t>
      </w:r>
    </w:p>
    <w:p w14:paraId="64EC2B78" w14:textId="77777777" w:rsidR="00AF0E76" w:rsidRDefault="00F456ED">
      <w:pPr>
        <w:widowControl/>
        <w:pBdr>
          <w:top w:val="nil"/>
          <w:left w:val="nil"/>
          <w:bottom w:val="nil"/>
          <w:right w:val="nil"/>
          <w:between w:val="nil"/>
        </w:pBdr>
        <w:spacing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A experiência do Estado de São Paulo, pioneira na aplicação de CRDs, serve como um exemplo valioso, revelando tanto o potencial quanto os obstáculos enfrentados no Brasil. Estudos comparativos entre diferentes estados e jurisdições podem enriquecer nossa compreensão sobre a eficácia e os desafios dos CRDs em contextos diversos.</w:t>
      </w:r>
    </w:p>
    <w:p w14:paraId="6D30785B" w14:textId="77777777" w:rsidR="00AF0E76" w:rsidRDefault="00F456ED">
      <w:pPr>
        <w:widowControl/>
        <w:pBdr>
          <w:top w:val="nil"/>
          <w:left w:val="nil"/>
          <w:bottom w:val="nil"/>
          <w:right w:val="nil"/>
          <w:between w:val="nil"/>
        </w:pBdr>
        <w:spacing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Pesquisas futuras podem explorar a implementação dos CRDs em diferentes regiões do Brasil, especialmente na Paraíba, considerando a legislação local, a cultura jurídica e os resultados obtidos. Além disso, é importante investigar como os CRDs </w:t>
      </w:r>
      <w:r>
        <w:rPr>
          <w:rFonts w:ascii="Arial" w:eastAsia="Arial" w:hAnsi="Arial" w:cs="Arial"/>
          <w:color w:val="000000"/>
          <w:sz w:val="24"/>
          <w:szCs w:val="24"/>
        </w:rPr>
        <w:lastRenderedPageBreak/>
        <w:t>afetam a eficiência de projetos, custos e a satisfação das partes envolvidas, especialmente em obras públicas e contratos de infraestrutura.</w:t>
      </w:r>
    </w:p>
    <w:p w14:paraId="3390AE7A" w14:textId="77777777" w:rsidR="00AF0E76" w:rsidRDefault="00F456ED">
      <w:pPr>
        <w:widowControl/>
        <w:pBdr>
          <w:top w:val="nil"/>
          <w:left w:val="nil"/>
          <w:bottom w:val="nil"/>
          <w:right w:val="nil"/>
          <w:between w:val="nil"/>
        </w:pBdr>
        <w:spacing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É fundamental abordar a acessibilidade cultural dos CRDs no Brasil e o papel das políticas públicas na promoção desses métodos alternativos de resolução de disputas, incluindo a possível resistência dos profissionais ao direito à sua adoção. Acompanhar o desenvolvimento de leis e regulamentações relacionadas aos CRDs e estudos de caso em projetos que implementam esses comitês são passos essenciais para avançar nessa área.</w:t>
      </w:r>
    </w:p>
    <w:p w14:paraId="2F96EBCD" w14:textId="095EA80F" w:rsidR="00AF0E76" w:rsidRDefault="4FC701EA" w:rsidP="4FC701EA">
      <w:pPr>
        <w:widowControl/>
        <w:pBdr>
          <w:top w:val="nil"/>
          <w:left w:val="nil"/>
          <w:bottom w:val="nil"/>
          <w:right w:val="nil"/>
          <w:between w:val="nil"/>
        </w:pBdr>
        <w:spacing w:line="360" w:lineRule="auto"/>
        <w:ind w:firstLine="709"/>
        <w:jc w:val="both"/>
        <w:rPr>
          <w:rFonts w:ascii="Arial" w:eastAsia="Arial" w:hAnsi="Arial" w:cs="Arial"/>
          <w:color w:val="000000"/>
          <w:sz w:val="24"/>
          <w:szCs w:val="24"/>
        </w:rPr>
      </w:pPr>
      <w:r w:rsidRPr="4FC701EA">
        <w:rPr>
          <w:rFonts w:ascii="Arial" w:eastAsia="Arial" w:hAnsi="Arial" w:cs="Arial"/>
          <w:color w:val="000000" w:themeColor="text1"/>
          <w:sz w:val="24"/>
          <w:szCs w:val="24"/>
        </w:rPr>
        <w:t>Em resumo, utilização de CRDs no Estado da Paraíba é extremamente viável e possível de implantação, pois representam uma alternativa promissora para a resolução de controvérsias contratuais, com potencial para melhorar a eficiência e a justiça na execução de contratos e projetos, desde que sejam sanados os entraves culturais, pois é necessário criar condições para a implantação de tais comitês, exemplo, sendo essa uma condição para a realização de licitações públicas. É necessário também dirimir as barreiras institucionais, pois a implantação dos CRD’s depende da ação do Estado em implantá-los, o que acaba por envolver questões políticas.</w:t>
      </w:r>
    </w:p>
    <w:p w14:paraId="1471602A" w14:textId="1B828AA4" w:rsidR="00AF0E76" w:rsidRDefault="4FC701EA" w:rsidP="4FC701EA">
      <w:pPr>
        <w:widowControl/>
        <w:pBdr>
          <w:top w:val="nil"/>
          <w:left w:val="nil"/>
          <w:bottom w:val="nil"/>
          <w:right w:val="nil"/>
          <w:between w:val="nil"/>
        </w:pBdr>
        <w:spacing w:line="360" w:lineRule="auto"/>
        <w:ind w:firstLine="709"/>
        <w:jc w:val="both"/>
        <w:rPr>
          <w:rFonts w:ascii="Arial" w:eastAsia="Arial" w:hAnsi="Arial" w:cs="Arial"/>
          <w:color w:val="000000"/>
          <w:sz w:val="24"/>
          <w:szCs w:val="24"/>
        </w:rPr>
      </w:pPr>
      <w:r w:rsidRPr="4FC701EA">
        <w:rPr>
          <w:rFonts w:ascii="Arial" w:eastAsia="Arial" w:hAnsi="Arial" w:cs="Arial"/>
          <w:color w:val="000000" w:themeColor="text1"/>
          <w:sz w:val="24"/>
          <w:szCs w:val="24"/>
        </w:rPr>
        <w:t>Superando tais obstáculos, é nítido que não apenas é viável a implantação dos Comitês de resolução de disputas no Estado da Paraíba, como também é primordial para que garanta maior transparência e lisura, especialmente nos contratos administrativos.</w:t>
      </w:r>
    </w:p>
    <w:p w14:paraId="4C4CEA3D" w14:textId="77777777" w:rsidR="00AF0E76" w:rsidRDefault="00AF0E76">
      <w:pPr>
        <w:widowControl/>
        <w:pBdr>
          <w:top w:val="nil"/>
          <w:left w:val="nil"/>
          <w:bottom w:val="nil"/>
          <w:right w:val="nil"/>
          <w:between w:val="nil"/>
        </w:pBdr>
        <w:spacing w:line="360" w:lineRule="auto"/>
        <w:ind w:firstLine="709"/>
        <w:jc w:val="both"/>
        <w:rPr>
          <w:rFonts w:ascii="Arial" w:eastAsia="Arial" w:hAnsi="Arial" w:cs="Arial"/>
          <w:color w:val="000000"/>
          <w:sz w:val="24"/>
          <w:szCs w:val="24"/>
        </w:rPr>
      </w:pPr>
    </w:p>
    <w:p w14:paraId="7508AC33" w14:textId="77777777" w:rsidR="00AF0E76" w:rsidRDefault="4FC701EA" w:rsidP="4FC701EA">
      <w:pPr>
        <w:widowControl/>
        <w:pBdr>
          <w:top w:val="nil"/>
          <w:left w:val="nil"/>
          <w:bottom w:val="nil"/>
          <w:right w:val="nil"/>
          <w:between w:val="nil"/>
        </w:pBdr>
        <w:spacing w:before="280" w:after="280" w:line="360" w:lineRule="auto"/>
        <w:ind w:left="720"/>
        <w:jc w:val="both"/>
        <w:rPr>
          <w:rFonts w:ascii="Arial" w:eastAsia="Arial" w:hAnsi="Arial" w:cs="Arial"/>
          <w:b/>
          <w:bCs/>
          <w:color w:val="000000"/>
          <w:sz w:val="24"/>
          <w:szCs w:val="24"/>
        </w:rPr>
      </w:pPr>
      <w:r w:rsidRPr="4FC701EA">
        <w:rPr>
          <w:rFonts w:ascii="Arial" w:eastAsia="Arial" w:hAnsi="Arial" w:cs="Arial"/>
          <w:b/>
          <w:bCs/>
          <w:color w:val="000000" w:themeColor="text1"/>
          <w:sz w:val="24"/>
          <w:szCs w:val="24"/>
        </w:rPr>
        <w:t>REFERÊNCIAS</w:t>
      </w:r>
    </w:p>
    <w:p w14:paraId="2A6FE4CA" w14:textId="77777777" w:rsidR="00AF0E76" w:rsidRDefault="7D535926" w:rsidP="4FC701EA">
      <w:pPr>
        <w:widowControl/>
        <w:pBdr>
          <w:top w:val="nil"/>
          <w:left w:val="nil"/>
          <w:bottom w:val="nil"/>
          <w:right w:val="nil"/>
          <w:between w:val="nil"/>
        </w:pBdr>
        <w:jc w:val="both"/>
        <w:rPr>
          <w:rFonts w:ascii="Arial" w:eastAsia="Arial" w:hAnsi="Arial" w:cs="Arial"/>
          <w:color w:val="000000"/>
          <w:sz w:val="24"/>
          <w:szCs w:val="24"/>
        </w:rPr>
      </w:pPr>
      <w:r w:rsidRPr="7D535926">
        <w:rPr>
          <w:rFonts w:ascii="Arial" w:eastAsia="Arial" w:hAnsi="Arial" w:cs="Arial"/>
          <w:color w:val="000000" w:themeColor="text1"/>
          <w:sz w:val="24"/>
          <w:szCs w:val="24"/>
        </w:rPr>
        <w:t xml:space="preserve">BASÍLIO, Celso Ricardo de Oliveira. </w:t>
      </w:r>
      <w:r w:rsidRPr="7D535926">
        <w:rPr>
          <w:rFonts w:ascii="Arial" w:eastAsia="Arial" w:hAnsi="Arial" w:cs="Arial"/>
          <w:b/>
          <w:bCs/>
          <w:color w:val="000000" w:themeColor="text1"/>
          <w:sz w:val="24"/>
          <w:szCs w:val="24"/>
        </w:rPr>
        <w:t>Dispute Boards: método de prevenção ou solução de conflitos em contratos</w:t>
      </w:r>
      <w:r w:rsidRPr="7D535926">
        <w:rPr>
          <w:rFonts w:ascii="Arial" w:eastAsia="Arial" w:hAnsi="Arial" w:cs="Arial"/>
          <w:color w:val="000000" w:themeColor="text1"/>
          <w:sz w:val="24"/>
          <w:szCs w:val="24"/>
        </w:rPr>
        <w:t>./ Celso Ricardo de Oliveira Basílio. – São Paulo, 2020. 42f.</w:t>
      </w:r>
    </w:p>
    <w:p w14:paraId="53E1283E" w14:textId="2738D03E" w:rsidR="7D535926" w:rsidRDefault="7D535926" w:rsidP="7D535926">
      <w:pPr>
        <w:widowControl/>
        <w:pBdr>
          <w:top w:val="nil"/>
          <w:left w:val="nil"/>
          <w:bottom w:val="nil"/>
          <w:right w:val="nil"/>
          <w:between w:val="nil"/>
        </w:pBdr>
        <w:jc w:val="both"/>
        <w:rPr>
          <w:rFonts w:ascii="Arial" w:eastAsia="Arial" w:hAnsi="Arial" w:cs="Arial"/>
          <w:color w:val="000000" w:themeColor="text1"/>
          <w:sz w:val="24"/>
          <w:szCs w:val="24"/>
        </w:rPr>
      </w:pPr>
    </w:p>
    <w:p w14:paraId="495942FF" w14:textId="6D10B311" w:rsidR="00AF0E76" w:rsidRDefault="7D535926" w:rsidP="7D535926">
      <w:pPr>
        <w:widowControl/>
        <w:pBdr>
          <w:top w:val="nil"/>
          <w:left w:val="nil"/>
          <w:bottom w:val="nil"/>
          <w:right w:val="nil"/>
          <w:between w:val="nil"/>
        </w:pBdr>
        <w:jc w:val="both"/>
        <w:rPr>
          <w:rFonts w:ascii="Arial" w:eastAsia="Arial" w:hAnsi="Arial" w:cs="Arial"/>
          <w:color w:val="000000"/>
          <w:sz w:val="24"/>
          <w:szCs w:val="24"/>
        </w:rPr>
      </w:pPr>
      <w:r w:rsidRPr="7D535926">
        <w:rPr>
          <w:rFonts w:ascii="Arial" w:eastAsia="Arial" w:hAnsi="Arial" w:cs="Arial"/>
          <w:color w:val="000000" w:themeColor="text1"/>
          <w:sz w:val="24"/>
          <w:szCs w:val="24"/>
        </w:rPr>
        <w:t xml:space="preserve">BRASIL. Lei nº 13.129, de 16 de maio de 2015. Altera a Lei nº 9.307, de 23 de setembro de 1996, e a Lei nº 6.404, de 15 de dezembro de 1976, </w:t>
      </w:r>
      <w:r w:rsidRPr="7D535926">
        <w:rPr>
          <w:rFonts w:ascii="Arial" w:eastAsia="Arial" w:hAnsi="Arial" w:cs="Arial"/>
          <w:b/>
          <w:bCs/>
          <w:color w:val="000000" w:themeColor="text1"/>
          <w:sz w:val="24"/>
          <w:szCs w:val="24"/>
        </w:rPr>
        <w:t>para ampliar o âmbito de aplicação da arbitragem e dispor sobre a escolha dos árbitros quando as partes recorrem a órgão arbitral, a interrupção da prescrição pela instituição da arbitragem, a concessão de tutelas cautelares e de urgência nos casos de arbitragem, a carta arbitral e a sentença arbitral, e revoga dispositivos da Lei nº 9.307, de 23 de setembro de 1996</w:t>
      </w:r>
      <w:r w:rsidRPr="7D535926">
        <w:rPr>
          <w:rFonts w:ascii="Arial" w:eastAsia="Arial" w:hAnsi="Arial" w:cs="Arial"/>
          <w:color w:val="000000" w:themeColor="text1"/>
          <w:sz w:val="24"/>
          <w:szCs w:val="24"/>
        </w:rPr>
        <w:t>. Disponível em: . Acesso em:25/10/2023.</w:t>
      </w:r>
    </w:p>
    <w:p w14:paraId="6AE0D64B" w14:textId="381D7722" w:rsidR="7D535926" w:rsidRDefault="7D535926" w:rsidP="7D535926">
      <w:pPr>
        <w:widowControl/>
        <w:pBdr>
          <w:top w:val="nil"/>
          <w:left w:val="nil"/>
          <w:bottom w:val="nil"/>
          <w:right w:val="nil"/>
          <w:between w:val="nil"/>
        </w:pBdr>
        <w:jc w:val="both"/>
        <w:rPr>
          <w:rFonts w:ascii="Arial" w:eastAsia="Arial" w:hAnsi="Arial" w:cs="Arial"/>
          <w:color w:val="000000" w:themeColor="text1"/>
          <w:sz w:val="24"/>
          <w:szCs w:val="24"/>
        </w:rPr>
      </w:pPr>
    </w:p>
    <w:p w14:paraId="08B83DEE" w14:textId="77777777" w:rsidR="00AF0E76" w:rsidRDefault="7D535926" w:rsidP="4FC701EA">
      <w:pPr>
        <w:widowControl/>
        <w:pBdr>
          <w:top w:val="nil"/>
          <w:left w:val="nil"/>
          <w:bottom w:val="nil"/>
          <w:right w:val="nil"/>
          <w:between w:val="nil"/>
        </w:pBdr>
        <w:jc w:val="both"/>
        <w:rPr>
          <w:rFonts w:ascii="Arial" w:eastAsia="Arial" w:hAnsi="Arial" w:cs="Arial"/>
          <w:color w:val="000000"/>
          <w:sz w:val="24"/>
          <w:szCs w:val="24"/>
        </w:rPr>
      </w:pPr>
      <w:r w:rsidRPr="7D535926">
        <w:rPr>
          <w:rFonts w:ascii="Arial" w:eastAsia="Arial" w:hAnsi="Arial" w:cs="Arial"/>
          <w:color w:val="000000" w:themeColor="text1"/>
          <w:sz w:val="24"/>
          <w:szCs w:val="24"/>
        </w:rPr>
        <w:lastRenderedPageBreak/>
        <w:t xml:space="preserve">CHAVES, Maria Clara Barbosa. </w:t>
      </w:r>
      <w:r w:rsidRPr="7D535926">
        <w:rPr>
          <w:rFonts w:ascii="Arial" w:eastAsia="Arial" w:hAnsi="Arial" w:cs="Arial"/>
          <w:b/>
          <w:bCs/>
          <w:color w:val="000000" w:themeColor="text1"/>
          <w:sz w:val="24"/>
          <w:szCs w:val="24"/>
        </w:rPr>
        <w:t>A viabilidade da aplicação de meios alternativos de resolução de conflitos na Administração Pública: Comitê de Resolução de Disputas - Disputes Boards? em contratos administrativos.</w:t>
      </w:r>
      <w:r w:rsidRPr="7D535926">
        <w:rPr>
          <w:rFonts w:ascii="Arial" w:eastAsia="Arial" w:hAnsi="Arial" w:cs="Arial"/>
          <w:color w:val="000000" w:themeColor="text1"/>
          <w:sz w:val="24"/>
          <w:szCs w:val="24"/>
        </w:rPr>
        <w:t xml:space="preserve"> / Maria Clara Barbosa Chaves. - Recife, 2023. 59 f</w:t>
      </w:r>
    </w:p>
    <w:p w14:paraId="658D68CF" w14:textId="5EF00935" w:rsidR="7D535926" w:rsidRDefault="7D535926" w:rsidP="7D535926">
      <w:pPr>
        <w:widowControl/>
        <w:pBdr>
          <w:top w:val="nil"/>
          <w:left w:val="nil"/>
          <w:bottom w:val="nil"/>
          <w:right w:val="nil"/>
          <w:between w:val="nil"/>
        </w:pBdr>
        <w:jc w:val="both"/>
        <w:rPr>
          <w:rFonts w:ascii="Arial" w:eastAsia="Arial" w:hAnsi="Arial" w:cs="Arial"/>
          <w:color w:val="000000" w:themeColor="text1"/>
          <w:sz w:val="24"/>
          <w:szCs w:val="24"/>
        </w:rPr>
      </w:pPr>
    </w:p>
    <w:p w14:paraId="5D24FD44" w14:textId="77777777" w:rsidR="00AF0E76" w:rsidRDefault="7D535926" w:rsidP="4FC701EA">
      <w:pPr>
        <w:widowControl/>
        <w:pBdr>
          <w:top w:val="nil"/>
          <w:left w:val="nil"/>
          <w:bottom w:val="nil"/>
          <w:right w:val="nil"/>
          <w:between w:val="nil"/>
        </w:pBdr>
        <w:jc w:val="both"/>
        <w:rPr>
          <w:rFonts w:ascii="Arial" w:eastAsia="Arial" w:hAnsi="Arial" w:cs="Arial"/>
          <w:color w:val="000000"/>
          <w:sz w:val="24"/>
          <w:szCs w:val="24"/>
        </w:rPr>
      </w:pPr>
      <w:r w:rsidRPr="7D535926">
        <w:rPr>
          <w:rFonts w:ascii="Arial" w:eastAsia="Arial" w:hAnsi="Arial" w:cs="Arial"/>
          <w:color w:val="222222"/>
          <w:sz w:val="24"/>
          <w:szCs w:val="24"/>
          <w:highlight w:val="white"/>
        </w:rPr>
        <w:t xml:space="preserve">ESTÊVÃO, Luciana Costa; LIMA, Stephane Kelly da SIlva. </w:t>
      </w:r>
      <w:r w:rsidRPr="7D535926">
        <w:rPr>
          <w:rFonts w:ascii="Arial" w:eastAsia="Arial" w:hAnsi="Arial" w:cs="Arial"/>
          <w:b/>
          <w:bCs/>
          <w:color w:val="222222"/>
          <w:sz w:val="24"/>
          <w:szCs w:val="24"/>
          <w:highlight w:val="white"/>
        </w:rPr>
        <w:t>A APLICAÇÃO DOS MEIOS ADEQUADOS DE SOLUÇÃO DE CONFLITOS NA ADMINISTRAÇÃO PÚBLICA SOB A ÓTICA DA NOVA LEI DE LICITAÇÕES E CONTRATOS ADMINISTRATIVOS</w:t>
      </w:r>
      <w:r w:rsidRPr="7D535926">
        <w:rPr>
          <w:rFonts w:ascii="Arial" w:eastAsia="Arial" w:hAnsi="Arial" w:cs="Arial"/>
          <w:color w:val="222222"/>
          <w:sz w:val="24"/>
          <w:szCs w:val="24"/>
          <w:highlight w:val="white"/>
        </w:rPr>
        <w:t>. 2022.</w:t>
      </w:r>
    </w:p>
    <w:p w14:paraId="03F86927" w14:textId="1ED15D26" w:rsidR="7D535926" w:rsidRDefault="7D535926" w:rsidP="7D535926">
      <w:pPr>
        <w:widowControl/>
        <w:pBdr>
          <w:top w:val="nil"/>
          <w:left w:val="nil"/>
          <w:bottom w:val="nil"/>
          <w:right w:val="nil"/>
          <w:between w:val="nil"/>
        </w:pBdr>
        <w:jc w:val="both"/>
        <w:rPr>
          <w:rFonts w:ascii="Arial" w:eastAsia="Arial" w:hAnsi="Arial" w:cs="Arial"/>
          <w:color w:val="222222"/>
          <w:sz w:val="24"/>
          <w:szCs w:val="24"/>
          <w:highlight w:val="white"/>
        </w:rPr>
      </w:pPr>
    </w:p>
    <w:p w14:paraId="5D59BFB4" w14:textId="77777777" w:rsidR="00AF0E76" w:rsidRDefault="7D535926" w:rsidP="7D535926">
      <w:pPr>
        <w:widowControl/>
        <w:pBdr>
          <w:top w:val="nil"/>
          <w:left w:val="nil"/>
          <w:bottom w:val="nil"/>
          <w:right w:val="nil"/>
          <w:between w:val="nil"/>
        </w:pBdr>
        <w:jc w:val="both"/>
        <w:rPr>
          <w:rFonts w:ascii="Arial" w:eastAsia="Arial" w:hAnsi="Arial" w:cs="Arial"/>
          <w:color w:val="000000"/>
          <w:sz w:val="24"/>
          <w:szCs w:val="24"/>
        </w:rPr>
      </w:pPr>
      <w:r w:rsidRPr="7D535926">
        <w:rPr>
          <w:rFonts w:ascii="Arial" w:eastAsia="Arial" w:hAnsi="Arial" w:cs="Arial"/>
          <w:color w:val="000000" w:themeColor="text1"/>
          <w:sz w:val="24"/>
          <w:szCs w:val="24"/>
        </w:rPr>
        <w:t xml:space="preserve">FILHO, José Bonifácio Regis Chaves; BARBOSA, Erivaldo Moreira; BARBOSA, Maria de Fátima Nóbrega. Remoção dos servidores lotados nas comarcas da 6ª região do Poder Judiciário da Paraíba. </w:t>
      </w:r>
      <w:r w:rsidRPr="7D535926">
        <w:rPr>
          <w:rFonts w:ascii="Arial" w:eastAsia="Arial" w:hAnsi="Arial" w:cs="Arial"/>
          <w:b/>
          <w:bCs/>
          <w:color w:val="000000" w:themeColor="text1"/>
          <w:sz w:val="24"/>
          <w:szCs w:val="24"/>
        </w:rPr>
        <w:t>Research, Society and Development</w:t>
      </w:r>
      <w:r w:rsidRPr="7D535926">
        <w:rPr>
          <w:rFonts w:ascii="Arial" w:eastAsia="Arial" w:hAnsi="Arial" w:cs="Arial"/>
          <w:color w:val="000000" w:themeColor="text1"/>
          <w:sz w:val="24"/>
          <w:szCs w:val="24"/>
        </w:rPr>
        <w:t>, v. 11, n.5, e1211527799, 2022, p. 1-21. Disponível em: https://rsdjournal.org/index.php/rsd/article/view/27799/24270. Acesso em: 15 set. 2023.</w:t>
      </w:r>
    </w:p>
    <w:p w14:paraId="7434BBBA" w14:textId="7C333028" w:rsidR="7D535926" w:rsidRDefault="7D535926" w:rsidP="7D535926">
      <w:pPr>
        <w:widowControl/>
        <w:pBdr>
          <w:top w:val="nil"/>
          <w:left w:val="nil"/>
          <w:bottom w:val="nil"/>
          <w:right w:val="nil"/>
          <w:between w:val="nil"/>
        </w:pBdr>
        <w:jc w:val="both"/>
        <w:rPr>
          <w:rFonts w:ascii="Arial" w:eastAsia="Arial" w:hAnsi="Arial" w:cs="Arial"/>
          <w:color w:val="000000" w:themeColor="text1"/>
          <w:sz w:val="24"/>
          <w:szCs w:val="24"/>
        </w:rPr>
      </w:pPr>
    </w:p>
    <w:p w14:paraId="2496E3E3" w14:textId="77777777" w:rsidR="00AF0E76" w:rsidRDefault="7D535926" w:rsidP="7D535926">
      <w:pPr>
        <w:widowControl/>
        <w:pBdr>
          <w:top w:val="nil"/>
          <w:left w:val="nil"/>
          <w:bottom w:val="nil"/>
          <w:right w:val="nil"/>
          <w:between w:val="nil"/>
        </w:pBdr>
        <w:jc w:val="both"/>
        <w:rPr>
          <w:rFonts w:ascii="Arial" w:eastAsia="Arial" w:hAnsi="Arial" w:cs="Arial"/>
          <w:color w:val="000000"/>
          <w:sz w:val="24"/>
          <w:szCs w:val="24"/>
        </w:rPr>
      </w:pPr>
      <w:r w:rsidRPr="7D535926">
        <w:rPr>
          <w:rFonts w:ascii="Arial" w:eastAsia="Arial" w:hAnsi="Arial" w:cs="Arial"/>
          <w:color w:val="000000" w:themeColor="text1"/>
          <w:sz w:val="24"/>
          <w:szCs w:val="24"/>
        </w:rPr>
        <w:t>MAIA, Letícia de Moura. A</w:t>
      </w:r>
      <w:r w:rsidRPr="7D535926">
        <w:rPr>
          <w:rFonts w:ascii="Arial" w:eastAsia="Arial" w:hAnsi="Arial" w:cs="Arial"/>
          <w:b/>
          <w:bCs/>
          <w:color w:val="000000" w:themeColor="text1"/>
          <w:sz w:val="24"/>
          <w:szCs w:val="24"/>
        </w:rPr>
        <w:t xml:space="preserve"> efetividade dos métodos consensuais de resolução de controvérsias no CEJUSC de 2º grau do Tribunal de Justiça do Estado da Paraíba </w:t>
      </w:r>
      <w:r w:rsidRPr="7D535926">
        <w:rPr>
          <w:rFonts w:ascii="Arial" w:eastAsia="Arial" w:hAnsi="Arial" w:cs="Arial"/>
          <w:color w:val="000000" w:themeColor="text1"/>
          <w:sz w:val="24"/>
          <w:szCs w:val="24"/>
        </w:rPr>
        <w:t>/ Letícia de Moura Maia. - João Pessoa, 2018. 72 f. : il.</w:t>
      </w:r>
    </w:p>
    <w:p w14:paraId="70AA0EAD" w14:textId="4CC5F785" w:rsidR="7D535926" w:rsidRDefault="7D535926" w:rsidP="7D535926">
      <w:pPr>
        <w:widowControl/>
        <w:pBdr>
          <w:top w:val="nil"/>
          <w:left w:val="nil"/>
          <w:bottom w:val="nil"/>
          <w:right w:val="nil"/>
          <w:between w:val="nil"/>
        </w:pBdr>
        <w:jc w:val="both"/>
        <w:rPr>
          <w:rFonts w:ascii="Arial" w:eastAsia="Arial" w:hAnsi="Arial" w:cs="Arial"/>
          <w:color w:val="000000" w:themeColor="text1"/>
          <w:sz w:val="24"/>
          <w:szCs w:val="24"/>
        </w:rPr>
      </w:pPr>
    </w:p>
    <w:p w14:paraId="4BD37C62" w14:textId="77777777" w:rsidR="00AF0E76" w:rsidRDefault="7D535926" w:rsidP="7D535926">
      <w:pPr>
        <w:widowControl/>
        <w:pBdr>
          <w:top w:val="nil"/>
          <w:left w:val="nil"/>
          <w:bottom w:val="nil"/>
          <w:right w:val="nil"/>
          <w:between w:val="nil"/>
        </w:pBdr>
        <w:jc w:val="both"/>
        <w:rPr>
          <w:rFonts w:ascii="Arial" w:eastAsia="Arial" w:hAnsi="Arial" w:cs="Arial"/>
          <w:color w:val="000000"/>
          <w:sz w:val="24"/>
          <w:szCs w:val="24"/>
        </w:rPr>
      </w:pPr>
      <w:r w:rsidRPr="7D535926">
        <w:rPr>
          <w:rFonts w:ascii="Arial" w:eastAsia="Arial" w:hAnsi="Arial" w:cs="Arial"/>
          <w:color w:val="000000" w:themeColor="text1"/>
          <w:sz w:val="24"/>
          <w:szCs w:val="24"/>
        </w:rPr>
        <w:t xml:space="preserve">Meneses, Edlene Caxias. </w:t>
      </w:r>
      <w:r w:rsidRPr="7D535926">
        <w:rPr>
          <w:rFonts w:ascii="Arial" w:eastAsia="Arial" w:hAnsi="Arial" w:cs="Arial"/>
          <w:b/>
          <w:bCs/>
          <w:color w:val="000000" w:themeColor="text1"/>
          <w:sz w:val="24"/>
          <w:szCs w:val="24"/>
        </w:rPr>
        <w:t>A MEDIAÇÃO COMO FERRAMENTA PARA RESOLUÇÃO DE CONFLITOS NA OUVIDORIA DA POLÍCIA MILITAR DA PARAÍBA</w:t>
      </w:r>
      <w:r w:rsidRPr="7D535926">
        <w:rPr>
          <w:rFonts w:ascii="Arial" w:eastAsia="Arial" w:hAnsi="Arial" w:cs="Arial"/>
          <w:color w:val="000000" w:themeColor="text1"/>
          <w:sz w:val="24"/>
          <w:szCs w:val="24"/>
        </w:rPr>
        <w:t xml:space="preserve"> / Edlene Caxias Meneses. - João Pessoa, 2019. 0 f64. : il.</w:t>
      </w:r>
    </w:p>
    <w:p w14:paraId="3649203A" w14:textId="63FA108A" w:rsidR="7D535926" w:rsidRDefault="7D535926" w:rsidP="7D535926">
      <w:pPr>
        <w:widowControl/>
        <w:pBdr>
          <w:top w:val="nil"/>
          <w:left w:val="nil"/>
          <w:bottom w:val="nil"/>
          <w:right w:val="nil"/>
          <w:between w:val="nil"/>
        </w:pBdr>
        <w:jc w:val="both"/>
        <w:rPr>
          <w:rFonts w:ascii="Arial" w:eastAsia="Arial" w:hAnsi="Arial" w:cs="Arial"/>
          <w:color w:val="000000" w:themeColor="text1"/>
          <w:sz w:val="24"/>
          <w:szCs w:val="24"/>
        </w:rPr>
      </w:pPr>
    </w:p>
    <w:p w14:paraId="16F96E24" w14:textId="48D33AFC" w:rsidR="7D535926" w:rsidRDefault="7D535926" w:rsidP="7D535926">
      <w:pPr>
        <w:widowControl/>
        <w:pBdr>
          <w:top w:val="nil"/>
          <w:left w:val="nil"/>
          <w:bottom w:val="nil"/>
          <w:right w:val="nil"/>
          <w:between w:val="nil"/>
        </w:pBdr>
        <w:jc w:val="both"/>
        <w:rPr>
          <w:rFonts w:ascii="Arial" w:eastAsia="Arial" w:hAnsi="Arial" w:cs="Arial"/>
          <w:sz w:val="24"/>
          <w:szCs w:val="24"/>
        </w:rPr>
      </w:pPr>
      <w:r w:rsidRPr="7D535926">
        <w:rPr>
          <w:rFonts w:ascii="Arial" w:eastAsia="Arial" w:hAnsi="Arial" w:cs="Arial"/>
          <w:color w:val="000000" w:themeColor="text1"/>
          <w:sz w:val="24"/>
          <w:szCs w:val="24"/>
        </w:rPr>
        <w:t xml:space="preserve">PAIVA, Arthur Henrique Duarte de. </w:t>
      </w:r>
      <w:r w:rsidRPr="7D535926">
        <w:rPr>
          <w:rFonts w:ascii="Arial" w:eastAsia="Arial" w:hAnsi="Arial" w:cs="Arial"/>
          <w:b/>
          <w:bCs/>
          <w:color w:val="000000" w:themeColor="text1"/>
          <w:sz w:val="24"/>
          <w:szCs w:val="24"/>
        </w:rPr>
        <w:t>CULTURA DA AUTOCOMPOSIÇÃO E OS DESAFIOS DA PANDEMIA DA COVID19: uma análise da aplicação dos métodos adequados de resolução de conflitos no TJPB</w:t>
      </w:r>
      <w:r w:rsidRPr="7D535926">
        <w:rPr>
          <w:rFonts w:ascii="Arial" w:eastAsia="Arial" w:hAnsi="Arial" w:cs="Arial"/>
          <w:color w:val="000000" w:themeColor="text1"/>
          <w:sz w:val="24"/>
          <w:szCs w:val="24"/>
        </w:rPr>
        <w:t xml:space="preserve"> / Arthur Henrique Duarte de Paiva. - Santa Rita, 2021. 60 f. : il.</w:t>
      </w:r>
    </w:p>
    <w:p w14:paraId="7730DF7A" w14:textId="4C97E483" w:rsidR="7D535926" w:rsidRDefault="7D535926" w:rsidP="7D535926">
      <w:pPr>
        <w:widowControl/>
        <w:pBdr>
          <w:top w:val="nil"/>
          <w:left w:val="nil"/>
          <w:bottom w:val="nil"/>
          <w:right w:val="nil"/>
          <w:between w:val="nil"/>
        </w:pBdr>
        <w:jc w:val="both"/>
        <w:rPr>
          <w:rFonts w:ascii="Arial" w:eastAsia="Arial" w:hAnsi="Arial" w:cs="Arial"/>
          <w:color w:val="000000" w:themeColor="text1"/>
          <w:sz w:val="24"/>
          <w:szCs w:val="24"/>
        </w:rPr>
      </w:pPr>
    </w:p>
    <w:p w14:paraId="468D4C6C" w14:textId="4DE13D97" w:rsidR="7D535926" w:rsidRDefault="7D535926" w:rsidP="7D535926">
      <w:pPr>
        <w:widowControl/>
        <w:pBdr>
          <w:top w:val="nil"/>
          <w:left w:val="nil"/>
          <w:bottom w:val="nil"/>
          <w:right w:val="nil"/>
          <w:between w:val="nil"/>
        </w:pBdr>
        <w:jc w:val="both"/>
        <w:rPr>
          <w:rFonts w:ascii="Arial" w:eastAsia="Arial" w:hAnsi="Arial" w:cs="Arial"/>
          <w:sz w:val="24"/>
          <w:szCs w:val="24"/>
        </w:rPr>
      </w:pPr>
      <w:r w:rsidRPr="7D535926">
        <w:rPr>
          <w:rFonts w:ascii="Arial" w:eastAsia="Arial" w:hAnsi="Arial" w:cs="Arial"/>
          <w:sz w:val="24"/>
          <w:szCs w:val="24"/>
        </w:rPr>
        <w:t xml:space="preserve">PARAÍBA. Lei Complementar n.º 96, de 03 de dezembro de 2010. Dispõe sobre a </w:t>
      </w:r>
      <w:r w:rsidRPr="7D535926">
        <w:rPr>
          <w:rFonts w:ascii="Arial" w:eastAsia="Arial" w:hAnsi="Arial" w:cs="Arial"/>
          <w:b/>
          <w:bCs/>
          <w:sz w:val="24"/>
          <w:szCs w:val="24"/>
        </w:rPr>
        <w:t>Lei de Organização e Divisão Judiciárias do Estado da Paraíba</w:t>
      </w:r>
      <w:r w:rsidRPr="7D535926">
        <w:rPr>
          <w:rFonts w:ascii="Arial" w:eastAsia="Arial" w:hAnsi="Arial" w:cs="Arial"/>
          <w:sz w:val="24"/>
          <w:szCs w:val="24"/>
        </w:rPr>
        <w:t xml:space="preserve"> e dá outras providências. Disponível em:. Acesso em 16/11/2023.</w:t>
      </w:r>
    </w:p>
    <w:p w14:paraId="05AE84DB" w14:textId="3446D447" w:rsidR="7D535926" w:rsidRDefault="7D535926" w:rsidP="7D535926">
      <w:pPr>
        <w:widowControl/>
        <w:pBdr>
          <w:top w:val="nil"/>
          <w:left w:val="nil"/>
          <w:bottom w:val="nil"/>
          <w:right w:val="nil"/>
          <w:between w:val="nil"/>
        </w:pBdr>
        <w:jc w:val="both"/>
        <w:rPr>
          <w:rFonts w:ascii="Arial" w:eastAsia="Arial" w:hAnsi="Arial" w:cs="Arial"/>
          <w:sz w:val="24"/>
          <w:szCs w:val="24"/>
        </w:rPr>
      </w:pPr>
    </w:p>
    <w:p w14:paraId="075983F5" w14:textId="77777777" w:rsidR="00AF0E76" w:rsidRDefault="4FC701EA" w:rsidP="4FC701EA">
      <w:pPr>
        <w:widowControl/>
        <w:pBdr>
          <w:top w:val="nil"/>
          <w:left w:val="nil"/>
          <w:bottom w:val="nil"/>
          <w:right w:val="nil"/>
          <w:between w:val="nil"/>
        </w:pBdr>
        <w:jc w:val="both"/>
        <w:rPr>
          <w:rFonts w:ascii="Arial" w:eastAsia="Arial" w:hAnsi="Arial" w:cs="Arial"/>
          <w:color w:val="000000"/>
          <w:sz w:val="24"/>
          <w:szCs w:val="24"/>
        </w:rPr>
      </w:pPr>
      <w:r w:rsidRPr="4FC701EA">
        <w:rPr>
          <w:rFonts w:ascii="Arial" w:eastAsia="Arial" w:hAnsi="Arial" w:cs="Arial"/>
          <w:color w:val="222222"/>
          <w:sz w:val="24"/>
          <w:szCs w:val="24"/>
          <w:highlight w:val="white"/>
        </w:rPr>
        <w:t xml:space="preserve">SILVA FILHO, Luiz Rosa da </w:t>
      </w:r>
      <w:r w:rsidRPr="4FC701EA">
        <w:rPr>
          <w:rFonts w:ascii="Arial" w:eastAsia="Arial" w:hAnsi="Arial" w:cs="Arial"/>
          <w:i/>
          <w:iCs/>
          <w:color w:val="222222"/>
          <w:sz w:val="24"/>
          <w:szCs w:val="24"/>
          <w:highlight w:val="white"/>
        </w:rPr>
        <w:t>et al</w:t>
      </w:r>
      <w:r w:rsidRPr="4FC701EA">
        <w:rPr>
          <w:rFonts w:ascii="Arial" w:eastAsia="Arial" w:hAnsi="Arial" w:cs="Arial"/>
          <w:color w:val="222222"/>
          <w:sz w:val="24"/>
          <w:szCs w:val="24"/>
          <w:highlight w:val="white"/>
        </w:rPr>
        <w:t xml:space="preserve">. </w:t>
      </w:r>
      <w:r w:rsidRPr="4FC701EA">
        <w:rPr>
          <w:rFonts w:ascii="Arial" w:eastAsia="Arial" w:hAnsi="Arial" w:cs="Arial"/>
          <w:b/>
          <w:bCs/>
          <w:color w:val="222222"/>
          <w:sz w:val="24"/>
          <w:szCs w:val="24"/>
          <w:highlight w:val="white"/>
        </w:rPr>
        <w:t>Conciliação e mediação no CEJUSC da cidade de Conceição-PB: análise dos anos 2021 e 2022. 2023</w:t>
      </w:r>
      <w:r w:rsidRPr="4FC701EA">
        <w:rPr>
          <w:rFonts w:ascii="Arial" w:eastAsia="Arial" w:hAnsi="Arial" w:cs="Arial"/>
          <w:color w:val="222222"/>
          <w:sz w:val="24"/>
          <w:szCs w:val="24"/>
          <w:highlight w:val="white"/>
        </w:rPr>
        <w:t>.</w:t>
      </w:r>
    </w:p>
    <w:p w14:paraId="25F678F7" w14:textId="77777777" w:rsidR="00AF0E76" w:rsidRDefault="4FC701EA" w:rsidP="4FC701EA">
      <w:pPr>
        <w:widowControl/>
        <w:pBdr>
          <w:top w:val="nil"/>
          <w:left w:val="nil"/>
          <w:bottom w:val="nil"/>
          <w:right w:val="nil"/>
          <w:between w:val="nil"/>
        </w:pBdr>
        <w:jc w:val="both"/>
        <w:rPr>
          <w:rFonts w:ascii="SimSun" w:eastAsia="SimSun" w:hAnsi="SimSun" w:cs="SimSun"/>
          <w:color w:val="000000"/>
          <w:sz w:val="24"/>
          <w:szCs w:val="24"/>
        </w:rPr>
      </w:pPr>
      <w:r w:rsidRPr="4FC701EA">
        <w:rPr>
          <w:rFonts w:ascii="Arial" w:eastAsia="Arial" w:hAnsi="Arial" w:cs="Arial"/>
          <w:color w:val="222222"/>
          <w:sz w:val="24"/>
          <w:szCs w:val="24"/>
          <w:highlight w:val="white"/>
        </w:rPr>
        <w:t xml:space="preserve">UBATUBA, Jeferson Alexandre. </w:t>
      </w:r>
      <w:r w:rsidRPr="4FC701EA">
        <w:rPr>
          <w:rFonts w:ascii="Arial" w:eastAsia="Arial" w:hAnsi="Arial" w:cs="Arial"/>
          <w:b/>
          <w:bCs/>
          <w:color w:val="222222"/>
          <w:sz w:val="24"/>
          <w:szCs w:val="24"/>
          <w:highlight w:val="white"/>
        </w:rPr>
        <w:t>Comitês de resolução de disputas como meio de prevenção e solução de conflitos: a sua difusão no Brasil</w:t>
      </w:r>
      <w:r w:rsidRPr="4FC701EA">
        <w:rPr>
          <w:rFonts w:ascii="Arial" w:eastAsia="Arial" w:hAnsi="Arial" w:cs="Arial"/>
          <w:color w:val="222222"/>
          <w:sz w:val="24"/>
          <w:szCs w:val="24"/>
          <w:highlight w:val="white"/>
        </w:rPr>
        <w:t>. 2020.</w:t>
      </w:r>
    </w:p>
    <w:p w14:paraId="50895670" w14:textId="77777777" w:rsidR="00AF0E76" w:rsidRDefault="00AF0E76" w:rsidP="4FC701EA">
      <w:pPr>
        <w:pBdr>
          <w:top w:val="nil"/>
          <w:left w:val="nil"/>
          <w:bottom w:val="nil"/>
          <w:right w:val="nil"/>
          <w:between w:val="nil"/>
        </w:pBdr>
        <w:spacing w:line="360" w:lineRule="auto"/>
        <w:jc w:val="both"/>
        <w:rPr>
          <w:color w:val="000000"/>
          <w:sz w:val="17"/>
          <w:szCs w:val="17"/>
        </w:rPr>
      </w:pPr>
    </w:p>
    <w:sectPr w:rsidR="00AF0E76" w:rsidSect="00A175B8">
      <w:headerReference w:type="default" r:id="rId16"/>
      <w:footerReference w:type="default" r:id="rId17"/>
      <w:pgSz w:w="11920" w:h="16840"/>
      <w:pgMar w:top="1701"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E5B9B" w14:textId="77777777" w:rsidR="00236E76" w:rsidRDefault="00236E76">
      <w:r>
        <w:separator/>
      </w:r>
    </w:p>
  </w:endnote>
  <w:endnote w:type="continuationSeparator" w:id="0">
    <w:p w14:paraId="5D09BA0D" w14:textId="77777777" w:rsidR="00236E76" w:rsidRDefault="0023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MT">
    <w:altName w:val="Arial"/>
    <w:charset w:val="00"/>
    <w:family w:val="auto"/>
    <w:pitch w:val="default"/>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5"/>
      <w:gridCol w:w="2835"/>
      <w:gridCol w:w="2835"/>
    </w:tblGrid>
    <w:tr w:rsidR="4FC701EA" w14:paraId="11CA4AF4" w14:textId="77777777" w:rsidTr="4FC701EA">
      <w:trPr>
        <w:trHeight w:val="300"/>
      </w:trPr>
      <w:tc>
        <w:tcPr>
          <w:tcW w:w="2835" w:type="dxa"/>
        </w:tcPr>
        <w:p w14:paraId="57855B33" w14:textId="556B1726" w:rsidR="4FC701EA" w:rsidRDefault="4FC701EA" w:rsidP="4FC701EA">
          <w:pPr>
            <w:pStyle w:val="Cabealho"/>
            <w:ind w:left="-115"/>
          </w:pPr>
        </w:p>
      </w:tc>
      <w:tc>
        <w:tcPr>
          <w:tcW w:w="2835" w:type="dxa"/>
        </w:tcPr>
        <w:p w14:paraId="30DF7501" w14:textId="1BB1779D" w:rsidR="4FC701EA" w:rsidRDefault="4FC701EA" w:rsidP="4FC701EA">
          <w:pPr>
            <w:pStyle w:val="Cabealho"/>
            <w:jc w:val="center"/>
          </w:pPr>
        </w:p>
      </w:tc>
      <w:tc>
        <w:tcPr>
          <w:tcW w:w="2835" w:type="dxa"/>
        </w:tcPr>
        <w:p w14:paraId="450BD055" w14:textId="4C2ECEFA" w:rsidR="4FC701EA" w:rsidRDefault="4FC701EA" w:rsidP="4FC701EA">
          <w:pPr>
            <w:pStyle w:val="Cabealho"/>
            <w:ind w:right="-115"/>
            <w:jc w:val="right"/>
          </w:pPr>
        </w:p>
      </w:tc>
    </w:tr>
  </w:tbl>
  <w:p w14:paraId="50FEE744" w14:textId="0C458CC4" w:rsidR="4FC701EA" w:rsidRDefault="4FC701EA" w:rsidP="4FC701E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5"/>
      <w:gridCol w:w="2835"/>
      <w:gridCol w:w="2835"/>
    </w:tblGrid>
    <w:tr w:rsidR="4FC701EA" w14:paraId="1A938DA4" w14:textId="77777777" w:rsidTr="4FC701EA">
      <w:trPr>
        <w:trHeight w:val="300"/>
      </w:trPr>
      <w:tc>
        <w:tcPr>
          <w:tcW w:w="2835" w:type="dxa"/>
        </w:tcPr>
        <w:p w14:paraId="7F4642B1" w14:textId="1D16A0F2" w:rsidR="4FC701EA" w:rsidRDefault="4FC701EA" w:rsidP="4FC701EA">
          <w:pPr>
            <w:pStyle w:val="Cabealho"/>
            <w:ind w:left="-115"/>
          </w:pPr>
        </w:p>
      </w:tc>
      <w:tc>
        <w:tcPr>
          <w:tcW w:w="2835" w:type="dxa"/>
        </w:tcPr>
        <w:p w14:paraId="37C7D9B3" w14:textId="6AC8BC5D" w:rsidR="4FC701EA" w:rsidRDefault="4FC701EA" w:rsidP="4FC701EA">
          <w:pPr>
            <w:pStyle w:val="Cabealho"/>
            <w:jc w:val="center"/>
          </w:pPr>
        </w:p>
      </w:tc>
      <w:tc>
        <w:tcPr>
          <w:tcW w:w="2835" w:type="dxa"/>
        </w:tcPr>
        <w:p w14:paraId="57176F47" w14:textId="1BB5FBA6" w:rsidR="4FC701EA" w:rsidRDefault="4FC701EA" w:rsidP="4FC701EA">
          <w:pPr>
            <w:pStyle w:val="Cabealho"/>
            <w:ind w:right="-115"/>
            <w:jc w:val="right"/>
          </w:pPr>
        </w:p>
      </w:tc>
    </w:tr>
  </w:tbl>
  <w:p w14:paraId="491F20AB" w14:textId="2D7F16C7" w:rsidR="4FC701EA" w:rsidRDefault="4FC701EA" w:rsidP="4FC701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5"/>
      <w:gridCol w:w="2835"/>
      <w:gridCol w:w="2835"/>
    </w:tblGrid>
    <w:tr w:rsidR="4FC701EA" w14:paraId="60852179" w14:textId="77777777" w:rsidTr="4FC701EA">
      <w:trPr>
        <w:trHeight w:val="300"/>
      </w:trPr>
      <w:tc>
        <w:tcPr>
          <w:tcW w:w="2835" w:type="dxa"/>
        </w:tcPr>
        <w:p w14:paraId="1CCA0285" w14:textId="0DDF5EE4" w:rsidR="4FC701EA" w:rsidRDefault="4FC701EA" w:rsidP="4FC701EA">
          <w:pPr>
            <w:pStyle w:val="Cabealho"/>
            <w:ind w:left="-115"/>
          </w:pPr>
        </w:p>
      </w:tc>
      <w:tc>
        <w:tcPr>
          <w:tcW w:w="2835" w:type="dxa"/>
        </w:tcPr>
        <w:p w14:paraId="638E002D" w14:textId="257C547D" w:rsidR="4FC701EA" w:rsidRDefault="4FC701EA" w:rsidP="4FC701EA">
          <w:pPr>
            <w:pStyle w:val="Cabealho"/>
            <w:jc w:val="center"/>
          </w:pPr>
        </w:p>
      </w:tc>
      <w:tc>
        <w:tcPr>
          <w:tcW w:w="2835" w:type="dxa"/>
        </w:tcPr>
        <w:p w14:paraId="6B1B5C46" w14:textId="4C9DA295" w:rsidR="4FC701EA" w:rsidRDefault="4FC701EA" w:rsidP="4FC701EA">
          <w:pPr>
            <w:pStyle w:val="Cabealho"/>
            <w:ind w:right="-115"/>
            <w:jc w:val="right"/>
          </w:pPr>
        </w:p>
      </w:tc>
    </w:tr>
  </w:tbl>
  <w:p w14:paraId="7727A556" w14:textId="753D5325" w:rsidR="4FC701EA" w:rsidRDefault="4FC701EA" w:rsidP="4FC701EA">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5"/>
      <w:gridCol w:w="2835"/>
      <w:gridCol w:w="2835"/>
    </w:tblGrid>
    <w:tr w:rsidR="4FC701EA" w14:paraId="60521F49" w14:textId="77777777" w:rsidTr="4FC701EA">
      <w:trPr>
        <w:trHeight w:val="300"/>
      </w:trPr>
      <w:tc>
        <w:tcPr>
          <w:tcW w:w="2835" w:type="dxa"/>
        </w:tcPr>
        <w:p w14:paraId="1D4D480A" w14:textId="36DD6B98" w:rsidR="4FC701EA" w:rsidRDefault="4FC701EA" w:rsidP="4FC701EA">
          <w:pPr>
            <w:pStyle w:val="Cabealho"/>
            <w:ind w:left="-115"/>
          </w:pPr>
        </w:p>
      </w:tc>
      <w:tc>
        <w:tcPr>
          <w:tcW w:w="2835" w:type="dxa"/>
        </w:tcPr>
        <w:p w14:paraId="2969BEC0" w14:textId="163BA123" w:rsidR="4FC701EA" w:rsidRDefault="4FC701EA" w:rsidP="4FC701EA">
          <w:pPr>
            <w:pStyle w:val="Cabealho"/>
            <w:jc w:val="center"/>
          </w:pPr>
        </w:p>
      </w:tc>
      <w:tc>
        <w:tcPr>
          <w:tcW w:w="2835" w:type="dxa"/>
        </w:tcPr>
        <w:p w14:paraId="15CA799A" w14:textId="2F3F41EC" w:rsidR="4FC701EA" w:rsidRDefault="4FC701EA" w:rsidP="4FC701EA">
          <w:pPr>
            <w:pStyle w:val="Cabealho"/>
            <w:ind w:right="-115"/>
            <w:jc w:val="right"/>
          </w:pPr>
        </w:p>
      </w:tc>
    </w:tr>
  </w:tbl>
  <w:p w14:paraId="2151BCA6" w14:textId="032233FE" w:rsidR="4FC701EA" w:rsidRDefault="4FC701EA" w:rsidP="4FC701EA">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5"/>
      <w:gridCol w:w="2835"/>
      <w:gridCol w:w="2835"/>
    </w:tblGrid>
    <w:tr w:rsidR="4FC701EA" w14:paraId="4BF87A14" w14:textId="77777777" w:rsidTr="7D535926">
      <w:trPr>
        <w:trHeight w:val="300"/>
      </w:trPr>
      <w:tc>
        <w:tcPr>
          <w:tcW w:w="2835" w:type="dxa"/>
        </w:tcPr>
        <w:p w14:paraId="10AB6C03" w14:textId="0B3731DD" w:rsidR="4FC701EA" w:rsidRDefault="4FC701EA" w:rsidP="7D535926">
          <w:pPr>
            <w:pStyle w:val="Cabealho"/>
          </w:pPr>
        </w:p>
      </w:tc>
      <w:tc>
        <w:tcPr>
          <w:tcW w:w="2835" w:type="dxa"/>
        </w:tcPr>
        <w:p w14:paraId="4FD66628" w14:textId="381DC078" w:rsidR="4FC701EA" w:rsidRDefault="4FC701EA" w:rsidP="4FC701EA">
          <w:pPr>
            <w:pStyle w:val="Cabealho"/>
            <w:jc w:val="center"/>
          </w:pPr>
        </w:p>
      </w:tc>
      <w:tc>
        <w:tcPr>
          <w:tcW w:w="2835" w:type="dxa"/>
        </w:tcPr>
        <w:p w14:paraId="0FD4ACC4" w14:textId="47ACF63C" w:rsidR="4FC701EA" w:rsidRDefault="4FC701EA" w:rsidP="4FC701EA">
          <w:pPr>
            <w:pStyle w:val="Cabealho"/>
            <w:ind w:right="-115"/>
            <w:jc w:val="right"/>
          </w:pPr>
        </w:p>
      </w:tc>
    </w:tr>
  </w:tbl>
  <w:p w14:paraId="6E7B8FC2" w14:textId="3825FC3E" w:rsidR="4FC701EA" w:rsidRDefault="4FC701EA" w:rsidP="4FC701E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CA07F" w14:textId="1CBBA374" w:rsidR="7D535926" w:rsidRDefault="7D535926">
      <w:r>
        <w:separator/>
      </w:r>
    </w:p>
  </w:footnote>
  <w:footnote w:type="continuationSeparator" w:id="0">
    <w:p w14:paraId="1F0F31EB" w14:textId="7F36608D" w:rsidR="7D535926" w:rsidRDefault="7D535926">
      <w:r>
        <w:continuationSeparator/>
      </w:r>
    </w:p>
  </w:footnote>
  <w:footnote w:id="1">
    <w:p w14:paraId="2B51D5BF" w14:textId="29E6DB98" w:rsidR="7D535926" w:rsidRDefault="7D535926" w:rsidP="7D535926">
      <w:pPr>
        <w:pStyle w:val="Textodenotaderodap"/>
      </w:pPr>
      <w:r w:rsidRPr="7D535926">
        <w:rPr>
          <w:rStyle w:val="Refdenotaderodap"/>
        </w:rPr>
        <w:footnoteRef/>
      </w:r>
      <w:r>
        <w:t xml:space="preserve"> Graduando em Direito pela UNIFACISA Centro Universitário. </w:t>
      </w:r>
      <w:hyperlink r:id="rId1">
        <w:r w:rsidRPr="7D535926">
          <w:rPr>
            <w:rStyle w:val="Hyperlink"/>
          </w:rPr>
          <w:t>eduardo.menezes@maisunifacisa.com.br</w:t>
        </w:r>
      </w:hyperlink>
    </w:p>
    <w:p w14:paraId="35941D9D" w14:textId="6784926B" w:rsidR="7D535926" w:rsidRDefault="7D535926" w:rsidP="7D535926">
      <w:pPr>
        <w:pStyle w:val="Textodenotaderodap"/>
      </w:pPr>
    </w:p>
  </w:footnote>
  <w:footnote w:id="2">
    <w:p w14:paraId="518D80B9" w14:textId="122D5254" w:rsidR="7D535926" w:rsidRDefault="7D535926" w:rsidP="7D535926">
      <w:pPr>
        <w:pStyle w:val="Textodenotaderodap"/>
      </w:pPr>
      <w:r w:rsidRPr="7D535926">
        <w:rPr>
          <w:rStyle w:val="Refdenotaderodap"/>
        </w:rPr>
        <w:footnoteRef/>
      </w:r>
      <w:r>
        <w:t xml:space="preserve">  Professora Orientadora. Graduada em Direito, pela Universidade Estadual da Paraíba, doutora e mestre em Ciência da Propriedade Intelectual, pela Universidade Federal de Sergipe. Docente do Curso Superior em Direito da disciplina de Direito Digital. rafaela.silva@maisunifacisa.com.br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5"/>
      <w:gridCol w:w="2835"/>
      <w:gridCol w:w="2835"/>
    </w:tblGrid>
    <w:tr w:rsidR="4FC701EA" w14:paraId="5962DF63" w14:textId="77777777" w:rsidTr="4FC701EA">
      <w:trPr>
        <w:trHeight w:val="300"/>
      </w:trPr>
      <w:tc>
        <w:tcPr>
          <w:tcW w:w="2835" w:type="dxa"/>
        </w:tcPr>
        <w:p w14:paraId="16629F61" w14:textId="4108061C" w:rsidR="4FC701EA" w:rsidRDefault="4FC701EA" w:rsidP="4FC701EA">
          <w:pPr>
            <w:pStyle w:val="Cabealho"/>
            <w:ind w:left="-115"/>
          </w:pPr>
        </w:p>
      </w:tc>
      <w:tc>
        <w:tcPr>
          <w:tcW w:w="2835" w:type="dxa"/>
        </w:tcPr>
        <w:p w14:paraId="556F7B26" w14:textId="48B4BA35" w:rsidR="4FC701EA" w:rsidRDefault="4FC701EA" w:rsidP="4FC701EA">
          <w:pPr>
            <w:pStyle w:val="Cabealho"/>
            <w:jc w:val="center"/>
          </w:pPr>
        </w:p>
      </w:tc>
      <w:tc>
        <w:tcPr>
          <w:tcW w:w="2835" w:type="dxa"/>
        </w:tcPr>
        <w:p w14:paraId="5C20949A" w14:textId="2BF5EA5D" w:rsidR="4FC701EA" w:rsidRDefault="4FC701EA" w:rsidP="4FC701EA">
          <w:pPr>
            <w:pStyle w:val="Cabealho"/>
            <w:ind w:right="-115"/>
            <w:jc w:val="right"/>
          </w:pPr>
        </w:p>
      </w:tc>
    </w:tr>
  </w:tbl>
  <w:p w14:paraId="294BF013" w14:textId="37443A2B" w:rsidR="4FC701EA" w:rsidRDefault="4FC701EA" w:rsidP="4FC701E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5"/>
      <w:gridCol w:w="2835"/>
      <w:gridCol w:w="2835"/>
    </w:tblGrid>
    <w:tr w:rsidR="4FC701EA" w14:paraId="408410B6" w14:textId="77777777" w:rsidTr="4FC701EA">
      <w:trPr>
        <w:trHeight w:val="300"/>
      </w:trPr>
      <w:tc>
        <w:tcPr>
          <w:tcW w:w="2835" w:type="dxa"/>
        </w:tcPr>
        <w:p w14:paraId="6CA5D874" w14:textId="6F8BC587" w:rsidR="4FC701EA" w:rsidRDefault="4FC701EA" w:rsidP="4FC701EA">
          <w:pPr>
            <w:pStyle w:val="Cabealho"/>
            <w:ind w:left="-115"/>
          </w:pPr>
        </w:p>
      </w:tc>
      <w:tc>
        <w:tcPr>
          <w:tcW w:w="2835" w:type="dxa"/>
        </w:tcPr>
        <w:p w14:paraId="178C438D" w14:textId="060BEB22" w:rsidR="4FC701EA" w:rsidRDefault="4FC701EA" w:rsidP="4FC701EA">
          <w:pPr>
            <w:pStyle w:val="Cabealho"/>
            <w:jc w:val="center"/>
          </w:pPr>
        </w:p>
      </w:tc>
      <w:tc>
        <w:tcPr>
          <w:tcW w:w="2835" w:type="dxa"/>
        </w:tcPr>
        <w:p w14:paraId="63B86EBD" w14:textId="582AEA02" w:rsidR="4FC701EA" w:rsidRDefault="4FC701EA" w:rsidP="4FC701EA">
          <w:pPr>
            <w:pStyle w:val="Cabealho"/>
            <w:ind w:right="-115"/>
            <w:jc w:val="right"/>
          </w:pPr>
        </w:p>
      </w:tc>
    </w:tr>
  </w:tbl>
  <w:p w14:paraId="67A27805" w14:textId="7643B859" w:rsidR="4FC701EA" w:rsidRDefault="4FC701EA" w:rsidP="4FC701E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5"/>
      <w:gridCol w:w="2835"/>
      <w:gridCol w:w="2835"/>
    </w:tblGrid>
    <w:tr w:rsidR="4FC701EA" w14:paraId="7D231571" w14:textId="77777777" w:rsidTr="4FC701EA">
      <w:trPr>
        <w:trHeight w:val="300"/>
      </w:trPr>
      <w:tc>
        <w:tcPr>
          <w:tcW w:w="2835" w:type="dxa"/>
        </w:tcPr>
        <w:p w14:paraId="1160EF09" w14:textId="7066B738" w:rsidR="4FC701EA" w:rsidRDefault="4FC701EA" w:rsidP="4FC701EA">
          <w:pPr>
            <w:pStyle w:val="Cabealho"/>
            <w:ind w:left="-115"/>
          </w:pPr>
        </w:p>
      </w:tc>
      <w:tc>
        <w:tcPr>
          <w:tcW w:w="2835" w:type="dxa"/>
        </w:tcPr>
        <w:p w14:paraId="5974C6AB" w14:textId="3489E723" w:rsidR="4FC701EA" w:rsidRDefault="4FC701EA" w:rsidP="4FC701EA">
          <w:pPr>
            <w:pStyle w:val="Cabealho"/>
            <w:jc w:val="center"/>
          </w:pPr>
        </w:p>
      </w:tc>
      <w:tc>
        <w:tcPr>
          <w:tcW w:w="2835" w:type="dxa"/>
        </w:tcPr>
        <w:p w14:paraId="01936A29" w14:textId="3FC9653E" w:rsidR="4FC701EA" w:rsidRDefault="4FC701EA" w:rsidP="4FC701EA">
          <w:pPr>
            <w:pStyle w:val="Cabealho"/>
            <w:ind w:right="-115"/>
            <w:jc w:val="right"/>
          </w:pPr>
        </w:p>
      </w:tc>
    </w:tr>
  </w:tbl>
  <w:p w14:paraId="2C972A4F" w14:textId="62F5F7F5" w:rsidR="4FC701EA" w:rsidRDefault="4FC701EA" w:rsidP="4FC701EA">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5"/>
      <w:gridCol w:w="2835"/>
      <w:gridCol w:w="2835"/>
    </w:tblGrid>
    <w:tr w:rsidR="4FC701EA" w14:paraId="09E3DB54" w14:textId="77777777" w:rsidTr="4FC701EA">
      <w:trPr>
        <w:trHeight w:val="300"/>
      </w:trPr>
      <w:tc>
        <w:tcPr>
          <w:tcW w:w="2835" w:type="dxa"/>
        </w:tcPr>
        <w:p w14:paraId="001F08BA" w14:textId="7F2FD6ED" w:rsidR="4FC701EA" w:rsidRDefault="4FC701EA" w:rsidP="4FC701EA">
          <w:pPr>
            <w:pStyle w:val="Cabealho"/>
            <w:ind w:left="-115"/>
          </w:pPr>
        </w:p>
      </w:tc>
      <w:tc>
        <w:tcPr>
          <w:tcW w:w="2835" w:type="dxa"/>
        </w:tcPr>
        <w:p w14:paraId="2A79EA6E" w14:textId="4F26550E" w:rsidR="4FC701EA" w:rsidRDefault="4FC701EA" w:rsidP="4FC701EA">
          <w:pPr>
            <w:pStyle w:val="Cabealho"/>
            <w:jc w:val="center"/>
          </w:pPr>
        </w:p>
      </w:tc>
      <w:tc>
        <w:tcPr>
          <w:tcW w:w="2835" w:type="dxa"/>
        </w:tcPr>
        <w:p w14:paraId="4ECC63EB" w14:textId="2364D233" w:rsidR="4FC701EA" w:rsidRDefault="4FC701EA" w:rsidP="4FC701EA">
          <w:pPr>
            <w:pStyle w:val="Cabealho"/>
            <w:ind w:right="-115"/>
            <w:jc w:val="right"/>
          </w:pPr>
        </w:p>
      </w:tc>
    </w:tr>
  </w:tbl>
  <w:p w14:paraId="63FF8DDC" w14:textId="3DDB7FE7" w:rsidR="4FC701EA" w:rsidRDefault="4FC701EA" w:rsidP="4FC701EA">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5"/>
      <w:gridCol w:w="2835"/>
      <w:gridCol w:w="2835"/>
    </w:tblGrid>
    <w:tr w:rsidR="4FC701EA" w14:paraId="12D4C109" w14:textId="77777777" w:rsidTr="4FC701EA">
      <w:trPr>
        <w:trHeight w:val="300"/>
      </w:trPr>
      <w:tc>
        <w:tcPr>
          <w:tcW w:w="2835" w:type="dxa"/>
        </w:tcPr>
        <w:p w14:paraId="69D9F3DD" w14:textId="2FB84BAA" w:rsidR="4FC701EA" w:rsidRDefault="4FC701EA" w:rsidP="4FC701EA">
          <w:pPr>
            <w:pStyle w:val="Cabealho"/>
            <w:ind w:left="-115"/>
          </w:pPr>
        </w:p>
      </w:tc>
      <w:tc>
        <w:tcPr>
          <w:tcW w:w="2835" w:type="dxa"/>
        </w:tcPr>
        <w:p w14:paraId="6CDCDD10" w14:textId="2A62981C" w:rsidR="4FC701EA" w:rsidRDefault="4FC701EA" w:rsidP="4FC701EA">
          <w:pPr>
            <w:pStyle w:val="Cabealho"/>
            <w:jc w:val="center"/>
          </w:pPr>
        </w:p>
      </w:tc>
      <w:tc>
        <w:tcPr>
          <w:tcW w:w="2835" w:type="dxa"/>
        </w:tcPr>
        <w:p w14:paraId="24D7DF44" w14:textId="32774074" w:rsidR="4FC701EA" w:rsidRDefault="4FC701EA" w:rsidP="4FC701EA">
          <w:pPr>
            <w:pStyle w:val="Cabealho"/>
            <w:ind w:right="-115"/>
            <w:jc w:val="right"/>
          </w:pPr>
        </w:p>
      </w:tc>
    </w:tr>
  </w:tbl>
  <w:p w14:paraId="0B270B33" w14:textId="1B162A61" w:rsidR="4FC701EA" w:rsidRDefault="4FC701EA" w:rsidP="4FC701E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3CF4"/>
    <w:multiLevelType w:val="hybridMultilevel"/>
    <w:tmpl w:val="FFFFFFFF"/>
    <w:lvl w:ilvl="0" w:tplc="579A4288">
      <w:start w:val="1"/>
      <w:numFmt w:val="bullet"/>
      <w:lvlText w:val=""/>
      <w:lvlJc w:val="left"/>
      <w:pPr>
        <w:ind w:left="720" w:hanging="360"/>
      </w:pPr>
      <w:rPr>
        <w:rFonts w:ascii="Symbol" w:hAnsi="Symbol" w:hint="default"/>
      </w:rPr>
    </w:lvl>
    <w:lvl w:ilvl="1" w:tplc="C7DE0942">
      <w:start w:val="1"/>
      <w:numFmt w:val="bullet"/>
      <w:lvlText w:val="o"/>
      <w:lvlJc w:val="left"/>
      <w:pPr>
        <w:ind w:left="1440" w:hanging="360"/>
      </w:pPr>
      <w:rPr>
        <w:rFonts w:ascii="Courier New" w:hAnsi="Courier New" w:hint="default"/>
      </w:rPr>
    </w:lvl>
    <w:lvl w:ilvl="2" w:tplc="AB50A46C">
      <w:start w:val="1"/>
      <w:numFmt w:val="bullet"/>
      <w:lvlText w:val=""/>
      <w:lvlJc w:val="left"/>
      <w:pPr>
        <w:ind w:left="2160" w:hanging="360"/>
      </w:pPr>
      <w:rPr>
        <w:rFonts w:ascii="Wingdings" w:hAnsi="Wingdings" w:hint="default"/>
      </w:rPr>
    </w:lvl>
    <w:lvl w:ilvl="3" w:tplc="760064F0">
      <w:start w:val="1"/>
      <w:numFmt w:val="bullet"/>
      <w:lvlText w:val=""/>
      <w:lvlJc w:val="left"/>
      <w:pPr>
        <w:ind w:left="2880" w:hanging="360"/>
      </w:pPr>
      <w:rPr>
        <w:rFonts w:ascii="Symbol" w:hAnsi="Symbol" w:hint="default"/>
      </w:rPr>
    </w:lvl>
    <w:lvl w:ilvl="4" w:tplc="CB18E098">
      <w:start w:val="1"/>
      <w:numFmt w:val="bullet"/>
      <w:lvlText w:val="o"/>
      <w:lvlJc w:val="left"/>
      <w:pPr>
        <w:ind w:left="3600" w:hanging="360"/>
      </w:pPr>
      <w:rPr>
        <w:rFonts w:ascii="Courier New" w:hAnsi="Courier New" w:hint="default"/>
      </w:rPr>
    </w:lvl>
    <w:lvl w:ilvl="5" w:tplc="A2366C34">
      <w:start w:val="1"/>
      <w:numFmt w:val="bullet"/>
      <w:lvlText w:val=""/>
      <w:lvlJc w:val="left"/>
      <w:pPr>
        <w:ind w:left="4320" w:hanging="360"/>
      </w:pPr>
      <w:rPr>
        <w:rFonts w:ascii="Wingdings" w:hAnsi="Wingdings" w:hint="default"/>
      </w:rPr>
    </w:lvl>
    <w:lvl w:ilvl="6" w:tplc="6C988382">
      <w:start w:val="1"/>
      <w:numFmt w:val="bullet"/>
      <w:lvlText w:val=""/>
      <w:lvlJc w:val="left"/>
      <w:pPr>
        <w:ind w:left="5040" w:hanging="360"/>
      </w:pPr>
      <w:rPr>
        <w:rFonts w:ascii="Symbol" w:hAnsi="Symbol" w:hint="default"/>
      </w:rPr>
    </w:lvl>
    <w:lvl w:ilvl="7" w:tplc="74C890FE">
      <w:start w:val="1"/>
      <w:numFmt w:val="bullet"/>
      <w:lvlText w:val="o"/>
      <w:lvlJc w:val="left"/>
      <w:pPr>
        <w:ind w:left="5760" w:hanging="360"/>
      </w:pPr>
      <w:rPr>
        <w:rFonts w:ascii="Courier New" w:hAnsi="Courier New" w:hint="default"/>
      </w:rPr>
    </w:lvl>
    <w:lvl w:ilvl="8" w:tplc="F078C5FE">
      <w:start w:val="1"/>
      <w:numFmt w:val="bullet"/>
      <w:lvlText w:val=""/>
      <w:lvlJc w:val="left"/>
      <w:pPr>
        <w:ind w:left="6480" w:hanging="360"/>
      </w:pPr>
      <w:rPr>
        <w:rFonts w:ascii="Wingdings" w:hAnsi="Wingdings" w:hint="default"/>
      </w:rPr>
    </w:lvl>
  </w:abstractNum>
  <w:abstractNum w:abstractNumId="1" w15:restartNumberingAfterBreak="0">
    <w:nsid w:val="36AD4E71"/>
    <w:multiLevelType w:val="multilevel"/>
    <w:tmpl w:val="FFFFFFFF"/>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2" w15:restartNumberingAfterBreak="0">
    <w:nsid w:val="3CEC6481"/>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D2C7DB"/>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7774391">
    <w:abstractNumId w:val="3"/>
  </w:num>
  <w:num w:numId="2" w16cid:durableId="1770078694">
    <w:abstractNumId w:val="0"/>
  </w:num>
  <w:num w:numId="3" w16cid:durableId="1773629719">
    <w:abstractNumId w:val="1"/>
  </w:num>
  <w:num w:numId="4" w16cid:durableId="1240210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E76"/>
    <w:rsid w:val="00236E76"/>
    <w:rsid w:val="00A175B8"/>
    <w:rsid w:val="00AF0E76"/>
    <w:rsid w:val="00F456ED"/>
    <w:rsid w:val="1CE8671C"/>
    <w:rsid w:val="1D234CA6"/>
    <w:rsid w:val="4FC701EA"/>
    <w:rsid w:val="5888F1F3"/>
    <w:rsid w:val="7D535926"/>
    <w:rsid w:val="7E7B599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D234CA6"/>
  <w15:docId w15:val="{B148EBD9-6293-4889-92FC-38232225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pt-PT"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115"/>
      <w:outlineLvl w:val="0"/>
    </w:pPr>
    <w:rPr>
      <w:rFonts w:ascii="Arial" w:eastAsia="Arial" w:hAnsi="Arial" w:cs="Arial"/>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pPr>
  </w:style>
  <w:style w:type="paragraph" w:styleId="PargrafodaLista">
    <w:name w:val="List Paragraph"/>
    <w:basedOn w:val="Normal"/>
    <w:uiPriority w:val="34"/>
    <w:qFormat/>
    <w:pPr>
      <w:ind w:left="720"/>
      <w:contextualSpacing/>
    </w:pPr>
  </w:style>
  <w:style w:type="character" w:styleId="Refdenotaderodap">
    <w:name w:val="footnote reference"/>
    <w:basedOn w:val="Fontepargpadro"/>
    <w:uiPriority w:val="99"/>
    <w:semiHidden/>
    <w:unhideWhenUsed/>
    <w:rPr>
      <w:vertAlign w:val="superscript"/>
    </w:rPr>
  </w:style>
  <w:style w:type="character" w:styleId="Hyperlink">
    <w:name w:val="Hyperlink"/>
    <w:basedOn w:val="Fontepargpadro"/>
    <w:uiPriority w:val="99"/>
    <w:unhideWhenUsed/>
    <w:rPr>
      <w:color w:val="0000FF" w:themeColor="hyperlink"/>
      <w:u w:val="single"/>
    </w:rPr>
  </w:style>
  <w:style w:type="character" w:customStyle="1" w:styleId="TextodenotaderodapChar">
    <w:name w:val="Texto de nota de rodapé Char"/>
    <w:basedOn w:val="Fontepargpadro"/>
    <w:link w:val="Textodenotaderodap"/>
    <w:uiPriority w:val="99"/>
    <w:semiHidden/>
    <w:rPr>
      <w:sz w:val="20"/>
      <w:szCs w:val="20"/>
    </w:rPr>
  </w:style>
  <w:style w:type="paragraph" w:styleId="Textodenotaderodap">
    <w:name w:val="footnote text"/>
    <w:basedOn w:val="Normal"/>
    <w:link w:val="TextodenotaderodapChar"/>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3.xm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header" Target="header3.xml" /><Relationship Id="rId17" Type="http://schemas.openxmlformats.org/officeDocument/2006/relationships/footer" Target="footer5.xml" /><Relationship Id="rId2" Type="http://schemas.openxmlformats.org/officeDocument/2006/relationships/styles" Target="styles.xml" /><Relationship Id="rId16" Type="http://schemas.openxmlformats.org/officeDocument/2006/relationships/header" Target="header5.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1.png" /><Relationship Id="rId5" Type="http://schemas.openxmlformats.org/officeDocument/2006/relationships/footnotes" Target="footnotes.xml" /><Relationship Id="rId15" Type="http://schemas.openxmlformats.org/officeDocument/2006/relationships/footer" Target="footer4.xml" /><Relationship Id="rId10" Type="http://schemas.openxmlformats.org/officeDocument/2006/relationships/footer" Target="footer2.xm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header" Target="header4.xml" /></Relationships>
</file>

<file path=word/_rels/footnotes.xml.rels><?xml version="1.0" encoding="UTF-8" standalone="yes"?>
<Relationships xmlns="http://schemas.openxmlformats.org/package/2006/relationships"><Relationship Id="rId1" Type="http://schemas.openxmlformats.org/officeDocument/2006/relationships/hyperlink" Target="mailto:eduardo.menezes@maisunifacisa.com.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4729</Words>
  <Characters>25542</Characters>
  <Application>Microsoft Office Word</Application>
  <DocSecurity>0</DocSecurity>
  <Lines>212</Lines>
  <Paragraphs>60</Paragraphs>
  <ScaleCrop>false</ScaleCrop>
  <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Cláudia Sobral</dc:creator>
  <cp:lastModifiedBy>Emmanuel Menezes</cp:lastModifiedBy>
  <cp:revision>2</cp:revision>
  <dcterms:created xsi:type="dcterms:W3CDTF">2023-11-17T22:24:00Z</dcterms:created>
  <dcterms:modified xsi:type="dcterms:W3CDTF">2023-11-17T22:24:00Z</dcterms:modified>
</cp:coreProperties>
</file>