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CESED - CENTRO DE ENSINO SUPERIOR E DESENVOLVIMENTO</w:t>
      </w:r>
      <w:r w:rsidDel="00000000" w:rsidR="00000000" w:rsidRPr="00000000">
        <w:rPr>
          <w:rtl w:val="0"/>
        </w:rPr>
      </w:r>
    </w:p>
    <w:p w:rsidR="00000000" w:rsidDel="00000000" w:rsidP="00000000" w:rsidRDefault="00000000" w:rsidRPr="00000000" w14:paraId="00000002">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UNIFACISA – CENTRO UNIVERSITÁRIO</w:t>
      </w:r>
      <w:r w:rsidDel="00000000" w:rsidR="00000000" w:rsidRPr="00000000">
        <w:rPr>
          <w:rtl w:val="0"/>
        </w:rPr>
      </w:r>
    </w:p>
    <w:p w:rsidR="00000000" w:rsidDel="00000000" w:rsidP="00000000" w:rsidRDefault="00000000" w:rsidRPr="00000000" w14:paraId="00000003">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CURSO DE BACHARELADO EM DIREITO</w:t>
      </w:r>
      <w:r w:rsidDel="00000000" w:rsidR="00000000" w:rsidRPr="00000000">
        <w:rPr>
          <w:rtl w:val="0"/>
        </w:rPr>
      </w:r>
    </w:p>
    <w:p w:rsidR="00000000" w:rsidDel="00000000" w:rsidP="00000000" w:rsidRDefault="00000000" w:rsidRPr="00000000" w14:paraId="00000004">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RHAYSSA KELLY SILVA BRITO</w:t>
      </w:r>
      <w:r w:rsidDel="00000000" w:rsidR="00000000" w:rsidRPr="00000000">
        <w:rPr>
          <w:rtl w:val="0"/>
        </w:rPr>
      </w:r>
    </w:p>
    <w:p w:rsidR="00000000" w:rsidDel="00000000" w:rsidP="00000000" w:rsidRDefault="00000000" w:rsidRPr="00000000" w14:paraId="00000008">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SÍNDROME DE ESTOCOLMO: O VALOR PROBATÓRIO DAS DECLARAÇÕES DA VÍTIMA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NOS CASOS DE VIOLÊNCIA DOMÉSTICA</w:t>
      </w:r>
      <w:r w:rsidDel="00000000" w:rsidR="00000000" w:rsidRPr="00000000">
        <w:rPr>
          <w:rtl w:val="0"/>
        </w:rPr>
      </w:r>
    </w:p>
    <w:p w:rsidR="00000000" w:rsidDel="00000000" w:rsidP="00000000" w:rsidRDefault="00000000" w:rsidRPr="00000000" w14:paraId="00000012">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CAMPINA GRANDE – PB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RHAYSSA KELLY SILVA BRITO </w:t>
      </w:r>
    </w:p>
    <w:p w:rsidR="00000000" w:rsidDel="00000000" w:rsidP="00000000" w:rsidRDefault="00000000" w:rsidRPr="00000000" w14:paraId="00000023">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SÍNDROME DE ESTOCOLMO: O VALOR PROBATÓRIO DAS DECLARAÇÕES DA VÍTIMA NOS CASOS DE VIOLÊNCIA DOMÉSTICA </w:t>
      </w:r>
    </w:p>
    <w:p w:rsidR="00000000" w:rsidDel="00000000" w:rsidP="00000000" w:rsidRDefault="00000000" w:rsidRPr="00000000" w14:paraId="0000002B">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hd w:fill="ffffff" w:val="clear"/>
        <w:spacing w:line="240" w:lineRule="auto"/>
        <w:ind w:left="4530" w:right="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Trabalho de Conclusão de Curso - Artigo Científico - apresentado como pré-requisito para obtenção do título de Bacharel em Direito pela UniFacisa - Centro Universitário.</w:t>
      </w:r>
    </w:p>
    <w:p w:rsidR="00000000" w:rsidDel="00000000" w:rsidP="00000000" w:rsidRDefault="00000000" w:rsidRPr="00000000" w14:paraId="00000030">
      <w:pPr>
        <w:shd w:fill="ffffff" w:val="clear"/>
        <w:spacing w:line="240" w:lineRule="auto"/>
        <w:ind w:left="4530" w:right="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Área de concentração: Direito Público/Princípios, garantias e mecanismos do direito processual.</w:t>
      </w:r>
    </w:p>
    <w:p w:rsidR="00000000" w:rsidDel="00000000" w:rsidP="00000000" w:rsidRDefault="00000000" w:rsidRPr="00000000" w14:paraId="00000031">
      <w:pPr>
        <w:shd w:fill="ffffff" w:val="clear"/>
        <w:spacing w:line="240" w:lineRule="auto"/>
        <w:ind w:left="4530" w:right="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Orientador: Profº Félix Araújo Neto</w:t>
      </w:r>
    </w:p>
    <w:p w:rsidR="00000000" w:rsidDel="00000000" w:rsidP="00000000" w:rsidRDefault="00000000" w:rsidRPr="00000000" w14:paraId="00000032">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hd w:fill="ffffff" w:val="clea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 </w:t>
      </w:r>
    </w:p>
    <w:p w:rsidR="00000000" w:rsidDel="00000000" w:rsidP="00000000" w:rsidRDefault="00000000" w:rsidRPr="00000000" w14:paraId="00000040">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w:t>
      </w:r>
    </w:p>
    <w:p w:rsidR="00000000" w:rsidDel="00000000" w:rsidP="00000000" w:rsidRDefault="00000000" w:rsidRPr="00000000" w14:paraId="00000041">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before="93" w:lineRule="auto"/>
        <w:ind w:left="2871" w:right="229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Dados Internacionais de Catalogação na Publicação (Biblioteca da UniFacisa)</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spacing w:before="1" w:lineRule="auto"/>
        <w:ind w:left="68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XXXXX</w:t>
      </w:r>
    </w:p>
    <w:p w:rsidR="00000000" w:rsidDel="00000000" w:rsidP="00000000" w:rsidRDefault="00000000" w:rsidRPr="00000000" w14:paraId="00000057">
      <w:pPr>
        <w:ind w:left="969"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Brito, Rhayssa Kelly Silva.</w:t>
      </w:r>
    </w:p>
    <w:p w:rsidR="00000000" w:rsidDel="00000000" w:rsidP="00000000" w:rsidRDefault="00000000" w:rsidRPr="00000000" w14:paraId="00000058">
      <w:pPr>
        <w:spacing w:before="1" w:lineRule="auto"/>
        <w:ind w:left="969" w:firstLine="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Síndrome de estocolmo: O valor probatório das declarações da vítima nos casos de violência doméstica /  Rhayssa Kelly Silva Brito. – Campina Grande-PB, 2023.</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ind w:left="969" w:firstLine="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Originalmente apresentado como Artigo Científico de bacharelado em Direito da autora (bacharel – UniFacisa – Centro Universitário, 2023).</w:t>
      </w:r>
    </w:p>
    <w:p w:rsidR="00000000" w:rsidDel="00000000" w:rsidP="00000000" w:rsidRDefault="00000000" w:rsidRPr="00000000" w14:paraId="0000005B">
      <w:pPr>
        <w:spacing w:before="1" w:lineRule="auto"/>
        <w:ind w:left="125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Referências.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D">
      <w:pPr>
        <w:ind w:left="1253"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Síndrome de Estocolmo. 2. Violência doméstica. 3. Violência institucional. 4. Falso testemunho. I. Título.</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ind w:right="107"/>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CDU-XXXX(XXX)(XXX)</w:t>
      </w:r>
    </w:p>
    <w:p w:rsidR="00000000" w:rsidDel="00000000" w:rsidP="00000000" w:rsidRDefault="00000000" w:rsidRPr="00000000" w14:paraId="00000060">
      <w:pPr>
        <w:tabs>
          <w:tab w:val="left" w:leader="none" w:pos="8253"/>
        </w:tabs>
        <w:ind w:left="801" w:right="221" w:firstLine="0"/>
        <w:jc w:val="center"/>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 </w:t>
        <w:tab/>
      </w:r>
    </w:p>
    <w:p w:rsidR="00000000" w:rsidDel="00000000" w:rsidP="00000000" w:rsidRDefault="00000000" w:rsidRPr="00000000" w14:paraId="00000061">
      <w:pPr>
        <w:tabs>
          <w:tab w:val="left" w:leader="none" w:pos="8253"/>
        </w:tabs>
        <w:ind w:left="801" w:right="22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Elaborado       pela Bibliotecária Rosa Núbia de Lima Matias CRB 15/568 Catalogação na fonte</w:t>
      </w:r>
    </w:p>
    <w:p w:rsidR="00000000" w:rsidDel="00000000" w:rsidP="00000000" w:rsidRDefault="00000000" w:rsidRPr="00000000" w14:paraId="00000062">
      <w:pPr>
        <w:shd w:fill="ffffff" w:val="clea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shd w:fill="ffffff" w:val="clear"/>
        <w:spacing w:line="240" w:lineRule="auto"/>
        <w:ind w:left="72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shd w:fill="ffffff" w:val="clear"/>
        <w:spacing w:line="240" w:lineRule="auto"/>
        <w:ind w:left="72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5">
      <w:pPr>
        <w:shd w:fill="ffffff" w:val="clear"/>
        <w:spacing w:line="360" w:lineRule="auto"/>
        <w:ind w:left="72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shd w:fill="ffffff" w:val="clear"/>
        <w:spacing w:line="360" w:lineRule="auto"/>
        <w:ind w:left="72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shd w:fill="ffffff" w:val="clear"/>
        <w:spacing w:line="360" w:lineRule="auto"/>
        <w:ind w:left="7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hd w:fill="ffffff" w:val="clea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hd w:fill="ffffff" w:val="clear"/>
        <w:spacing w:line="360" w:lineRule="auto"/>
        <w:ind w:left="7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hd w:fill="ffffff" w:val="clear"/>
        <w:spacing w:line="240" w:lineRule="auto"/>
        <w:ind w:left="4535" w:right="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Síndrome de estocolmo: O valor probatório das declarações da vítima nos casos de violência doméstica, apresentado por Rhayssa Kelly Silva Brito como parte dos requisitos para obtenção do título de Bacharela em Direito, outorgado pela UniFacisa - Centro Universitário. </w:t>
      </w:r>
    </w:p>
    <w:p w:rsidR="00000000" w:rsidDel="00000000" w:rsidP="00000000" w:rsidRDefault="00000000" w:rsidRPr="00000000" w14:paraId="00000071">
      <w:pPr>
        <w:shd w:fill="ffffff" w:val="clear"/>
        <w:spacing w:line="240" w:lineRule="auto"/>
        <w:ind w:left="4818"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hd w:fill="ffffff" w:val="clear"/>
        <w:spacing w:line="240" w:lineRule="auto"/>
        <w:ind w:left="4818"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hd w:fill="ffffff" w:val="clear"/>
        <w:spacing w:line="240" w:lineRule="auto"/>
        <w:ind w:left="4535" w:right="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APROVADO EM ______/______/_______.</w:t>
      </w:r>
    </w:p>
    <w:p w:rsidR="00000000" w:rsidDel="00000000" w:rsidP="00000000" w:rsidRDefault="00000000" w:rsidRPr="00000000" w14:paraId="00000074">
      <w:pPr>
        <w:shd w:fill="ffffff" w:val="clear"/>
        <w:spacing w:line="240" w:lineRule="auto"/>
        <w:ind w:left="4818"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hd w:fill="ffffff" w:val="clear"/>
        <w:spacing w:line="240" w:lineRule="auto"/>
        <w:ind w:left="4818"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hd w:fill="ffffff" w:val="clear"/>
        <w:spacing w:line="240" w:lineRule="auto"/>
        <w:ind w:left="4535" w:right="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BANCA EXAMINADORA:</w:t>
      </w:r>
    </w:p>
    <w:p w:rsidR="00000000" w:rsidDel="00000000" w:rsidP="00000000" w:rsidRDefault="00000000" w:rsidRPr="00000000" w14:paraId="00000077">
      <w:pPr>
        <w:shd w:fill="ffffff" w:val="clear"/>
        <w:spacing w:line="240" w:lineRule="auto"/>
        <w:ind w:left="4818"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hd w:fill="ffffff" w:val="clear"/>
        <w:spacing w:line="240" w:lineRule="auto"/>
        <w:ind w:left="4818" w:right="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hd w:fill="ffffff" w:val="clear"/>
        <w:spacing w:line="240" w:lineRule="auto"/>
        <w:ind w:left="453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w:t>
      </w:r>
    </w:p>
    <w:p w:rsidR="00000000" w:rsidDel="00000000" w:rsidP="00000000" w:rsidRDefault="00000000" w:rsidRPr="00000000" w14:paraId="0000007A">
      <w:pPr>
        <w:shd w:fill="ffffff" w:val="clear"/>
        <w:spacing w:line="240" w:lineRule="auto"/>
        <w:ind w:left="453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Félix Araújo Neto</w:t>
      </w:r>
    </w:p>
    <w:p w:rsidR="00000000" w:rsidDel="00000000" w:rsidP="00000000" w:rsidRDefault="00000000" w:rsidRPr="00000000" w14:paraId="0000007B">
      <w:pPr>
        <w:shd w:fill="ffffff" w:val="clear"/>
        <w:spacing w:line="240" w:lineRule="auto"/>
        <w:ind w:left="453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w:t>
      </w:r>
    </w:p>
    <w:p w:rsidR="00000000" w:rsidDel="00000000" w:rsidP="00000000" w:rsidRDefault="00000000" w:rsidRPr="00000000" w14:paraId="0000007C">
      <w:pPr>
        <w:shd w:fill="ffffff" w:val="clear"/>
        <w:spacing w:line="240" w:lineRule="auto"/>
        <w:ind w:left="4536" w:right="2"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hd w:fill="ffffff" w:val="clear"/>
        <w:spacing w:line="240" w:lineRule="auto"/>
        <w:ind w:left="4536" w:right="2"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hd w:fill="ffffff" w:val="clear"/>
        <w:spacing w:line="240" w:lineRule="auto"/>
        <w:ind w:left="453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w:t>
      </w:r>
    </w:p>
    <w:p w:rsidR="00000000" w:rsidDel="00000000" w:rsidP="00000000" w:rsidRDefault="00000000" w:rsidRPr="00000000" w14:paraId="0000007F">
      <w:pPr>
        <w:shd w:fill="ffffff" w:val="clear"/>
        <w:spacing w:line="240" w:lineRule="auto"/>
        <w:ind w:left="453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Examinador</w:t>
      </w:r>
    </w:p>
    <w:p w:rsidR="00000000" w:rsidDel="00000000" w:rsidP="00000000" w:rsidRDefault="00000000" w:rsidRPr="00000000" w14:paraId="00000080">
      <w:pPr>
        <w:shd w:fill="ffffff" w:val="clear"/>
        <w:spacing w:line="240" w:lineRule="auto"/>
        <w:ind w:left="4536" w:right="2"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hd w:fill="ffffff" w:val="clear"/>
        <w:spacing w:line="240" w:lineRule="auto"/>
        <w:ind w:left="4536" w:right="2"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hd w:fill="ffffff" w:val="clear"/>
        <w:spacing w:line="240" w:lineRule="auto"/>
        <w:ind w:left="453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w:t>
      </w:r>
    </w:p>
    <w:p w:rsidR="00000000" w:rsidDel="00000000" w:rsidP="00000000" w:rsidRDefault="00000000" w:rsidRPr="00000000" w14:paraId="00000083">
      <w:pPr>
        <w:shd w:fill="ffffff" w:val="clear"/>
        <w:spacing w:line="240" w:lineRule="auto"/>
        <w:ind w:left="453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Examinador</w:t>
      </w:r>
    </w:p>
    <w:p w:rsidR="00000000" w:rsidDel="00000000" w:rsidP="00000000" w:rsidRDefault="00000000" w:rsidRPr="00000000" w14:paraId="00000084">
      <w:pPr>
        <w:shd w:fill="ffffff" w:val="clear"/>
        <w:spacing w:line="240" w:lineRule="auto"/>
        <w:ind w:left="4818" w:right="-182"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hd w:fill="ffffff" w:val="clear"/>
        <w:spacing w:line="240" w:lineRule="auto"/>
        <w:ind w:left="4818" w:right="-182"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hd w:fill="ffffff" w:val="clear"/>
        <w:spacing w:line="240" w:lineRule="auto"/>
        <w:ind w:left="4818" w:right="-182"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hd w:fill="ffffff" w:val="clear"/>
        <w:spacing w:line="240" w:lineRule="auto"/>
        <w:ind w:left="4818" w:right="-182"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hd w:fill="ffffff" w:val="clear"/>
        <w:spacing w:line="240" w:lineRule="auto"/>
        <w:ind w:left="4818" w:right="-182"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hd w:fill="ffffff" w:val="clear"/>
        <w:spacing w:line="240" w:lineRule="auto"/>
        <w:ind w:left="4818" w:right="-182"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hd w:fill="ffffff" w:val="clear"/>
        <w:spacing w:line="240" w:lineRule="auto"/>
        <w:ind w:left="4818" w:right="-182"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hd w:fill="ffffff" w:val="clear"/>
        <w:spacing w:line="240" w:lineRule="auto"/>
        <w:ind w:left="4818" w:right="-182"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SÍNDROME DE ESTOCOLMO: O VALOR PROBATÓRIO DAS DECLARAÇÕES DA VÍTIMA NOS CASOS DE VIOLÊNCIA DOMÉSTICA </w:t>
      </w:r>
    </w:p>
    <w:p w:rsidR="00000000" w:rsidDel="00000000" w:rsidP="00000000" w:rsidRDefault="00000000" w:rsidRPr="00000000" w14:paraId="0000008D">
      <w:pPr>
        <w:shd w:fill="ffffff" w:val="clear"/>
        <w:spacing w:line="360" w:lineRule="auto"/>
        <w:ind w:right="-18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hd w:fill="ffffff" w:val="clear"/>
        <w:spacing w:line="360" w:lineRule="auto"/>
        <w:ind w:right="-18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Rhayssa Kelly Silva Brito</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8F">
      <w:pPr>
        <w:shd w:fill="ffffff" w:val="clear"/>
        <w:spacing w:line="360" w:lineRule="auto"/>
        <w:ind w:right="-18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Félix Araújo Neto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90">
      <w:pPr>
        <w:shd w:fill="ffffff" w:val="clear"/>
        <w:spacing w:line="360" w:lineRule="auto"/>
        <w:ind w:right="-18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hd w:fill="ffffff" w:val="clear"/>
        <w:spacing w:line="360" w:lineRule="auto"/>
        <w:ind w:right="-18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hd w:fill="ffffff" w:val="clear"/>
        <w:spacing w:line="360" w:lineRule="auto"/>
        <w:ind w:right="-18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93">
      <w:pPr>
        <w:shd w:fill="ffffff" w:val="clear"/>
        <w:spacing w:line="360" w:lineRule="auto"/>
        <w:ind w:right="-18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 presente artigo analisará a Síndrome de Estocolmo nas mulheres vítimas de violência doméstica. Para tanto, utilizar-se-á pesquisa bibliográfica dedicando-se a análise da violência doméstica e suas consequências psicológicas, em especial, o desenvolvimento da Síndrome de Estocolmo e como esta influencia nas declarações das vítimas. Primeiramente, será feito um estudo sobre a Síndrome de Estocolmo e suas características. Logo depois, será discutido a respeito da vitimologia e como se dá o processo da vitimização diferenciando seus tipos e analisando como funciona a violência institucional. Posteriormente, será avaliada a relação da vítima com seu abusador partindo do estudo de um caso concreto, além de abordar a Lei Maria da Penha demonstrando os tipos de violência doméstica e como ocorrem. Por fim, verificará como se dá o valor probatório das declarações das vítimas em virtude de sua ambivalência comportamental e suas possíveis consequências. Dessa maneira, conclui-se a síndrome de Estocolmo, por se tratar de um mecanismo de defesa, faz com que a vítima não compreenda a situação de perigo ao qual está inserida, recusando ajuda para proteger seu agressor com a crença de que este lhe garantirá a sobrevivência. Tal comportamento reflete em questões jurídicas, devendo estar o operador do direito atento para as interpretações da lei no que tange a palavra da vítima. </w:t>
      </w:r>
      <w:r w:rsidDel="00000000" w:rsidR="00000000" w:rsidRPr="00000000">
        <w:rPr>
          <w:rtl w:val="0"/>
        </w:rPr>
      </w:r>
    </w:p>
    <w:p w:rsidR="00000000" w:rsidDel="00000000" w:rsidP="00000000" w:rsidRDefault="00000000" w:rsidRPr="00000000" w14:paraId="00000094">
      <w:pPr>
        <w:shd w:fill="ffffff" w:val="clear"/>
        <w:spacing w:line="360" w:lineRule="auto"/>
        <w:ind w:right="-182"/>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shd w:fill="ffffff" w:val="clear"/>
        <w:spacing w:line="360" w:lineRule="auto"/>
        <w:ind w:right="-18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Síndrome de Estocolmo. Violência doméstica. Violência institucional. Falso testemunho. </w:t>
      </w:r>
    </w:p>
    <w:p w:rsidR="00000000" w:rsidDel="00000000" w:rsidP="00000000" w:rsidRDefault="00000000" w:rsidRPr="00000000" w14:paraId="00000096">
      <w:pPr>
        <w:shd w:fill="ffffff" w:val="clear"/>
        <w:spacing w:line="360" w:lineRule="auto"/>
        <w:ind w:right="-18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hd w:fill="ffffff" w:val="clear"/>
        <w:spacing w:line="360" w:lineRule="auto"/>
        <w:ind w:right="-18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98">
      <w:pPr>
        <w:shd w:fill="ffffff" w:val="clear"/>
        <w:spacing w:line="360" w:lineRule="auto"/>
        <w:ind w:right="-18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hd w:fill="ffffff" w:val="clear"/>
        <w:spacing w:line="360" w:lineRule="auto"/>
        <w:ind w:right="-18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will analyze Stockholm Syndrome in women who are victims of domestic violence. To do so, a literature review will be conducted, focusing on the analysis of domestic violence and its psychological consequences, particularly the development of Stockholm Syndrome and its influence on victims' statements. Firstly, there will be a study on the characteristics of Stockholm Syndrome. Subsequently, victimology will be discussed, examining the victimization process, distinguishing its types, and analyzing how institutional violence functions. Later, the victim's relationship with the abuser will be evaluated, based on the study of a specific case, and the Maria da Penha Law will be addressed, demonstrating types of domestic violence and how they occur. Finally, the probative value of victims' statements will be examined in light of their behavioral ambivalence and potential consequences. In conclusion, Stockholm Syndrome, as a defense mechanism, causes the victim to not comprehend the danger she is in, refusing help to protect her aggressor with the belief that he will ensure her survival. This behavior has legal implications, requiring legal professionals to be attentive to interpretations of the law regarding the victim's testimony.</w:t>
      </w:r>
    </w:p>
    <w:p w:rsidR="00000000" w:rsidDel="00000000" w:rsidP="00000000" w:rsidRDefault="00000000" w:rsidRPr="00000000" w14:paraId="0000009A">
      <w:pPr>
        <w:shd w:fill="ffffff" w:val="clear"/>
        <w:spacing w:line="360" w:lineRule="auto"/>
        <w:ind w:right="-18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hd w:fill="ffffff" w:val="clear"/>
        <w:spacing w:line="360" w:lineRule="auto"/>
        <w:ind w:right="-18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Stockholm syndrome. Domestic violence.  Institutional Violence. False testimony.</w:t>
      </w:r>
    </w:p>
    <w:p w:rsidR="00000000" w:rsidDel="00000000" w:rsidP="00000000" w:rsidRDefault="00000000" w:rsidRPr="00000000" w14:paraId="0000009C">
      <w:pPr>
        <w:shd w:fill="ffffff" w:val="clear"/>
        <w:spacing w:line="360" w:lineRule="auto"/>
        <w:ind w:right="-18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shd w:fill="ffffff" w:val="clear"/>
        <w:spacing w:line="360" w:lineRule="auto"/>
        <w:ind w:right="-18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hd w:fill="ffffff" w:val="clear"/>
        <w:spacing w:line="360" w:lineRule="auto"/>
        <w:ind w:right="-18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hd w:fill="ffffff" w:val="clear"/>
        <w:spacing w:line="360" w:lineRule="auto"/>
        <w:ind w:right="-18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shd w:fill="ffffff" w:val="clear"/>
        <w:spacing w:line="360" w:lineRule="auto"/>
        <w:ind w:right="-18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shd w:fill="ffffff" w:val="clear"/>
        <w:spacing w:line="360" w:lineRule="auto"/>
        <w:ind w:right="-18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hd w:fill="ffffff" w:val="clear"/>
        <w:spacing w:line="360" w:lineRule="auto"/>
        <w:ind w:right="-18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hd w:fill="ffffff" w:val="clear"/>
        <w:spacing w:line="360" w:lineRule="auto"/>
        <w:ind w:right="-18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hd w:fill="ffffff" w:val="clear"/>
        <w:spacing w:line="360" w:lineRule="auto"/>
        <w:ind w:right="-18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hd w:fill="ffffff" w:val="clear"/>
        <w:spacing w:line="360" w:lineRule="auto"/>
        <w:ind w:right="-18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shd w:fill="ffffff" w:val="clear"/>
        <w:spacing w:line="360" w:lineRule="auto"/>
        <w:ind w:right="-18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shd w:fill="ffffff" w:val="clear"/>
        <w:spacing w:line="360" w:lineRule="auto"/>
        <w:ind w:right="-18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shd w:fill="ffffff" w:val="clear"/>
        <w:spacing w:line="360" w:lineRule="auto"/>
        <w:ind w:right="-18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shd w:fill="ffffff" w:val="clear"/>
        <w:spacing w:line="360" w:lineRule="auto"/>
        <w:ind w:right="-18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hd w:fill="ffffff" w:val="clear"/>
        <w:spacing w:line="360" w:lineRule="auto"/>
        <w:rPr>
          <w:rFonts w:ascii="Times New Roman" w:cs="Times New Roman" w:eastAsia="Times New Roman" w:hAnsi="Times New Roman"/>
          <w:b w:val="1"/>
          <w:sz w:val="24"/>
          <w:szCs w:val="24"/>
        </w:rPr>
        <w:sectPr>
          <w:headerReference r:id="rId8" w:type="default"/>
          <w:pgSz w:h="16834" w:w="11909" w:orient="portrait"/>
          <w:pgMar w:bottom="1134" w:top="1701" w:left="1701" w:right="1134" w:header="720" w:footer="720"/>
          <w:pgNumType w:start="1"/>
        </w:sectPr>
      </w:pPr>
      <w:r w:rsidDel="00000000" w:rsidR="00000000" w:rsidRPr="00000000">
        <w:rPr>
          <w:rtl w:val="0"/>
        </w:rPr>
      </w:r>
    </w:p>
    <w:p w:rsidR="00000000" w:rsidDel="00000000" w:rsidP="00000000" w:rsidRDefault="00000000" w:rsidRPr="00000000" w14:paraId="000000AB">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 </w:t>
      </w:r>
    </w:p>
    <w:p w:rsidR="00000000" w:rsidDel="00000000" w:rsidP="00000000" w:rsidRDefault="00000000" w:rsidRPr="00000000" w14:paraId="000000AC">
      <w:pPr>
        <w:shd w:fill="ffffff" w:val="clea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hd w:fill="ffffff" w:val="clea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presente trabalho visa analisar os aspectos jurídicos e psicológicos da Síndrome de Estocolmo, abrangendo tanto as causas que originam o seu processo de desenvolvimento como também a sua influência na elucidação dos processos judiciais em detrimento dos depoimentos das vítimas prestados perante o juízo. </w:t>
      </w:r>
    </w:p>
    <w:p w:rsidR="00000000" w:rsidDel="00000000" w:rsidP="00000000" w:rsidRDefault="00000000" w:rsidRPr="00000000" w14:paraId="000000AE">
      <w:pPr>
        <w:shd w:fill="ffffff" w:val="clear"/>
        <w:spacing w:line="360" w:lineRule="auto"/>
        <w:ind w:firstLine="7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 síndrome de Estocolmo é um distúrbio psicológico sofrido de maneira inconsciente pela vítima, quando forçada a passar por situações de abuso ou violência prolongado, sendo caracterizado pelo desenvolvimento de defesa, segundo o qual, a vítima se identifica afetivamente com o seu abusador na busca de conquistar a amizade e simpatia do mesmo, expressando sentimento de gratidão e lealdade. </w:t>
      </w:r>
      <w:r w:rsidDel="00000000" w:rsidR="00000000" w:rsidRPr="00000000">
        <w:rPr>
          <w:rtl w:val="0"/>
        </w:rPr>
      </w:r>
    </w:p>
    <w:p w:rsidR="00000000" w:rsidDel="00000000" w:rsidP="00000000" w:rsidRDefault="00000000" w:rsidRPr="00000000" w14:paraId="000000AF">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diversas as formas de violência pelo qual a vítima pode ser submetida para desenvolver essa síndrome, como por exemplo: assalto, sequestro, abuso sexual ou violência. Nesses casos de eventos traumáticos, é necessária a presença de ameaça física ou psicológica. No que tange a espécie de abuso, definiu-se as diversas violências psicológicas perpetradas na esfera das relações doméstica/familiar, que de acordo com o art. 5º, III, da Lei no 11.340/06 – Lei Maria da Penha, não dependem de coabitação e podem ser passadas ou presentes. </w:t>
      </w:r>
    </w:p>
    <w:p w:rsidR="00000000" w:rsidDel="00000000" w:rsidP="00000000" w:rsidRDefault="00000000" w:rsidRPr="00000000" w14:paraId="000000B0">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viés, as questões que irão direcionar esse artigo estão centradas nas seguintes problemáticas: Como se dá o processo de vitimização e como poderá ser penalizado o Estado em casos de violência institucional? A vítima, enquanto portadora da síndrome, possui alguma dificuldade acerca da valoração probatória sobre as declarações prestadas perante os órgãos competentes?  Poderá a vítima ser penalizada por falso testemunho? </w:t>
      </w:r>
    </w:p>
    <w:p w:rsidR="00000000" w:rsidDel="00000000" w:rsidP="00000000" w:rsidRDefault="00000000" w:rsidRPr="00000000" w14:paraId="000000B1">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responder os questionamentos apresentados acima, inicialmente utilizaremos das seguintes hipóteses: I) Através da Lei nº 14.321/2022, os agentes públicos responsáveis pela prática de violência institucional  poderão ser punidos com detenção de três meses a um ano e multa; II) Para ocorrer a valoração probatória deverá ser analisado diversos fatores, incluindo: a coerência do depoimento da vítima; a consistência com outras provas; o comportamento da vítima durante o incidente; e a credibilidade percebida. Nisso, embora a vítima demonstre a vontade de proteger o seu parceiro no curso do processo penal, deverá levar-se em conta outras evidências além de apenas sua palavra. Profissionais do direito e especialistas em saúde mental podem colaborar para que a justiça seja alcançada de maneira correta. III) Não seria razoável impor à vítima de violência a obrigatoriedade de falar a verdade, sob pena de ser processada por falso testemunho. Diante da inexistência de previsão legal, salientando que vítima e testemunha não se confundem, a vítima que apresentar declarações falsas não poderá ser processada pelo delito de falso testemunho. </w:t>
      </w:r>
    </w:p>
    <w:p w:rsidR="00000000" w:rsidDel="00000000" w:rsidP="00000000" w:rsidRDefault="00000000" w:rsidRPr="00000000" w14:paraId="000000B2">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Partindo do ponto em que a síndrome é capaz de causar uma confusão mental, nota-se que há uma prejudicialidade aos processos em decorrência dessa confusão, visto que a alteração da realidade sofrida pela vítima impede com que ela sinta vontade de denunciar o abusador (referido aos casos de ação penal privada), ou até mesmo de prestar depoimentos compatíveis com a realidade que foi vivenciada (nos casos em que o Ministério Público detém a iniciativa da denúncia – ação penal pública incondicionada). </w:t>
      </w:r>
    </w:p>
    <w:p w:rsidR="00000000" w:rsidDel="00000000" w:rsidP="00000000" w:rsidRDefault="00000000" w:rsidRPr="00000000" w14:paraId="000000B3">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vemos que o processo para denúncia ou queixa se torna algo difícil, já que a vítima se sente na qualidade de proteger seu abusador e acaba rejeitando qualquer tipo de ajuda ou interferência. </w:t>
      </w:r>
    </w:p>
    <w:p w:rsidR="00000000" w:rsidDel="00000000" w:rsidP="00000000" w:rsidRDefault="00000000" w:rsidRPr="00000000" w14:paraId="000000B4">
      <w:pPr>
        <w:shd w:fill="ffffff" w:val="clear"/>
        <w:spacing w:line="360" w:lineRule="auto"/>
        <w:ind w:firstLine="700"/>
        <w:jc w:val="both"/>
        <w:rPr>
          <w:rFonts w:ascii="Times New Roman" w:cs="Times New Roman" w:eastAsia="Times New Roman" w:hAnsi="Times New Roman"/>
          <w:color w:val="00796b"/>
          <w:sz w:val="24"/>
          <w:szCs w:val="24"/>
        </w:rPr>
      </w:pPr>
      <w:r w:rsidDel="00000000" w:rsidR="00000000" w:rsidRPr="00000000">
        <w:rPr>
          <w:rFonts w:ascii="Times New Roman" w:cs="Times New Roman" w:eastAsia="Times New Roman" w:hAnsi="Times New Roman"/>
          <w:sz w:val="24"/>
          <w:szCs w:val="24"/>
          <w:rtl w:val="0"/>
        </w:rPr>
        <w:t xml:space="preserve">É de suma importância refletir sobre essas questões jurídicas, visto que possui relevância social e científica, tendo-se em conta a ausência de trabalhos existentes no país</w:t>
      </w:r>
      <w:r w:rsidDel="00000000" w:rsidR="00000000" w:rsidRPr="00000000">
        <w:rPr>
          <w:rFonts w:ascii="Times New Roman" w:cs="Times New Roman" w:eastAsia="Times New Roman" w:hAnsi="Times New Roman"/>
          <w:color w:val="00796b"/>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além de notar a imprecisão das pesquisas que abordam a Síndrome de Estocolmo no âmbito da violência doméstica e sua relação com a elucidação de processos judiciais. </w:t>
      </w:r>
      <w:r w:rsidDel="00000000" w:rsidR="00000000" w:rsidRPr="00000000">
        <w:rPr>
          <w:rtl w:val="0"/>
        </w:rPr>
      </w:r>
    </w:p>
    <w:p w:rsidR="00000000" w:rsidDel="00000000" w:rsidP="00000000" w:rsidRDefault="00000000" w:rsidRPr="00000000" w14:paraId="000000B5">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estudo realizado neste artigo se faz necessário para o Direito, pois demonstra-se a necessidade de aprofundar a compreensão da Síndrome de Estocolmo no sistema de justiça criminal, explanando as dificuldades encontradas pelas vítimas em denunciar seus agressores e analisando o fator psicológico das vítimas e perpetradores em casos de violência e coerção, a fim de garantir a justa aplicação das normas penais.</w:t>
      </w:r>
    </w:p>
    <w:p w:rsidR="00000000" w:rsidDel="00000000" w:rsidP="00000000" w:rsidRDefault="00000000" w:rsidRPr="00000000" w14:paraId="000000B6">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metodologia utilizada foi a revisão bibliográfica através de livros, teses, artigos científicos, normas constitucionais e infraconstitucionais. </w:t>
      </w:r>
    </w:p>
    <w:p w:rsidR="00000000" w:rsidDel="00000000" w:rsidP="00000000" w:rsidRDefault="00000000" w:rsidRPr="00000000" w14:paraId="000000B7">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SÍNDROME DE ESTOCOLMO: CONCEITO E CARACTERÍSTICAS </w:t>
      </w:r>
    </w:p>
    <w:p w:rsidR="00000000" w:rsidDel="00000000" w:rsidP="00000000" w:rsidRDefault="00000000" w:rsidRPr="00000000" w14:paraId="000000B9">
      <w:pPr>
        <w:shd w:fill="ffffff" w:val="clea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expressão “Síndrome de Estocolmo” foi criada pelo criminalista e psiquiatra Nils Bejerot quando precisou avaliar reféns de um assalto a banco. </w:t>
      </w:r>
    </w:p>
    <w:p w:rsidR="00000000" w:rsidDel="00000000" w:rsidP="00000000" w:rsidRDefault="00000000" w:rsidRPr="00000000" w14:paraId="000000BB">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23 de agosto de 1973, ocorreu o famoso assalto ao banco Kreditbanken, na praça de Norrmalmstorg, em Estocolmo, capital sueca. O assaltante Jan-Erik Olsson entrou com uma metralhadora e explosivos na filial do referido banco com intenção de roubá-lo. Após confronto com a polícia, Olsson tornou quatro pessoas reféns, fazendo exigências como armas, dinheiro, carro, liberdade, e que lhe fosse trazido ao banco Clark Olofsson, presidiário e criminoso muito famoso no país (RIBEIRO, 2017).</w:t>
      </w:r>
    </w:p>
    <w:p w:rsidR="00000000" w:rsidDel="00000000" w:rsidP="00000000" w:rsidRDefault="00000000" w:rsidRPr="00000000" w14:paraId="000000BC">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período de cativeiro foi de 23 a 28 de agosto de 1973. Após seis dias, uma ação da polícia desarmou os criminosos e encerrou o sequestro. Os reféns desenvolveram sentimentos por seus sequestradores que logo ficaram evidentes. Isto porque, quando policiais iniciaram suas estratégias em libertar as vítimas, estas recusaram ajuda e usaram seus próprios corpos como proteção aos agressores (RIBEIRO, 2017).</w:t>
      </w:r>
    </w:p>
    <w:p w:rsidR="00000000" w:rsidDel="00000000" w:rsidP="00000000" w:rsidRDefault="00000000" w:rsidRPr="00000000" w14:paraId="000000BD">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dos reféns, Sven, que chegou a ser ameaçado durante o sequestro por Olsson, afirmou tempos depois ter que se esforçar muitas vezes para lembrar que os sequestradores não eram seus amigos, e sim criminosos. Kristin Enmark, mesmo após 40 anos do sequestro, ainda se corresponde com Olofsson e o considera seu amigo.</w:t>
      </w:r>
    </w:p>
    <w:p w:rsidR="00000000" w:rsidDel="00000000" w:rsidP="00000000" w:rsidRDefault="00000000" w:rsidRPr="00000000" w14:paraId="000000BE">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maneira geral, esta síndrome pode ser caracterizada como uma resposta emocional produzida pela vítima, nas situações envoltas de tensão, medo ou frustrações, unido em sua total indefesa e na sua situação de vulnerabilidade. </w:t>
      </w:r>
    </w:p>
    <w:p w:rsidR="00000000" w:rsidDel="00000000" w:rsidP="00000000" w:rsidRDefault="00000000" w:rsidRPr="00000000" w14:paraId="000000BF">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Nota-se então que, quando uma pessoa passa por uma situação extremamente crítica em que sua existência fica completamente à mercê de outra, que detém o poder de vida ou de morte sobre ela, pode-se estabelecer um tipo de relação dependente em que a vítima adere psicologicamente ao agressor. Nesses casos, pode-se estabelecer uma espécie de amor ou paixão que decorre de um processo inconsciente de preservação (TRINDADE, 2010). </w:t>
      </w:r>
    </w:p>
    <w:p w:rsidR="00000000" w:rsidDel="00000000" w:rsidP="00000000" w:rsidRDefault="00000000" w:rsidRPr="00000000" w14:paraId="000000C0">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Jorge Trindade, os requisitos para que a síndrome seja diagnosticada são: eventos traumáticos (assaltos, sequestro, roubo, abuso sexual, violência) com ameaça física ou psicológica; a vítima começa a acreditar que o desfecho irá acontecer; no momento de tensão a vítima tem percepções de gestos de atenção (carinho, gentileza, cuidado) por parte do agressor; e a sensação de impotência para escapar (TRINDADE, 2010). </w:t>
      </w:r>
    </w:p>
    <w:p w:rsidR="00000000" w:rsidDel="00000000" w:rsidP="00000000" w:rsidRDefault="00000000" w:rsidRPr="00000000" w14:paraId="000000C1">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Outrossim, a Síndrome de Estocolmo faz a vítima regredir emocionalmente, causando contradição nos seus sentimento, que ao perceber a realidade que está inserida não suporta o trauma, e permite então que inicie processo de restauração e luto, passando pelas etapas de negação, perseguição, negociação, depressão e superação.  </w:t>
      </w:r>
    </w:p>
    <w:p w:rsidR="00000000" w:rsidDel="00000000" w:rsidP="00000000" w:rsidRDefault="00000000" w:rsidRPr="00000000" w14:paraId="000000C2">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3">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ESTUDO DA VITIMOLOGIA </w:t>
      </w:r>
    </w:p>
    <w:p w:rsidR="00000000" w:rsidDel="00000000" w:rsidP="00000000" w:rsidRDefault="00000000" w:rsidRPr="00000000" w14:paraId="000000C4">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 vitimologia, como um ramo da criminologia, é o campo de estudo e análise do papel da vítima no cenário de um delito. Nesse caso, estuda-se a vítima no aspecto global: psicológico, social, econômico e jurídico.  </w:t>
      </w:r>
    </w:p>
    <w:p w:rsidR="00000000" w:rsidDel="00000000" w:rsidP="00000000" w:rsidRDefault="00000000" w:rsidRPr="00000000" w14:paraId="000000C6">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hd w:fill="ffffff" w:val="clear"/>
        <w:spacing w:line="240" w:lineRule="auto"/>
        <w:ind w:left="22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Vitimologia é o estudo da vítima no que se refere à sua personalidade, quer do ponto de vista biológico, psicológico e social, quer do de sua proteção social e jurídica, bem como dos meios de vitimização, sua interrelação com o vitimizador e aspectos interdisciplinares e comparativos (MAYAR apud FALOTICO, 2007, p. 22).</w:t>
      </w:r>
    </w:p>
    <w:p w:rsidR="00000000" w:rsidDel="00000000" w:rsidP="00000000" w:rsidRDefault="00000000" w:rsidRPr="00000000" w14:paraId="000000C8">
      <w:pPr>
        <w:shd w:fill="ffffff" w:val="clear"/>
        <w:spacing w:line="360" w:lineRule="auto"/>
        <w:ind w:left="226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termo “vítima” vem do latim “</w:t>
      </w:r>
      <w:r w:rsidDel="00000000" w:rsidR="00000000" w:rsidRPr="00000000">
        <w:rPr>
          <w:rFonts w:ascii="Times New Roman" w:cs="Times New Roman" w:eastAsia="Times New Roman" w:hAnsi="Times New Roman"/>
          <w:i w:val="1"/>
          <w:sz w:val="24"/>
          <w:szCs w:val="24"/>
          <w:rtl w:val="0"/>
        </w:rPr>
        <w:t xml:space="preserve">victima ou victus</w:t>
      </w:r>
      <w:r w:rsidDel="00000000" w:rsidR="00000000" w:rsidRPr="00000000">
        <w:rPr>
          <w:rFonts w:ascii="Times New Roman" w:cs="Times New Roman" w:eastAsia="Times New Roman" w:hAnsi="Times New Roman"/>
          <w:sz w:val="24"/>
          <w:szCs w:val="24"/>
          <w:rtl w:val="0"/>
        </w:rPr>
        <w:t xml:space="preserve">”, que remete ao significado de “vencido” referindo-se a animal sacrificado. Com o passar do tempo, o conceito de vítima se ampliou, podendo ser conceituado como todo ser humano que de alguma maneira tornou-se prejudicado (RIBEIRO, 2017).</w:t>
      </w:r>
    </w:p>
    <w:p w:rsidR="00000000" w:rsidDel="00000000" w:rsidP="00000000" w:rsidRDefault="00000000" w:rsidRPr="00000000" w14:paraId="000000CA">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Resolução 40/34 (1985), da Assembleia Geral das Nações Unidas, aprovou a Declaração sobre os Princípios Básicos de Justiça para as Vítimas de Criminalidade e de Abuso de Poder, em virtude da conscientização de que milhares de pessoas sofrem prejuízos decorrentes de crimes e de abuso de poder, além da falta de respeito perantes os direitos dessas vítimas. Assim, a referida declaração conceitua a vítima como sendo: </w:t>
      </w:r>
    </w:p>
    <w:p w:rsidR="00000000" w:rsidDel="00000000" w:rsidP="00000000" w:rsidRDefault="00000000" w:rsidRPr="00000000" w14:paraId="000000CB">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pBdr>
          <w:top w:color="334155" w:space="0" w:sz="0" w:val="none"/>
          <w:left w:color="334155" w:space="0" w:sz="0" w:val="none"/>
          <w:bottom w:color="334155" w:space="0" w:sz="0" w:val="none"/>
          <w:right w:color="334155" w:space="0" w:sz="0" w:val="none"/>
          <w:between w:color="334155" w:space="0" w:sz="0" w:val="none"/>
        </w:pBdr>
        <w:shd w:fill="ffffff" w:val="clear"/>
        <w:spacing w:line="240" w:lineRule="auto"/>
        <w:ind w:left="2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Entendem-se por "vítimas" as pessoas que, individual ou coletivamente tenham sofrido um prejuízo, nomeadamente um atentado à sua integridade física e um sofrimento de ordem moral, uma perda material, ou um grave atentado aos seus direitos fundamentais, como conseqüência de atos ou de omissões violadores das leis vigor num Estado membro, incluindo as que proíbem o abuso de poder.” </w:t>
      </w:r>
    </w:p>
    <w:p w:rsidR="00000000" w:rsidDel="00000000" w:rsidP="00000000" w:rsidRDefault="00000000" w:rsidRPr="00000000" w14:paraId="000000CD">
      <w:pPr>
        <w:pBdr>
          <w:top w:color="334155" w:space="0" w:sz="0" w:val="none"/>
          <w:left w:color="334155" w:space="0" w:sz="0" w:val="none"/>
          <w:bottom w:color="334155" w:space="0" w:sz="0" w:val="none"/>
          <w:right w:color="334155" w:space="0" w:sz="0" w:val="none"/>
          <w:between w:color="334155" w:space="0" w:sz="0" w:val="none"/>
        </w:pBdr>
        <w:shd w:fill="ffffff" w:val="clear"/>
        <w:spacing w:line="240" w:lineRule="auto"/>
        <w:ind w:left="22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termo “vítima” inclui também, os familiares próximos ou dependentes da vítima direta e as pessoas que tenham sofrido danos ao intervir para prestar assistência a vítimas em perigo ou para impedir a vitimização. (ORGANIZAÇÃO DAS NAÇÕES UNIDAS, 1985).</w:t>
      </w:r>
    </w:p>
    <w:p w:rsidR="00000000" w:rsidDel="00000000" w:rsidP="00000000" w:rsidRDefault="00000000" w:rsidRPr="00000000" w14:paraId="000000CE">
      <w:pPr>
        <w:pBdr>
          <w:top w:color="334155" w:space="0" w:sz="0" w:val="none"/>
          <w:left w:color="334155" w:space="0" w:sz="0" w:val="none"/>
          <w:bottom w:color="334155" w:space="0" w:sz="0" w:val="none"/>
          <w:right w:color="334155" w:space="0" w:sz="0" w:val="none"/>
          <w:between w:color="334155" w:space="0" w:sz="0" w:val="none"/>
        </w:pBdr>
        <w:shd w:fill="ffffff" w:val="clear"/>
        <w:spacing w:line="360" w:lineRule="auto"/>
        <w:ind w:firstLine="720"/>
        <w:jc w:val="both"/>
        <w:rPr>
          <w:rFonts w:ascii="Times New Roman" w:cs="Times New Roman" w:eastAsia="Times New Roman" w:hAnsi="Times New Roman"/>
          <w:color w:val="334155"/>
          <w:sz w:val="24"/>
          <w:szCs w:val="24"/>
        </w:rPr>
      </w:pPr>
      <w:r w:rsidDel="00000000" w:rsidR="00000000" w:rsidRPr="00000000">
        <w:rPr>
          <w:color w:val="334155"/>
          <w:sz w:val="24"/>
          <w:szCs w:val="24"/>
          <w:rtl w:val="0"/>
        </w:rPr>
        <w:t xml:space="preserve"> </w:t>
      </w:r>
      <w:r w:rsidDel="00000000" w:rsidR="00000000" w:rsidRPr="00000000">
        <w:rPr>
          <w:rtl w:val="0"/>
        </w:rPr>
      </w:r>
    </w:p>
    <w:p w:rsidR="00000000" w:rsidDel="00000000" w:rsidP="00000000" w:rsidRDefault="00000000" w:rsidRPr="00000000" w14:paraId="000000CF">
      <w:pPr>
        <w:pBdr>
          <w:top w:color="334155" w:space="0" w:sz="0" w:val="none"/>
          <w:left w:color="334155" w:space="0" w:sz="0" w:val="none"/>
          <w:bottom w:color="334155" w:space="0" w:sz="0" w:val="none"/>
          <w:right w:color="334155" w:space="0" w:sz="0" w:val="none"/>
          <w:between w:color="334155" w:space="0" w:sz="0" w:val="none"/>
        </w:pBd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Observa-se que além do sujeito passivo, a família, os dependentes da vítima que tenham relação direta com ela, e ainda, aqueles que ao intervirem para dar assistência à vítima e sofreram algum dano estão também inseridas como vítimas, em um conceito penal amplo. Muito embora seja de suma relevância a inclusão dos familiares e dos dependentes das vítimas como vítimas do crime, estes somente poderão possuir legitimidade quando a vítima se ausentar ou morrer (SOARES, 2019).</w:t>
      </w:r>
    </w:p>
    <w:p w:rsidR="00000000" w:rsidDel="00000000" w:rsidP="00000000" w:rsidRDefault="00000000" w:rsidRPr="00000000" w14:paraId="000000D0">
      <w:pPr>
        <w:pBdr>
          <w:top w:color="334155" w:space="0" w:sz="0" w:val="none"/>
          <w:left w:color="334155" w:space="0" w:sz="0" w:val="none"/>
          <w:bottom w:color="334155" w:space="0" w:sz="0" w:val="none"/>
          <w:right w:color="334155" w:space="0" w:sz="0" w:val="none"/>
          <w:between w:color="334155" w:space="0" w:sz="0" w:val="none"/>
        </w:pBdr>
        <w:shd w:fill="ffffff" w:val="clear"/>
        <w:spacing w:line="360" w:lineRule="auto"/>
        <w:ind w:firstLine="720"/>
        <w:jc w:val="both"/>
        <w:rPr>
          <w:rFonts w:ascii="Times New Roman" w:cs="Times New Roman" w:eastAsia="Times New Roman" w:hAnsi="Times New Roman"/>
          <w:sz w:val="4"/>
          <w:szCs w:val="4"/>
        </w:rPr>
      </w:pPr>
      <w:r w:rsidDel="00000000" w:rsidR="00000000" w:rsidRPr="00000000">
        <w:rPr>
          <w:rFonts w:ascii="Times New Roman" w:cs="Times New Roman" w:eastAsia="Times New Roman" w:hAnsi="Times New Roman"/>
          <w:sz w:val="24"/>
          <w:szCs w:val="24"/>
          <w:rtl w:val="0"/>
        </w:rPr>
        <w:t xml:space="preserve">Existem diversas classificações acerca da vítima, nesse viés, Benjamin Mendelsohn, vitimólogo, criou a primeira classificação de vítima, levando em consideração a relação de culpabilidade entre a vítima e o infrator. São elas: I) Vítima completamente inocente ou vítima ideal: não possui nenhum tipo de participação no delito, sendo o delinquente o único responsável; II) </w:t>
      </w:r>
      <w:r w:rsidDel="00000000" w:rsidR="00000000" w:rsidRPr="00000000">
        <w:rPr>
          <w:rFonts w:ascii="Times New Roman" w:cs="Times New Roman" w:eastAsia="Times New Roman" w:hAnsi="Times New Roman"/>
          <w:sz w:val="24"/>
          <w:szCs w:val="24"/>
          <w:highlight w:val="white"/>
          <w:rtl w:val="0"/>
        </w:rPr>
        <w:t xml:space="preserve">Vítima menos culpada do que o delinquente ou vítima por ignorância: contribui de alguma forma para o resultado danoso; III) Vítima tão culpada quanto o delinquente: nessa, a participação ativa da vítima é imprescindível para a caracterização do crime. IV) </w:t>
      </w:r>
      <w:r w:rsidDel="00000000" w:rsidR="00000000" w:rsidRPr="00000000">
        <w:rPr>
          <w:rFonts w:ascii="Times New Roman" w:cs="Times New Roman" w:eastAsia="Times New Roman" w:hAnsi="Times New Roman"/>
          <w:highlight w:val="white"/>
          <w:rtl w:val="0"/>
        </w:rPr>
        <w:t xml:space="preserve">Vítima mais culpada que o delinquente ou vítima provocadora: provoca o autor do crime através de seu comportamento, contribuindo de maneira relevante para a prática delituosa; V) </w:t>
      </w:r>
      <w:r w:rsidDel="00000000" w:rsidR="00000000" w:rsidRPr="00000000">
        <w:rPr>
          <w:rFonts w:ascii="Times New Roman" w:cs="Times New Roman" w:eastAsia="Times New Roman" w:hAnsi="Times New Roman"/>
          <w:sz w:val="24"/>
          <w:szCs w:val="24"/>
          <w:highlight w:val="white"/>
          <w:rtl w:val="0"/>
        </w:rPr>
        <w:t xml:space="preserve">Vítima como única culpada: é aquela cuja responsabilidade pelo evento deve ser atribuída unicamente à vítima </w:t>
      </w:r>
      <w:r w:rsidDel="00000000" w:rsidR="00000000" w:rsidRPr="00000000">
        <w:rPr>
          <w:rFonts w:ascii="Times New Roman" w:cs="Times New Roman" w:eastAsia="Times New Roman" w:hAnsi="Times New Roman"/>
          <w:sz w:val="24"/>
          <w:szCs w:val="24"/>
          <w:rtl w:val="0"/>
        </w:rPr>
        <w:t xml:space="preserve">(MOREIRA FILHO, 2006).</w:t>
      </w:r>
      <w:r w:rsidDel="00000000" w:rsidR="00000000" w:rsidRPr="00000000">
        <w:rPr>
          <w:rtl w:val="0"/>
        </w:rPr>
      </w:r>
    </w:p>
    <w:p w:rsidR="00000000" w:rsidDel="00000000" w:rsidP="00000000" w:rsidRDefault="00000000" w:rsidRPr="00000000" w14:paraId="000000D1">
      <w:pPr>
        <w:pBdr>
          <w:top w:color="334155" w:space="0" w:sz="0" w:val="none"/>
          <w:left w:color="334155" w:space="0" w:sz="0" w:val="none"/>
          <w:bottom w:color="334155" w:space="0" w:sz="0" w:val="none"/>
          <w:right w:color="334155" w:space="0" w:sz="0" w:val="none"/>
          <w:between w:color="334155" w:space="0" w:sz="0" w:val="none"/>
        </w:pBd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ao objeto da vitimologia, é a vítima em seus diversos aspectos. Seguindo do mesmo pensamento da professora venezuelana Lola Aniyar de Castro, os objetivos da Vitimologia são: a) evidenciar a importância da vítima; b) explicar a conduta da vítima; c) medidas para reduzir a ocorrência do dano (no âmbito de políticas públicas e de comportamento individual); d) assistência às vítimas (RIBEIRO, 2017).</w:t>
      </w:r>
    </w:p>
    <w:p w:rsidR="00000000" w:rsidDel="00000000" w:rsidP="00000000" w:rsidRDefault="00000000" w:rsidRPr="00000000" w14:paraId="000000D2">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Percebe-se então que, com a difusão de crença na coletividade, tem aumentado o número de organizações na sociedade civil com o intuito de garantir assistência às vítimas de um delito.  </w:t>
      </w:r>
      <w:r w:rsidDel="00000000" w:rsidR="00000000" w:rsidRPr="00000000">
        <w:rPr>
          <w:rtl w:val="0"/>
        </w:rPr>
      </w:r>
    </w:p>
    <w:p w:rsidR="00000000" w:rsidDel="00000000" w:rsidP="00000000" w:rsidRDefault="00000000" w:rsidRPr="00000000" w14:paraId="000000D3">
      <w:pPr>
        <w:shd w:fill="ffffff" w:val="clea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ab/>
        <w:t xml:space="preserve">O ramo da vitimologia ainda busca estudar os meios da vitimização, isso porque, </w:t>
      </w:r>
      <w:r w:rsidDel="00000000" w:rsidR="00000000" w:rsidRPr="00000000">
        <w:rPr>
          <w:rFonts w:ascii="Times New Roman" w:cs="Times New Roman" w:eastAsia="Times New Roman" w:hAnsi="Times New Roman"/>
          <w:sz w:val="24"/>
          <w:szCs w:val="24"/>
          <w:highlight w:val="white"/>
          <w:rtl w:val="0"/>
        </w:rPr>
        <w:t xml:space="preserve">além de sofrer a prática do delito, a vítima deverá comparecer ao órgão competente para narrar a ocorrência dos fatos. Ainda, deverá encaminhar-se ao fórum para a realização da audiência onde, possivelmente, seu algoz estará presente. E, ainda, deverá repetir por diversas vezes os fatos que a vitimaram para familiares, amigos, conhecidos e, em alguns casos de maiores repercussões, à imprensa, que a entrevistará acerca dos mínimos detalhes, fazendo com que a vítima sofra uma vitimização muito mais ampla do que aquela que sofreu quando do crime.</w:t>
      </w:r>
    </w:p>
    <w:p w:rsidR="00000000" w:rsidDel="00000000" w:rsidP="00000000" w:rsidRDefault="00000000" w:rsidRPr="00000000" w14:paraId="000000D4">
      <w:pPr>
        <w:shd w:fill="ffffff" w:val="clea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5">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PROCESSO DE VITIMIZAÇÃO </w:t>
      </w:r>
    </w:p>
    <w:p w:rsidR="00000000" w:rsidDel="00000000" w:rsidP="00000000" w:rsidRDefault="00000000" w:rsidRPr="00000000" w14:paraId="000000D6">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vitimização pode ser compreendida como uma ação onde um indivíduo ou um grupo de indivíduos torna-se vítima de sua própria conduta, da conduta de terceiros ou por um fator natural.  </w:t>
      </w:r>
    </w:p>
    <w:p w:rsidR="00000000" w:rsidDel="00000000" w:rsidP="00000000" w:rsidRDefault="00000000" w:rsidRPr="00000000" w14:paraId="000000D8">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criminologia classifica a vitimização em três grupos, sendo denominadas de: primária, que acontece na ocorrência do delito; secundária, desenvolve-se no decorrer do processo; terciária, ocorre pelo abandono e o descrédito que alguns crimes causam às vítimas. De acordo com o Conselho Nacional do Ministério Público (2022), são elas:</w:t>
      </w:r>
    </w:p>
    <w:p w:rsidR="00000000" w:rsidDel="00000000" w:rsidP="00000000" w:rsidRDefault="00000000" w:rsidRPr="00000000" w14:paraId="000000D9">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hd w:fill="ffffff" w:val="clear"/>
        <w:spacing w:line="240" w:lineRule="auto"/>
        <w:ind w:left="2160"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sz w:val="20"/>
          <w:szCs w:val="20"/>
          <w:rtl w:val="0"/>
        </w:rPr>
        <w:t xml:space="preserve">I) Vitimização primária: </w:t>
      </w:r>
      <w:r w:rsidDel="00000000" w:rsidR="00000000" w:rsidRPr="00000000">
        <w:rPr>
          <w:rFonts w:ascii="Times New Roman" w:cs="Times New Roman" w:eastAsia="Times New Roman" w:hAnsi="Times New Roman"/>
          <w:color w:val="212529"/>
          <w:sz w:val="20"/>
          <w:szCs w:val="20"/>
          <w:rtl w:val="0"/>
        </w:rPr>
        <w:t xml:space="preserve">É o dano decorrente do próprio crime. As consequências imediatas da vitimização primária variam de acordo com a natureza do crime ou do fato delituoso cometido, podendo ser físicas, psicológicas ou materiais e patrimoniais. Em outras palavras, a vitimização primária corresponde ao dano à vítima decorrente do crime.</w:t>
      </w:r>
    </w:p>
    <w:p w:rsidR="00000000" w:rsidDel="00000000" w:rsidP="00000000" w:rsidRDefault="00000000" w:rsidRPr="00000000" w14:paraId="000000DB">
      <w:pPr>
        <w:shd w:fill="ffffff" w:val="clear"/>
        <w:spacing w:line="240" w:lineRule="auto"/>
        <w:ind w:left="2160"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II) Vitimização secundária: essa ocorre nos âmbitos formais do Estado. Também chamada  “Sobrevitimização”, é aquela causada pelas instâncias formais que detêm o controle sobre o âmbito social (delegacias, fóruns, Ministério Público etc.). Ocorre quando há desrespeito às garantias e aos direitos fundamentais das vítimas de crime no curso da investigação ou do processo penal.</w:t>
      </w:r>
    </w:p>
    <w:p w:rsidR="00000000" w:rsidDel="00000000" w:rsidP="00000000" w:rsidRDefault="00000000" w:rsidRPr="00000000" w14:paraId="000000DC">
      <w:pPr>
        <w:shd w:fill="ffffff" w:val="clear"/>
        <w:spacing w:line="240" w:lineRule="auto"/>
        <w:ind w:left="2160" w:firstLine="0"/>
        <w:jc w:val="both"/>
        <w:rPr>
          <w:rFonts w:ascii="Times New Roman" w:cs="Times New Roman" w:eastAsia="Times New Roman" w:hAnsi="Times New Roman"/>
          <w:color w:val="212529"/>
          <w:sz w:val="20"/>
          <w:szCs w:val="20"/>
          <w:highlight w:val="white"/>
        </w:rPr>
      </w:pPr>
      <w:r w:rsidDel="00000000" w:rsidR="00000000" w:rsidRPr="00000000">
        <w:rPr>
          <w:rFonts w:ascii="Times New Roman" w:cs="Times New Roman" w:eastAsia="Times New Roman" w:hAnsi="Times New Roman"/>
          <w:color w:val="212529"/>
          <w:sz w:val="20"/>
          <w:szCs w:val="20"/>
          <w:rtl w:val="0"/>
        </w:rPr>
        <w:t xml:space="preserve">III) Vitimização terciária: está relacionado a falta de amparo às vítimas. </w:t>
      </w:r>
      <w:r w:rsidDel="00000000" w:rsidR="00000000" w:rsidRPr="00000000">
        <w:rPr>
          <w:rFonts w:ascii="Times New Roman" w:cs="Times New Roman" w:eastAsia="Times New Roman" w:hAnsi="Times New Roman"/>
          <w:color w:val="212529"/>
          <w:sz w:val="20"/>
          <w:szCs w:val="20"/>
          <w:highlight w:val="white"/>
          <w:rtl w:val="0"/>
        </w:rPr>
        <w:t xml:space="preserve">Ocorre quando, em contato com o grupo familiar ou em seu meio ambiente social (como trabalho, escola, vizinhança, igreja etc.), a vítima for novamente vitimada pelos que a cercam. (</w:t>
      </w:r>
      <w:r w:rsidDel="00000000" w:rsidR="00000000" w:rsidRPr="00000000">
        <w:rPr>
          <w:rFonts w:ascii="Times New Roman" w:cs="Times New Roman" w:eastAsia="Times New Roman" w:hAnsi="Times New Roman"/>
          <w:sz w:val="20"/>
          <w:szCs w:val="20"/>
          <w:rtl w:val="0"/>
        </w:rPr>
        <w:t xml:space="preserve">CONSELHO NACIONAL DO MINISTÉRIO PÚBLICO, 2022)</w:t>
      </w:r>
      <w:r w:rsidDel="00000000" w:rsidR="00000000" w:rsidRPr="00000000">
        <w:rPr>
          <w:rtl w:val="0"/>
        </w:rPr>
      </w:r>
    </w:p>
    <w:p w:rsidR="00000000" w:rsidDel="00000000" w:rsidP="00000000" w:rsidRDefault="00000000" w:rsidRPr="00000000" w14:paraId="000000DD">
      <w:pPr>
        <w:shd w:fill="ffffff" w:val="clear"/>
        <w:spacing w:line="360" w:lineRule="auto"/>
        <w:ind w:left="2160" w:firstLine="0"/>
        <w:jc w:val="both"/>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DE">
      <w:pPr>
        <w:shd w:fill="ffffff" w:val="clear"/>
        <w:spacing w:line="360" w:lineRule="auto"/>
        <w:jc w:val="both"/>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ab/>
        <w:t xml:space="preserve">Após elencar as classificações da vitimização, pode-se perceber o quanto a vitimização secundária se relaciona com a violência doméstica. Nos últimos anos, tem-se observado a constância da banalização nos casos de violência contra a mulher demonstrando a falha dos órgãos institucionais competentes, com práticas que “revitimizam” a mulher. Essa falha é gerada por diversas razões, entre elas: o despreparo no atendimento das vítimas de violência doméstica; falta de recursos e o medo de denunciar por parte da vítima. </w:t>
      </w:r>
    </w:p>
    <w:p w:rsidR="00000000" w:rsidDel="00000000" w:rsidP="00000000" w:rsidRDefault="00000000" w:rsidRPr="00000000" w14:paraId="000000DF">
      <w:pPr>
        <w:shd w:fill="ffffff" w:val="clear"/>
        <w:spacing w:line="360" w:lineRule="auto"/>
        <w:jc w:val="both"/>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ab/>
        <w:t xml:space="preserve">Nesse mesmo sentido, a mulher vítima de violência doméstica que sofre com a Síndrome de Estocolmo necessita de um olhar mais sensível por parte desses profissionais, embora falte pessoas capacitadas para realizar atendimento desses casos, visto que essa vítima tende sempre a ir para o lado do agressor recusando ajuda. Esclarece Trindade:</w:t>
      </w:r>
    </w:p>
    <w:p w:rsidR="00000000" w:rsidDel="00000000" w:rsidP="00000000" w:rsidRDefault="00000000" w:rsidRPr="00000000" w14:paraId="000000E0">
      <w:pPr>
        <w:shd w:fill="ffffff" w:val="clear"/>
        <w:spacing w:line="360" w:lineRule="auto"/>
        <w:ind w:firstLine="2267"/>
        <w:jc w:val="both"/>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E1">
      <w:pPr>
        <w:shd w:fill="ffffff" w:val="clear"/>
        <w:spacing w:line="240" w:lineRule="auto"/>
        <w:ind w:left="2268" w:firstLine="0"/>
        <w:jc w:val="both"/>
        <w:rPr>
          <w:rFonts w:ascii="Times New Roman" w:cs="Times New Roman" w:eastAsia="Times New Roman" w:hAnsi="Times New Roman"/>
          <w:color w:val="212529"/>
          <w:sz w:val="20"/>
          <w:szCs w:val="20"/>
          <w:highlight w:val="white"/>
        </w:rPr>
      </w:pPr>
      <w:r w:rsidDel="00000000" w:rsidR="00000000" w:rsidRPr="00000000">
        <w:rPr>
          <w:rFonts w:ascii="Times New Roman" w:cs="Times New Roman" w:eastAsia="Times New Roman" w:hAnsi="Times New Roman"/>
          <w:color w:val="212529"/>
          <w:sz w:val="20"/>
          <w:szCs w:val="20"/>
          <w:highlight w:val="white"/>
          <w:rtl w:val="0"/>
        </w:rPr>
        <w:t xml:space="preserve">O fenômeno da vitimização secundária parece estar se tornando comum no mundo moderno e servindo para o agravamento da situação das vítimas. Por isso, há necessidade de um olhar atento tanto da psicologia quanto do direito, tanto dos psicólogos, quanto dos operadores judiciais (TRINDADE, 2007, p. 160).</w:t>
      </w:r>
    </w:p>
    <w:p w:rsidR="00000000" w:rsidDel="00000000" w:rsidP="00000000" w:rsidRDefault="00000000" w:rsidRPr="00000000" w14:paraId="000000E2">
      <w:pPr>
        <w:shd w:fill="ffffff" w:val="clear"/>
        <w:spacing w:line="360" w:lineRule="auto"/>
        <w:ind w:left="2160" w:firstLine="0"/>
        <w:jc w:val="both"/>
        <w:rPr>
          <w:rFonts w:ascii="Times New Roman" w:cs="Times New Roman" w:eastAsia="Times New Roman" w:hAnsi="Times New Roman"/>
          <w:color w:val="212529"/>
          <w:sz w:val="24"/>
          <w:szCs w:val="24"/>
          <w:highlight w:val="white"/>
        </w:rPr>
      </w:pPr>
      <w:r w:rsidDel="00000000" w:rsidR="00000000" w:rsidRPr="00000000">
        <w:rPr>
          <w:rtl w:val="0"/>
        </w:rPr>
      </w:r>
    </w:p>
    <w:p w:rsidR="00000000" w:rsidDel="00000000" w:rsidP="00000000" w:rsidRDefault="00000000" w:rsidRPr="00000000" w14:paraId="000000E3">
      <w:pPr>
        <w:shd w:fill="ffffff" w:val="clear"/>
        <w:spacing w:line="360" w:lineRule="auto"/>
        <w:jc w:val="both"/>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ab/>
        <w:t xml:space="preserve">Caso as ações por parte desses profissionais causem a sensação de desamparo e frustração, a vítima poderá adotar as providências cabíveis. De acordo com a Lei nº </w:t>
      </w:r>
      <w:r w:rsidDel="00000000" w:rsidR="00000000" w:rsidRPr="00000000">
        <w:rPr>
          <w:rFonts w:ascii="Times New Roman" w:cs="Times New Roman" w:eastAsia="Times New Roman" w:hAnsi="Times New Roman"/>
          <w:color w:val="212529"/>
          <w:sz w:val="24"/>
          <w:szCs w:val="24"/>
          <w:rtl w:val="0"/>
        </w:rPr>
        <w:t xml:space="preserve">14.321, de 31 de março de 2022 (BRASIL, 2022)</w:t>
      </w:r>
      <w:r w:rsidDel="00000000" w:rsidR="00000000" w:rsidRPr="00000000">
        <w:rPr>
          <w:rFonts w:ascii="Times New Roman" w:cs="Times New Roman" w:eastAsia="Times New Roman" w:hAnsi="Times New Roman"/>
          <w:color w:val="212529"/>
          <w:sz w:val="24"/>
          <w:szCs w:val="24"/>
          <w:highlight w:val="white"/>
          <w:rtl w:val="0"/>
        </w:rPr>
        <w:t xml:space="preserve">, a violência institucional ocorre quando o agente público submete uma vítima de infração penal ou a testemunha de crimes violentos a "procedimentos desnecessários, repetitivos ou invasivos, que a leve a reviver, sem estrita necessidade, a situação de violência ou outras situações potencialmente geradoras de sofrimento ou estigmatização” (</w:t>
      </w:r>
      <w:r w:rsidDel="00000000" w:rsidR="00000000" w:rsidRPr="00000000">
        <w:rPr>
          <w:rFonts w:ascii="Times New Roman" w:cs="Times New Roman" w:eastAsia="Times New Roman" w:hAnsi="Times New Roman"/>
          <w:color w:val="212529"/>
          <w:sz w:val="24"/>
          <w:szCs w:val="24"/>
          <w:rtl w:val="0"/>
        </w:rPr>
        <w:t xml:space="preserve">CONSELHO NACIONAL DO MINISTÉRIO PÚBLICO</w:t>
      </w:r>
      <w:r w:rsidDel="00000000" w:rsidR="00000000" w:rsidRPr="00000000">
        <w:rPr>
          <w:rFonts w:ascii="Times New Roman" w:cs="Times New Roman" w:eastAsia="Times New Roman" w:hAnsi="Times New Roman"/>
          <w:color w:val="212529"/>
          <w:sz w:val="24"/>
          <w:szCs w:val="24"/>
          <w:highlight w:val="white"/>
          <w:rtl w:val="0"/>
        </w:rPr>
        <w:t xml:space="preserve">, 2022).  </w:t>
      </w:r>
    </w:p>
    <w:p w:rsidR="00000000" w:rsidDel="00000000" w:rsidP="00000000" w:rsidRDefault="00000000" w:rsidRPr="00000000" w14:paraId="000000E4">
      <w:pPr>
        <w:shd w:fill="ffffff" w:val="clear"/>
        <w:spacing w:line="360" w:lineRule="auto"/>
        <w:ind w:firstLine="720"/>
        <w:jc w:val="both"/>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Ou seja, pode-se encontrar violência institucional desde a dimensão mais ampla, como a falta de acesso aos serviços de saúde e a má qualidade dos serviços prestados, até mesmo como expressões mais sutis, mas não menos violentas, tais como os abusos cometidos em virtude das relações desiguais de poder entre profissional e usuário (</w:t>
      </w:r>
      <w:r w:rsidDel="00000000" w:rsidR="00000000" w:rsidRPr="00000000">
        <w:rPr>
          <w:rFonts w:ascii="Times New Roman" w:cs="Times New Roman" w:eastAsia="Times New Roman" w:hAnsi="Times New Roman"/>
          <w:color w:val="212529"/>
          <w:sz w:val="24"/>
          <w:szCs w:val="24"/>
          <w:rtl w:val="0"/>
        </w:rPr>
        <w:t xml:space="preserve">TAQUETTE, </w:t>
      </w:r>
      <w:r w:rsidDel="00000000" w:rsidR="00000000" w:rsidRPr="00000000">
        <w:rPr>
          <w:rFonts w:ascii="Times New Roman" w:cs="Times New Roman" w:eastAsia="Times New Roman" w:hAnsi="Times New Roman"/>
          <w:color w:val="212529"/>
          <w:sz w:val="24"/>
          <w:szCs w:val="24"/>
          <w:highlight w:val="white"/>
          <w:rtl w:val="0"/>
        </w:rPr>
        <w:t xml:space="preserve">2007). </w:t>
      </w:r>
    </w:p>
    <w:p w:rsidR="00000000" w:rsidDel="00000000" w:rsidP="00000000" w:rsidRDefault="00000000" w:rsidRPr="00000000" w14:paraId="000000E5">
      <w:pPr>
        <w:shd w:fill="ffffff" w:val="clear"/>
        <w:spacing w:line="360" w:lineRule="auto"/>
        <w:ind w:firstLine="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A eliminação da violência institucional requer um grande esforço por parte da sociedade, visto que na maioria das vezes, acontece em nossas práticas cotidianas com a população usuária dos serviços. Assim, faz-se necessário o oferecimento de treinamento a profissionais de saúde, assistentes sociais e agentes da lei para identificar casos de Síndrome de Estocolmo no âmbito da violência doméstica, a fim de que se forneça o suporte adequado.</w:t>
      </w:r>
    </w:p>
    <w:p w:rsidR="00000000" w:rsidDel="00000000" w:rsidP="00000000" w:rsidRDefault="00000000" w:rsidRPr="00000000" w14:paraId="000000E6">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ESTUDO DA RELAÇÃO DA VÍTIMA COM O ABUSADOR NO ÂMBITO DE </w:t>
      </w:r>
      <w:r w:rsidDel="00000000" w:rsidR="00000000" w:rsidRPr="00000000">
        <w:rPr>
          <w:rFonts w:ascii="Times New Roman" w:cs="Times New Roman" w:eastAsia="Times New Roman" w:hAnsi="Times New Roman"/>
          <w:b w:val="1"/>
          <w:color w:val="ffffff"/>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VIOLÊNCIA DOMÉSTICA PARTINDO DA ANÁLISE DE CASO CONCRETO </w:t>
      </w:r>
    </w:p>
    <w:p w:rsidR="00000000" w:rsidDel="00000000" w:rsidP="00000000" w:rsidRDefault="00000000" w:rsidRPr="00000000" w14:paraId="000000E7">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Para um melhor entendimento do assunto acerca do comportamento da vítima de síndrome de Estocolmo, utilizar-se-á neste artigo um processo de caso real, ocorrido no estado da Bahia, realizado pela Primeira Câmara Criminal no ano de 2022. </w:t>
      </w:r>
    </w:p>
    <w:p w:rsidR="00000000" w:rsidDel="00000000" w:rsidP="00000000" w:rsidRDefault="00000000" w:rsidRPr="00000000" w14:paraId="000000E9">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Inicialmente, trata-se de um processo de Habeas Corpus com pedido de liminar em favor do acusado, em virtude de ter tido sua liberdade cerceada desde meados de 11 de novembro de 2021, pela prática dos delitos de ameaça, constrangimento ilegal mediante violência e grave ameaça, violência psicológica e estupro de vulnerável, em vista das acusações feitas por sua esposa, no qual possuem casamento há 30 anos e dois filhos frutos do relacionamento. </w:t>
      </w:r>
    </w:p>
    <w:p w:rsidR="00000000" w:rsidDel="00000000" w:rsidP="00000000" w:rsidRDefault="00000000" w:rsidRPr="00000000" w14:paraId="000000EA">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Ao analisar o caso, foi visto que os advogados de defesa do acusado utilizaram-se do argumento de que a vítima estava apresentando uma série de contradições em seu comportamento, vez que, desde a prisão do acusado, escreveu cartas e e-mails reiteradas vezes pedindo por sua liberdade e demonstrando que pretende restabelecer a vida conjugal com o mesmo.  Em imagens anexadas como provas, é nítido o quanto a vítima, apesar de toda violência vivenciada, demonstra seu sentimento pelo seu abusador, como mostra a imagem a seguir:</w:t>
      </w:r>
    </w:p>
    <w:p w:rsidR="00000000" w:rsidDel="00000000" w:rsidP="00000000" w:rsidRDefault="00000000" w:rsidRPr="00000000" w14:paraId="000000EB">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hd w:fill="ffffff" w:val="clea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IMAGEM 01- print da vítima em conversa com o advogado do acusado</w:t>
      </w:r>
    </w:p>
    <w:p w:rsidR="00000000" w:rsidDel="00000000" w:rsidP="00000000" w:rsidRDefault="00000000" w:rsidRPr="00000000" w14:paraId="000000ED">
      <w:pPr>
        <w:shd w:fill="ffffff" w:val="clea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562225" cy="3477578"/>
            <wp:effectExtent b="0" l="0" r="0" t="0"/>
            <wp:docPr id="2" name="image1.png"/>
            <a:graphic>
              <a:graphicData uri="http://schemas.openxmlformats.org/drawingml/2006/picture">
                <pic:pic>
                  <pic:nvPicPr>
                    <pic:cNvPr id="0" name="image1.png"/>
                    <pic:cNvPicPr preferRelativeResize="0"/>
                  </pic:nvPicPr>
                  <pic:blipFill>
                    <a:blip r:embed="rId9"/>
                    <a:srcRect b="8660" l="0" r="0" t="3557"/>
                    <a:stretch>
                      <a:fillRect/>
                    </a:stretch>
                  </pic:blipFill>
                  <pic:spPr>
                    <a:xfrm>
                      <a:off x="0" y="0"/>
                      <a:ext cx="2562225" cy="3477578"/>
                    </a:xfrm>
                    <a:prstGeom prst="rect"/>
                    <a:ln/>
                  </pic:spPr>
                </pic:pic>
              </a:graphicData>
            </a:graphic>
          </wp:inline>
        </w:drawing>
      </w:r>
      <w:r w:rsidDel="00000000" w:rsidR="00000000" w:rsidRPr="00000000">
        <w:rPr>
          <w:rtl w:val="0"/>
        </w:rPr>
      </w:r>
    </w:p>
    <w:p w:rsidR="00000000" w:rsidDel="00000000" w:rsidP="00000000" w:rsidRDefault="00000000" w:rsidRPr="00000000" w14:paraId="000000EE">
      <w:pPr>
        <w:shd w:fill="ffffff" w:val="clea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Autos do processo nº 8008551-46.2022.8.05.0000</w:t>
      </w:r>
    </w:p>
    <w:p w:rsidR="00000000" w:rsidDel="00000000" w:rsidP="00000000" w:rsidRDefault="00000000" w:rsidRPr="00000000" w14:paraId="000000EF">
      <w:pPr>
        <w:shd w:fill="ffffff" w:val="clear"/>
        <w:spacing w:line="36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0">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curso do processo, a vítima declarou, em um dos meios de prova, ter uma forte dependência emocional do acusado, revelando sua preocupação, a todo tempo, de ter prejudicado seu esposo com os depoimentos prestados em juízo. Por outro lado, existe a possibilidade de que a vítima estaria sofrendo algum tipo de coação, ainda que psicológica, para que minimize as acusações em favor do acusado. </w:t>
      </w:r>
    </w:p>
    <w:p w:rsidR="00000000" w:rsidDel="00000000" w:rsidP="00000000" w:rsidRDefault="00000000" w:rsidRPr="00000000" w14:paraId="000000F1">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Evidencia-se então, com base nos argumentos utilizados, que a vítima de violência doméstica portadora da síndrome não possui discernimento para prestar depoimentos sem antes passar por avaliações psicológicas. Assim, a fragilidade dos sentimentos confunde a vítima, dando espaço para que pessoas, agindo de má-fé, aproveitem da situação no intuito de conseguir a retratação da denúncia ou, pelo menos, minimizar a punição do agressor.</w:t>
      </w:r>
    </w:p>
    <w:p w:rsidR="00000000" w:rsidDel="00000000" w:rsidP="00000000" w:rsidRDefault="00000000" w:rsidRPr="00000000" w14:paraId="000000F2">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 efeito, apesar das tentativas da vítima de libertar seu esposo, foi denegado o pedido de Habeas Corpus, em virtude da gravidade concreta dos crimes praticados, a periculosidade do réu, o risco à ordem pública e à integridade física e psicológica da vítima. </w:t>
      </w:r>
    </w:p>
    <w:p w:rsidR="00000000" w:rsidDel="00000000" w:rsidP="00000000" w:rsidRDefault="00000000" w:rsidRPr="00000000" w14:paraId="000000F3">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Confira-se ementa relacionada ao processo:</w:t>
      </w:r>
    </w:p>
    <w:p w:rsidR="00000000" w:rsidDel="00000000" w:rsidP="00000000" w:rsidRDefault="00000000" w:rsidRPr="00000000" w14:paraId="000000F4">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hd w:fill="ffffff" w:val="clear"/>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PODER JUDICIÁRIO TRIBUNAL DE JUSTIÇA DO ESTADO DA BAHIA   Primeira Câmara Criminal 2ª Turma  Processo: HABEAS CORPUS CRIMINAL n. 8008551-46.2022.8.05.0000 Órgão Julgador: Primeira Câmara Criminal 2ª Turma PACIENTE: MARCELO RODRIGUES DO BOMFIM e outros (2) Advogado(s): DANIEL (...), GLLEISIANY (...), EMANUELLE (...) DA HORA, (...) IMPETRADO: JUIZ DE DIREITO DA VARA CRIMINAL DA COMARCA DE IBOTIRAMA-BA Advogado(s):    ACORDÃO   HABEAS CORPUS. ESTUPRO DE VULNERÁVEL, TORTURA, CONSTRANGIMENTO ILEGAL E VIOLÊNCIA PSICOLÓGICA, NO CONTEXTO DE VIOLÊNCIA DOMÉSTICA. ALEGATIVA DE AUSÊNCIA DOS REQUISITOS DA SEGREGAÇÃO CAUTELAR. (...) (OAB/BA nº 59.470) e EMANUELE BORGES DA SILVA HORA (OAB/BA nº 69.604), em favor do Paciente (...) DO BOMFIM, apontando como Autoridade Coatora o JUÍZO DA VARA CRIMINAL DE IBOTIRAMA/BA,  ACORDAM os Desembargadores integrantes da Primeira Câmara Criminal Segunda Turma Julgadora do Egrégio Tribunal de Justiça do Estado da Bahia, à unanimidade de votos, em CONHECER PARCIALMENTE e, nesta extensão, DENEGAR a ordem, mantendo-se a prisão preventiva do Paciente, e assim o fazem pelas razões que integram o voto do eminente Desembargador Relator.  Sala das Sessões da Primeira Câmara Criminal 2ª Turma do Egrégio Tribunal de Justiça do Estado da Bahia, 03 de maio de 2022.  PRESIDENTE    DESEMBARGADOR BALTAZAR MIRANDA SARAIVA RELATOR PROCURADOR(A) DE JUSTIÇA BMS06 (TJ-BA, Classe: Habeas Corpus, Número do Processo: 8008551-46.2022.8.05.0000, Órgão julgador: PRIMEIRA CAMARA CRIMINAL - SEGUNDA TURMA, Relator(a): BALTAZAR MIRANDA SARAIVA. Publicado em: 04/05/2022). (BRASIL, 2022).</w:t>
      </w:r>
    </w:p>
    <w:p w:rsidR="00000000" w:rsidDel="00000000" w:rsidP="00000000" w:rsidRDefault="00000000" w:rsidRPr="00000000" w14:paraId="000000F6">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7">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 suma, verifica-se que a relação da vítima com seu abusador também influência para o desenvolvimento da síndrome, posto que envolve uma situação de poder e dominância por parte do agressor em relação a vítima, fazendo com que esta crie uma distorção da realidade e, consequentemente, imagine que será poupada criando uma aliança por sobrevivência. </w:t>
      </w:r>
    </w:p>
    <w:p w:rsidR="00000000" w:rsidDel="00000000" w:rsidP="00000000" w:rsidRDefault="00000000" w:rsidRPr="00000000" w14:paraId="000000F8">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Depreende-se em muitos dos casos que a vítima, quando passa a ter na sua realidade práticas abusivas e violentas, perde a esperança pela justiça e passa a aceitar a violência como parte do seu dia a dia. Fato triste que mostra ainda mais a importância de ter-se um olhar especial com essa parcela da sociedade, no qual precisa muito de apoio e acompanhamento para que, só assim, seja possível a desvinculação desse ambiente violento.</w:t>
      </w:r>
    </w:p>
    <w:p w:rsidR="00000000" w:rsidDel="00000000" w:rsidP="00000000" w:rsidRDefault="00000000" w:rsidRPr="00000000" w14:paraId="000000F9">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 necessário que ocorra uma conscientização pública sobre a síndrome e as formas de violências no contexto doméstico/familiar, para que as pessoas reconheçam os sinais e, consequentemente, ofereçam ajuda e apoio às vítimas. </w:t>
      </w:r>
    </w:p>
    <w:p w:rsidR="00000000" w:rsidDel="00000000" w:rsidP="00000000" w:rsidRDefault="00000000" w:rsidRPr="00000000" w14:paraId="000000FA">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SÍNDROME DE ESTOCOLMO E A LEI MARIA DA PENHA </w:t>
      </w:r>
    </w:p>
    <w:p w:rsidR="00000000" w:rsidDel="00000000" w:rsidP="00000000" w:rsidRDefault="00000000" w:rsidRPr="00000000" w14:paraId="000000FC">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D">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Observa-se que a Síndrome de Estocolmo associa-se aos casos de violência, em que a mente da vítima, como forma de defesa, acredita que o seu abusador lhe deseja o bem. </w:t>
      </w:r>
    </w:p>
    <w:p w:rsidR="00000000" w:rsidDel="00000000" w:rsidP="00000000" w:rsidRDefault="00000000" w:rsidRPr="00000000" w14:paraId="000000FE">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Nesse sentido, o abuso contra a mulher acontece de diversas formas. A Lei nº 11.340/2006, conhecida como Lei Maria da Penha, possui em seu texto o artigo 7º no qual discorre sobre os tipos de violência doméstica, sendo elas: física, psicológica, moral, sexual e patrimonial. Importante salientar que esses tipos de violência não ocorrem isoladas umas das outras, sendo complexo e desumano, causando graves consequências para a vítima. </w:t>
      </w:r>
    </w:p>
    <w:p w:rsidR="00000000" w:rsidDel="00000000" w:rsidP="00000000" w:rsidRDefault="00000000" w:rsidRPr="00000000" w14:paraId="000000FF">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violência física, mencionada no inciso I do referido artigo, caracteriza-se como qualquer conduta que ofenda a integridade física ou a saúde corporal da mulher. Já a violência psicológica, elencada no inciso II, é definida como qualquer conduta que possa causar dano emocional, diminuição de autoestima, prejudicando e perturbando o desenvolvimento das ações e comportamentos da mulher. </w:t>
      </w:r>
    </w:p>
    <w:p w:rsidR="00000000" w:rsidDel="00000000" w:rsidP="00000000" w:rsidRDefault="00000000" w:rsidRPr="00000000" w14:paraId="00000100">
      <w:pPr>
        <w:shd w:fill="ffffff" w:val="clea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highlight w:val="white"/>
          <w:rtl w:val="0"/>
        </w:rPr>
        <w:t xml:space="preserve">Conforme o inciso III, a violência sexual é caracterizada “como qualquer conduta que a constranja a presenciar, manter ou participar de relação sexual não desejada mediante intimidação, ameaça, coação ou uso da força”. Considera-se então violência sexual as atitudes como estupro, impedir o uso de métodos contraceptivos ou forçar o aborto, matrimônio, gravidez ou prostituição, a fim de limitar o exercício dos direitos sexuais e reprodutivos da mulher (</w:t>
      </w:r>
      <w:r w:rsidDel="00000000" w:rsidR="00000000" w:rsidRPr="00000000">
        <w:rPr>
          <w:rFonts w:ascii="Times New Roman" w:cs="Times New Roman" w:eastAsia="Times New Roman" w:hAnsi="Times New Roman"/>
          <w:sz w:val="24"/>
          <w:szCs w:val="24"/>
          <w:rtl w:val="0"/>
        </w:rPr>
        <w:t xml:space="preserve">BRASIL, 2006</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01">
      <w:pPr>
        <w:shd w:fill="ffffff" w:val="clea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Já o inciso IV traz em seu texto a ocorrência da violência patrimonial, caracterizando-se como qualquer conduta que configure retenção, subtração, destruição total ou parcial de seus objetos, instrumentos de trabalho, documentos pessoais, bens e valores ou recursos econômicos. </w:t>
      </w:r>
    </w:p>
    <w:p w:rsidR="00000000" w:rsidDel="00000000" w:rsidP="00000000" w:rsidRDefault="00000000" w:rsidRPr="00000000" w14:paraId="00000102">
      <w:pPr>
        <w:shd w:fill="ffffff" w:val="clea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 fim, a violência moral abordada no inciso V, é definida “como qualquer conduta que configure calúnia, difamação ou injúria”.  Atitudes como: acusar a mulher de traição, emitir juízos morais sobre a conduta, fazer críticas falsas, expor a vida íntima, rebaixar a mulher por meio de xingamentos que incidem sobre a sua índole e também desvalorizar a vítima pelo seu modo de se vestir são características da violência moral sofrida pela mulher (</w:t>
      </w:r>
      <w:r w:rsidDel="00000000" w:rsidR="00000000" w:rsidRPr="00000000">
        <w:rPr>
          <w:rFonts w:ascii="Times New Roman" w:cs="Times New Roman" w:eastAsia="Times New Roman" w:hAnsi="Times New Roman"/>
          <w:sz w:val="24"/>
          <w:szCs w:val="24"/>
          <w:rtl w:val="0"/>
        </w:rPr>
        <w:t xml:space="preserve">BRASIL, 2006</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03">
      <w:pPr>
        <w:shd w:fill="ffffff" w:val="clea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highlight w:val="white"/>
          <w:rtl w:val="0"/>
        </w:rPr>
        <w:t xml:space="preserve">Enquanto algumas vítimas nutrem algum sentimento de raiva pelo agressor, não procurando os órgãos competentes de defesa em razão das situações de medo de represálias ou vergonha, outras vítimas não os procuram por não compreenderem tais ações como reprováveis. </w:t>
      </w:r>
    </w:p>
    <w:p w:rsidR="00000000" w:rsidDel="00000000" w:rsidP="00000000" w:rsidRDefault="00000000" w:rsidRPr="00000000" w14:paraId="00000104">
      <w:pPr>
        <w:shd w:fill="ffffff" w:val="clea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5">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A PALAVRA DA VÍTIMA E SEU VALOR PROBATÓRIO</w:t>
      </w:r>
    </w:p>
    <w:p w:rsidR="00000000" w:rsidDel="00000000" w:rsidP="00000000" w:rsidRDefault="00000000" w:rsidRPr="00000000" w14:paraId="00000106">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efeitos da Síndrome na vítima ocasionam interesse ao Direito, isto porque a ambivalência do comportamento desta dificulta a elucidação do processo e, até mesmo, a punibilidade do agente.  </w:t>
      </w:r>
    </w:p>
    <w:p w:rsidR="00000000" w:rsidDel="00000000" w:rsidP="00000000" w:rsidRDefault="00000000" w:rsidRPr="00000000" w14:paraId="00000108">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já mencionado ao longo desse estudo, para que a vítima seja diagnosticada com a síndrome é necessário que ela passe por algum evento traumático, como um assalto, sequestro, abuso sexual ou algum outro tipo de violência, com ameaça física ou psicológica.</w:t>
      </w:r>
    </w:p>
    <w:p w:rsidR="00000000" w:rsidDel="00000000" w:rsidP="00000000" w:rsidRDefault="00000000" w:rsidRPr="00000000" w14:paraId="00000109">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É mister salientar como a voz da vítima é importante para o rito processual quando se trata de violência doméstica, pelo fato de ocorrer nas linhas intimistas de um relacionamento e não ter tantas opções de prova. Nesse sentido, torna-se extremamente válida a palavra da vítima, embora suas atitudes pós-trauma não compactuam com suas vontades.</w:t>
      </w:r>
    </w:p>
    <w:p w:rsidR="00000000" w:rsidDel="00000000" w:rsidP="00000000" w:rsidRDefault="00000000" w:rsidRPr="00000000" w14:paraId="0000010A">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Partindo desse viés, faz-se necessário o estudo do direito penal, para que possamos obter um maior entendimento a respeito de como uma vítima com Síndrome de Estocolmo influencia no processo judicial. </w:t>
      </w:r>
    </w:p>
    <w:p w:rsidR="00000000" w:rsidDel="00000000" w:rsidP="00000000" w:rsidRDefault="00000000" w:rsidRPr="00000000" w14:paraId="0000010B">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 ações penais públicas a titularidade da ação pertence ao Ministério Público, no qual independe da manifestação de vontade da vítima. Neste diapasão, como a vítima não tem como impedir o oferecimento da denúncia, ela busca, no meio do processo, diminuir a culpa que deve ser atribuída ao ofensor, abstendo-se de dar informações em seu depoimento ou contribuindo de qualquer outra forma para que findo o processo o agressor tenha uma punição moderada. </w:t>
      </w:r>
    </w:p>
    <w:p w:rsidR="00000000" w:rsidDel="00000000" w:rsidP="00000000" w:rsidRDefault="00000000" w:rsidRPr="00000000" w14:paraId="0000010C">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Já demonstrou-se ao longo deste artigo o conceito de “vítima” e sabe-se então que vítima é aquele que sofre com a conduta de si mesmo ou de outrem. À vista disso, o Código de Processo Penal demonstra em seu texto a importância da prova testemunhal, discorrendo, precisamente, em seu artigo 203 que a testemunha deverá falar a verdade dos fatos assumindo o compromisso de não mentir. </w:t>
      </w:r>
    </w:p>
    <w:p w:rsidR="00000000" w:rsidDel="00000000" w:rsidP="00000000" w:rsidRDefault="00000000" w:rsidRPr="00000000" w14:paraId="0000010D">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Uma vez aceito o compromisso de falar apenas a verdade, a testemunha que declarar informações falsas, negar ou calar estará incorrendo na prática do crime de falso testemunho, previsto no artigo 342 do Código Penal. Verifica-se então:</w:t>
      </w:r>
    </w:p>
    <w:p w:rsidR="00000000" w:rsidDel="00000000" w:rsidP="00000000" w:rsidRDefault="00000000" w:rsidRPr="00000000" w14:paraId="0000010E">
      <w:pPr>
        <w:shd w:fill="ffffff" w:val="clear"/>
        <w:spacing w:line="360" w:lineRule="auto"/>
        <w:ind w:left="216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F">
      <w:pPr>
        <w:shd w:fill="ffffff" w:val="clear"/>
        <w:spacing w:line="240" w:lineRule="auto"/>
        <w:ind w:left="2268"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Art. 342. Fazer afirmação falsa, ou negar ou calar a verdade como testemunha, perito, contador, tradutor ou intérprete em processo judicial, ou administrativo, inquérito policial, ou em juízo arbitral:</w:t>
      </w:r>
    </w:p>
    <w:p w:rsidR="00000000" w:rsidDel="00000000" w:rsidP="00000000" w:rsidRDefault="00000000" w:rsidRPr="00000000" w14:paraId="00000110">
      <w:pPr>
        <w:shd w:fill="ffffff" w:val="clear"/>
        <w:spacing w:line="240" w:lineRule="auto"/>
        <w:ind w:left="2268"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Pena - reclusão de 2 (dois) a 4 (quatro) anos e multa; (BRASIL, 1940).</w:t>
      </w:r>
    </w:p>
    <w:p w:rsidR="00000000" w:rsidDel="00000000" w:rsidP="00000000" w:rsidRDefault="00000000" w:rsidRPr="00000000" w14:paraId="00000111">
      <w:pPr>
        <w:shd w:fill="ffffff" w:val="clear"/>
        <w:spacing w:line="360" w:lineRule="auto"/>
        <w:ind w:left="216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2">
      <w:pPr>
        <w:shd w:fill="ffffff" w:val="clea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0"/>
          <w:szCs w:val="20"/>
          <w:highlight w:val="white"/>
          <w:rtl w:val="0"/>
        </w:rPr>
        <w:tab/>
      </w:r>
      <w:r w:rsidDel="00000000" w:rsidR="00000000" w:rsidRPr="00000000">
        <w:rPr>
          <w:rFonts w:ascii="Times New Roman" w:cs="Times New Roman" w:eastAsia="Times New Roman" w:hAnsi="Times New Roman"/>
          <w:sz w:val="24"/>
          <w:szCs w:val="24"/>
          <w:highlight w:val="white"/>
          <w:rtl w:val="0"/>
        </w:rPr>
        <w:t xml:space="preserve">Desse modo, não se confunde a vítima com testemunha. O professor </w:t>
      </w:r>
      <w:r w:rsidDel="00000000" w:rsidR="00000000" w:rsidRPr="00000000">
        <w:rPr>
          <w:rFonts w:ascii="Times New Roman" w:cs="Times New Roman" w:eastAsia="Times New Roman" w:hAnsi="Times New Roman"/>
          <w:sz w:val="24"/>
          <w:szCs w:val="24"/>
          <w:rtl w:val="0"/>
        </w:rPr>
        <w:t xml:space="preserve">Luiz Régis Prado (2019)</w:t>
      </w:r>
      <w:r w:rsidDel="00000000" w:rsidR="00000000" w:rsidRPr="00000000">
        <w:rPr>
          <w:rFonts w:ascii="Times New Roman" w:cs="Times New Roman" w:eastAsia="Times New Roman" w:hAnsi="Times New Roman"/>
          <w:sz w:val="24"/>
          <w:szCs w:val="24"/>
          <w:highlight w:val="white"/>
          <w:rtl w:val="0"/>
        </w:rPr>
        <w:t xml:space="preserve"> conceitua a testemunha como sendo “a pessoa que declara o que sabe a respeito dos fatos alheios”. Assim sendo, estando a vítima envolvida com os acontecimentos, não torna-se coerente impor a obrigatoriedade de, sob pena de ser processada por falso testemunho, falar unicamente a verdade (PRADO, </w:t>
      </w:r>
      <w:r w:rsidDel="00000000" w:rsidR="00000000" w:rsidRPr="00000000">
        <w:rPr>
          <w:rFonts w:ascii="Times New Roman" w:cs="Times New Roman" w:eastAsia="Times New Roman" w:hAnsi="Times New Roman"/>
          <w:sz w:val="24"/>
          <w:szCs w:val="24"/>
          <w:rtl w:val="0"/>
        </w:rPr>
        <w:t xml:space="preserve">2019, p. 2.225)</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13">
      <w:pPr>
        <w:shd w:fill="ffffff" w:val="clea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Em um caso interessante, do Superior Tribunal de Justiça, um homem havia sido denunciado pelos crimes de homicídio culposo e lesão corporal culposa enquanto estava dirigindo um veículo. De acordo com o acusado, a vítima de tais crimes, embora tenha prestado o compromisso de dizer a verdade diante do Juízo de origem, mentiu em suas declarações, praticando o crime de falso testemunho. Restou decidido que:</w:t>
      </w:r>
    </w:p>
    <w:p w:rsidR="00000000" w:rsidDel="00000000" w:rsidP="00000000" w:rsidRDefault="00000000" w:rsidRPr="00000000" w14:paraId="00000114">
      <w:pPr>
        <w:shd w:fill="ffffff" w:val="clea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5">
      <w:pPr>
        <w:shd w:fill="ffffff" w:val="clear"/>
        <w:spacing w:line="240" w:lineRule="auto"/>
        <w:ind w:left="226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o depoimento da vítima do crime de lesões corporais na condução de veículo automotor não poderia configurar falso testemunho”, pois o falso testemunho é crime "de mão própria, e só pode ser praticado por ‘testemunha, perito, contador, tradutor ou intérprete’”, razão pela qual a conduta é atípica, já que “o sujeito passivo do crime não pode ser considerado testemunha (</w:t>
      </w:r>
      <w:r w:rsidDel="00000000" w:rsidR="00000000" w:rsidRPr="00000000">
        <w:rPr>
          <w:rFonts w:ascii="Times New Roman" w:cs="Times New Roman" w:eastAsia="Times New Roman" w:hAnsi="Times New Roman"/>
          <w:sz w:val="20"/>
          <w:szCs w:val="20"/>
          <w:rtl w:val="0"/>
        </w:rPr>
        <w:t xml:space="preserve">STJ, </w:t>
      </w:r>
      <w:hyperlink r:id="rId10">
        <w:r w:rsidDel="00000000" w:rsidR="00000000" w:rsidRPr="00000000">
          <w:rPr>
            <w:rFonts w:ascii="Times New Roman" w:cs="Times New Roman" w:eastAsia="Times New Roman" w:hAnsi="Times New Roman"/>
            <w:sz w:val="20"/>
            <w:szCs w:val="20"/>
            <w:rtl w:val="0"/>
          </w:rPr>
          <w:t xml:space="preserve">AgRg no REsp 1125145/RJ</w:t>
        </w:r>
      </w:hyperlink>
      <w:r w:rsidDel="00000000" w:rsidR="00000000" w:rsidRPr="00000000">
        <w:rPr>
          <w:rFonts w:ascii="Times New Roman" w:cs="Times New Roman" w:eastAsia="Times New Roman" w:hAnsi="Times New Roman"/>
          <w:sz w:val="20"/>
          <w:szCs w:val="20"/>
          <w:rtl w:val="0"/>
        </w:rPr>
        <w:t xml:space="preserve">, Rel. Ministra LAURITA VAZ, QUINTA TURMA, julgado em 23/08/2011, DJe 08/09/2011). (BRASIL, 2011).</w:t>
      </w:r>
    </w:p>
    <w:p w:rsidR="00000000" w:rsidDel="00000000" w:rsidP="00000000" w:rsidRDefault="00000000" w:rsidRPr="00000000" w14:paraId="00000116">
      <w:pPr>
        <w:shd w:fill="ffffff" w:val="clea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0"/>
          <w:szCs w:val="20"/>
          <w:highlight w:val="white"/>
          <w:rtl w:val="0"/>
        </w:rPr>
        <w:tab/>
      </w:r>
      <w:r w:rsidDel="00000000" w:rsidR="00000000" w:rsidRPr="00000000">
        <w:rPr>
          <w:rtl w:val="0"/>
        </w:rPr>
      </w:r>
    </w:p>
    <w:p w:rsidR="00000000" w:rsidDel="00000000" w:rsidP="00000000" w:rsidRDefault="00000000" w:rsidRPr="00000000" w14:paraId="00000117">
      <w:pPr>
        <w:shd w:fill="ffffff" w:val="clear"/>
        <w:spacing w:line="360" w:lineRule="auto"/>
        <w:ind w:firstLine="70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4"/>
          <w:szCs w:val="24"/>
          <w:highlight w:val="white"/>
          <w:rtl w:val="0"/>
        </w:rPr>
        <w:t xml:space="preserve">Segue pelo mesmo entendimento Tourinho Filho, no qual diz que aquele que foi objeto material do crime, levado pela paixão, pelo ódio, pelo ressentimento e até mesmo pela emoção, procura narrar os fatos como lhe pareçam convenientes (GRECO, 2017, p. 1.004). Além disso, como demonstrado acima, o art. 342 do Código Penal não traz em seu texto a figura da vítima como possível autor do crime de falso testemunho (BRASIL, 1940).</w:t>
      </w:r>
      <w:r w:rsidDel="00000000" w:rsidR="00000000" w:rsidRPr="00000000">
        <w:rPr>
          <w:rtl w:val="0"/>
        </w:rPr>
      </w:r>
    </w:p>
    <w:p w:rsidR="00000000" w:rsidDel="00000000" w:rsidP="00000000" w:rsidRDefault="00000000" w:rsidRPr="00000000" w14:paraId="00000118">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o comportamento da vítima que possui a síndrome de Estocolmo influência na aplicação do direito ao passo em que prefere diminuir a culpa de seu agressor quando a denúncia não lhe compete (nos crimes de ação pública). </w:t>
      </w:r>
    </w:p>
    <w:p w:rsidR="00000000" w:rsidDel="00000000" w:rsidP="00000000" w:rsidRDefault="00000000" w:rsidRPr="00000000" w14:paraId="00000119">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Nesses casos, é viável que seja abordada técnicas diferenciadas na elaboração dos quesitos formulados para o depoimento dessas vítimas.  Assim, quando se percebe que os fatos narrados por elas não se assemelham com a realidade aferida por outros indícios e depoimentos, busca-se, através desses questionamentos direcionados, não permitir que a interação da vítima com o ofensor dificulte a justa punição deste.</w:t>
      </w:r>
    </w:p>
    <w:p w:rsidR="00000000" w:rsidDel="00000000" w:rsidP="00000000" w:rsidRDefault="00000000" w:rsidRPr="00000000" w14:paraId="0000011A">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B">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CONSIDERAÇÕES FINAIS</w:t>
      </w:r>
    </w:p>
    <w:p w:rsidR="00000000" w:rsidDel="00000000" w:rsidP="00000000" w:rsidRDefault="00000000" w:rsidRPr="00000000" w14:paraId="0000011C">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D">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O presente artigo científico buscou tratar a respeito da Síndrome de Estocolmo e sua relação com a violência doméstica, demonstrando como o depoimento da vítima influencia ao longo do processo. A pesquisa se justifica na necessidade de esclarecer como surge essa síndrome e na dificuldade em que as vítimas possuem de denunciar seu agressor. </w:t>
      </w:r>
    </w:p>
    <w:p w:rsidR="00000000" w:rsidDel="00000000" w:rsidP="00000000" w:rsidRDefault="00000000" w:rsidRPr="00000000" w14:paraId="0000011E">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Foi abordado neste trabalho a conceituação de vítima e seu processo de vitimização, evidenciando as dificuldades que as mulheres que sofrem a violência enfrentam ao buscar apoio nos órgãos públicos competentes. Ainda, analisou-se como se dá a relação da síndrome com a Lei Maria da Penha, caracterizando as formas de violência sofridas no âmbito doméstico. </w:t>
      </w:r>
    </w:p>
    <w:p w:rsidR="00000000" w:rsidDel="00000000" w:rsidP="00000000" w:rsidRDefault="00000000" w:rsidRPr="00000000" w14:paraId="0000011F">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Atualmente, podemos perceber cada vez mais a incidência da violência no âmbito doméstico/familiar. A conexão dessa síndrome com a violência doméstica se faz em virtude da vítima não perceber a dimensão dos atos que estão sendo praticados contra ela, logo não se reconhecem como vítimas e por isso não procuram ajuda. Inicialmente, é necessário que haja uma denúncia por parte de quem sofre a violência, mas nem sempre isso acontece.</w:t>
      </w:r>
    </w:p>
    <w:p w:rsidR="00000000" w:rsidDel="00000000" w:rsidP="00000000" w:rsidRDefault="00000000" w:rsidRPr="00000000" w14:paraId="00000120">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 a implementação da Lei Maria da Penha, foi estabelecido o suporte institucional necessário para as mulheres que conseguem se desconectar dessa relação abusiva, como tratamento com profissionais da saúde, abrigos seguros e proteção. Mas, ainda, existem mulheres que possuem a iniciativa de denunciar seu abusador e acabam sofrendo com comentários machistas e represálias da sociedade, fazendo com que a mesma desista de continuar o processo por vergonha e por entender que não existe mais solução. Com isso, é imprescindível que os juízes, procuradores, promotores, advogados e delegados estejam preparados e capacitados para atender e fornecer suporte àquelas que superaram a vergonha, o embaraço e medo de denunciarem os seus parceiros</w:t>
      </w:r>
    </w:p>
    <w:p w:rsidR="00000000" w:rsidDel="00000000" w:rsidP="00000000" w:rsidRDefault="00000000" w:rsidRPr="00000000" w14:paraId="00000121">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Após um acentuado estudo, nota-se a importância de uma abordagem multidisciplinar perante a sociedade, com o intuito de que ocorra uma conscientização sobre a Síndrome de Estocolmo e a violência doméstica. É essencial abordar não apenas consequências imediatas, mas também trabalhar para prevenir a ocorrência de violência e oferecer suporte às vítimas.  </w:t>
      </w:r>
    </w:p>
    <w:p w:rsidR="00000000" w:rsidDel="00000000" w:rsidP="00000000" w:rsidRDefault="00000000" w:rsidRPr="00000000" w14:paraId="00000122">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demonstra-se a relevância do estudo do tema no cenário brasileiro atual, visto a necessidade da atenção direcionada ao caso, a fim de que haja uma correta aplicação da legislação penal embasada no contexto geral do caso concreto, não somente um enquadramento padronizado de normas. </w:t>
      </w:r>
    </w:p>
    <w:p w:rsidR="00000000" w:rsidDel="00000000" w:rsidP="00000000" w:rsidRDefault="00000000" w:rsidRPr="00000000" w14:paraId="00000123">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Constata-se, por fim, que o operador do direito deve, em conjunto com profissionais da área da saúde, analisar o delito de forma complexa e exercer um trabalho responsável, depreendendo não só os atos do agressor, mas também e principalmente, a vontade da vítima, em relação à intensidade da punição a ser aplicada, para que assim, possa ser alcançada a justiça almejada. </w:t>
      </w:r>
    </w:p>
    <w:p w:rsidR="00000000" w:rsidDel="00000000" w:rsidP="00000000" w:rsidRDefault="00000000" w:rsidRPr="00000000" w14:paraId="00000124">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hd w:fill="ffffff" w:val="clear"/>
        <w:spacing w:line="36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REFERÊNCIAS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BRASIL. Decreto-lei n. 2.848, de 7 de dezembro de 1940. </w:t>
      </w:r>
      <w:r w:rsidDel="00000000" w:rsidR="00000000" w:rsidRPr="00000000">
        <w:rPr>
          <w:rFonts w:ascii="Times New Roman" w:cs="Times New Roman" w:eastAsia="Times New Roman" w:hAnsi="Times New Roman"/>
          <w:b w:val="1"/>
          <w:sz w:val="24"/>
          <w:szCs w:val="24"/>
          <w:rtl w:val="0"/>
        </w:rPr>
        <w:t xml:space="preserve">Código Penal</w:t>
      </w:r>
      <w:r w:rsidDel="00000000" w:rsidR="00000000" w:rsidRPr="00000000">
        <w:rPr>
          <w:rFonts w:ascii="Times New Roman" w:cs="Times New Roman" w:eastAsia="Times New Roman" w:hAnsi="Times New Roman"/>
          <w:sz w:val="24"/>
          <w:szCs w:val="24"/>
          <w:rtl w:val="0"/>
        </w:rPr>
        <w:t xml:space="preserve">. Disponível em:&lt;https://www.planalto.gov.br/ccivil_03/decreto-lei/del2848compilado.htm&gt;. Acesso em: 05 nov. 2023.</w:t>
      </w:r>
      <w:r w:rsidDel="00000000" w:rsidR="00000000" w:rsidRPr="00000000">
        <w:rPr>
          <w:rtl w:val="0"/>
        </w:rPr>
      </w:r>
    </w:p>
    <w:p w:rsidR="00000000" w:rsidDel="00000000" w:rsidP="00000000" w:rsidRDefault="00000000" w:rsidRPr="00000000" w14:paraId="0000014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w:t>
      </w:r>
      <w:r w:rsidDel="00000000" w:rsidR="00000000" w:rsidRPr="00000000">
        <w:rPr>
          <w:rFonts w:ascii="Times New Roman" w:cs="Times New Roman" w:eastAsia="Times New Roman" w:hAnsi="Times New Roman"/>
          <w:b w:val="1"/>
          <w:sz w:val="24"/>
          <w:szCs w:val="24"/>
          <w:rtl w:val="0"/>
        </w:rPr>
        <w:t xml:space="preserve">Lei nº 11.340, de 07 de agosto de 2006</w:t>
      </w:r>
      <w:r w:rsidDel="00000000" w:rsidR="00000000" w:rsidRPr="00000000">
        <w:rPr>
          <w:rFonts w:ascii="Times New Roman" w:cs="Times New Roman" w:eastAsia="Times New Roman" w:hAnsi="Times New Roman"/>
          <w:sz w:val="24"/>
          <w:szCs w:val="24"/>
          <w:rtl w:val="0"/>
        </w:rPr>
        <w:t xml:space="preserve">. Cria mecanismos para coibir a violência doméstica e familiar contra a mulher, nos termos do § 8º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Disponível em: &lt;https://www.planalto.gov.br/ccivil_03/_ato2004-2006/2006/lei/l11340.htm&gt;. Acesso em: 02 nov. 2023.</w:t>
      </w:r>
    </w:p>
    <w:p w:rsidR="00000000" w:rsidDel="00000000" w:rsidP="00000000" w:rsidRDefault="00000000" w:rsidRPr="00000000" w14:paraId="000001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w:t>
      </w:r>
      <w:r w:rsidDel="00000000" w:rsidR="00000000" w:rsidRPr="00000000">
        <w:rPr>
          <w:rFonts w:ascii="Times New Roman" w:cs="Times New Roman" w:eastAsia="Times New Roman" w:hAnsi="Times New Roman"/>
          <w:b w:val="1"/>
          <w:sz w:val="24"/>
          <w:szCs w:val="24"/>
          <w:rtl w:val="0"/>
        </w:rPr>
        <w:t xml:space="preserve">Lei nº 13.772, de 19 de dezembro de 2018</w:t>
      </w:r>
      <w:r w:rsidDel="00000000" w:rsidR="00000000" w:rsidRPr="00000000">
        <w:rPr>
          <w:rFonts w:ascii="Times New Roman" w:cs="Times New Roman" w:eastAsia="Times New Roman" w:hAnsi="Times New Roman"/>
          <w:sz w:val="24"/>
          <w:szCs w:val="24"/>
          <w:rtl w:val="0"/>
        </w:rPr>
        <w:t xml:space="preserve">. Altera a Lei nº 11.340, de 7 de agosto de 2006 (Lei Maria da Penha), e o Decreto-Lei nº 2.848, de 7 de dezembro de 1940 (Código Penal), para reconhecer que a violação da intimidade da mulher configura violência doméstica e familiar e para criminalizar o registro não autorizado de conteúdo com cena de nudez ou ato sexual ou libidinoso de caráter íntimo e privado. Disponível em: &lt;</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https://www.planalto.gov.br/ccivil_03/_Ato2015-2018/2018/Lei/L13772.htm#art2&gt;. Acesso em: 02 nov. 2023.</w:t>
      </w:r>
    </w:p>
    <w:p w:rsidR="00000000" w:rsidDel="00000000" w:rsidP="00000000" w:rsidRDefault="00000000" w:rsidRPr="00000000" w14:paraId="0000014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Lei nº 14.321, de 31 de março de 2022. Altera a Lei nº 13.869, de 5 de setembro de 2019, para tipificar o crime de violência institucional. </w:t>
      </w:r>
      <w:r w:rsidDel="00000000" w:rsidR="00000000" w:rsidRPr="00000000">
        <w:rPr>
          <w:rFonts w:ascii="Times New Roman" w:cs="Times New Roman" w:eastAsia="Times New Roman" w:hAnsi="Times New Roman"/>
          <w:b w:val="1"/>
          <w:sz w:val="24"/>
          <w:szCs w:val="24"/>
          <w:rtl w:val="0"/>
        </w:rPr>
        <w:t xml:space="preserve">Diário Oficial da União</w:t>
      </w:r>
      <w:r w:rsidDel="00000000" w:rsidR="00000000" w:rsidRPr="00000000">
        <w:rPr>
          <w:rFonts w:ascii="Times New Roman" w:cs="Times New Roman" w:eastAsia="Times New Roman" w:hAnsi="Times New Roman"/>
          <w:sz w:val="24"/>
          <w:szCs w:val="24"/>
          <w:rtl w:val="0"/>
        </w:rPr>
        <w:t xml:space="preserve">, Brasília, 31 mar. 2022.</w:t>
      </w:r>
    </w:p>
    <w:p w:rsidR="00000000" w:rsidDel="00000000" w:rsidP="00000000" w:rsidRDefault="00000000" w:rsidRPr="00000000" w14:paraId="00000148">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4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______</w:t>
      </w:r>
      <w:r w:rsidDel="00000000" w:rsidR="00000000" w:rsidRPr="00000000">
        <w:rPr>
          <w:rFonts w:ascii="Times New Roman" w:cs="Times New Roman" w:eastAsia="Times New Roman" w:hAnsi="Times New Roman"/>
          <w:sz w:val="24"/>
          <w:szCs w:val="24"/>
          <w:highlight w:val="white"/>
          <w:rtl w:val="0"/>
        </w:rPr>
        <w:t xml:space="preserve">. Superior Tribunal de Justiça. </w:t>
      </w:r>
      <w:r w:rsidDel="00000000" w:rsidR="00000000" w:rsidRPr="00000000">
        <w:rPr>
          <w:rFonts w:ascii="Times New Roman" w:cs="Times New Roman" w:eastAsia="Times New Roman" w:hAnsi="Times New Roman"/>
          <w:b w:val="1"/>
          <w:sz w:val="24"/>
          <w:szCs w:val="24"/>
          <w:highlight w:val="white"/>
          <w:rtl w:val="0"/>
        </w:rPr>
        <w:t xml:space="preserve">AgRg no REsp nº 1125145 RJ 2009/0129918-8. 2011</w:t>
      </w:r>
      <w:r w:rsidDel="00000000" w:rsidR="00000000" w:rsidRPr="00000000">
        <w:rPr>
          <w:rFonts w:ascii="Times New Roman" w:cs="Times New Roman" w:eastAsia="Times New Roman" w:hAnsi="Times New Roman"/>
          <w:sz w:val="24"/>
          <w:szCs w:val="24"/>
          <w:highlight w:val="white"/>
          <w:rtl w:val="0"/>
        </w:rPr>
        <w:t xml:space="preserve">. Agravante: </w:t>
      </w:r>
      <w:r w:rsidDel="00000000" w:rsidR="00000000" w:rsidRPr="00000000">
        <w:rPr>
          <w:rFonts w:ascii="Times New Roman" w:cs="Times New Roman" w:eastAsia="Times New Roman" w:hAnsi="Times New Roman"/>
          <w:sz w:val="24"/>
          <w:szCs w:val="24"/>
          <w:rtl w:val="0"/>
        </w:rPr>
        <w:t xml:space="preserve">André Luiz Rondon Moreira Brandao</w:t>
      </w:r>
      <w:r w:rsidDel="00000000" w:rsidR="00000000" w:rsidRPr="00000000">
        <w:rPr>
          <w:rFonts w:ascii="Times New Roman" w:cs="Times New Roman" w:eastAsia="Times New Roman" w:hAnsi="Times New Roman"/>
          <w:sz w:val="24"/>
          <w:szCs w:val="24"/>
          <w:highlight w:val="white"/>
          <w:rtl w:val="0"/>
        </w:rPr>
        <w:t xml:space="preserve">. Agravado: </w:t>
      </w:r>
      <w:r w:rsidDel="00000000" w:rsidR="00000000" w:rsidRPr="00000000">
        <w:rPr>
          <w:rFonts w:ascii="Times New Roman" w:cs="Times New Roman" w:eastAsia="Times New Roman" w:hAnsi="Times New Roman"/>
          <w:sz w:val="24"/>
          <w:szCs w:val="24"/>
          <w:rtl w:val="0"/>
        </w:rPr>
        <w:t xml:space="preserve">Leonardo Magalhaes Zaino. </w:t>
      </w:r>
      <w:r w:rsidDel="00000000" w:rsidR="00000000" w:rsidRPr="00000000">
        <w:rPr>
          <w:rFonts w:ascii="Times New Roman" w:cs="Times New Roman" w:eastAsia="Times New Roman" w:hAnsi="Times New Roman"/>
          <w:sz w:val="24"/>
          <w:szCs w:val="24"/>
          <w:highlight w:val="white"/>
          <w:rtl w:val="0"/>
        </w:rPr>
        <w:t xml:space="preserve">Relator: Ministra Laurita Vaz. Brasília, 23 de agosto de 2011. Disponível em: &lt;</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https://www.jusbrasil.com.br/jurisprudencia/stj/21083831</w:t>
      </w:r>
      <w:r w:rsidDel="00000000" w:rsidR="00000000" w:rsidRPr="00000000">
        <w:rPr>
          <w:rFonts w:ascii="Times New Roman" w:cs="Times New Roman" w:eastAsia="Times New Roman" w:hAnsi="Times New Roman"/>
          <w:sz w:val="24"/>
          <w:szCs w:val="24"/>
          <w:highlight w:val="white"/>
          <w:rtl w:val="0"/>
        </w:rPr>
        <w:t xml:space="preserve">&gt;. Acesso em: 05 nov. 2023.</w:t>
      </w:r>
    </w:p>
    <w:p w:rsidR="00000000" w:rsidDel="00000000" w:rsidP="00000000" w:rsidRDefault="00000000" w:rsidRPr="00000000" w14:paraId="0000014A">
      <w:pPr>
        <w:shd w:fill="ffffff" w:val="clear"/>
        <w:spacing w:line="36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14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______</w:t>
      </w:r>
      <w:r w:rsidDel="00000000" w:rsidR="00000000" w:rsidRPr="00000000">
        <w:rPr>
          <w:rFonts w:ascii="Times New Roman" w:cs="Times New Roman" w:eastAsia="Times New Roman" w:hAnsi="Times New Roman"/>
          <w:sz w:val="24"/>
          <w:szCs w:val="24"/>
          <w:highlight w:val="white"/>
          <w:rtl w:val="0"/>
        </w:rPr>
        <w:t xml:space="preserve">. Tribunal de Justiça da Bahia. </w:t>
      </w:r>
      <w:r w:rsidDel="00000000" w:rsidR="00000000" w:rsidRPr="00000000">
        <w:rPr>
          <w:rFonts w:ascii="Times New Roman" w:cs="Times New Roman" w:eastAsia="Times New Roman" w:hAnsi="Times New Roman"/>
          <w:b w:val="1"/>
          <w:i w:val="1"/>
          <w:sz w:val="24"/>
          <w:szCs w:val="24"/>
          <w:highlight w:val="white"/>
          <w:rtl w:val="0"/>
        </w:rPr>
        <w:t xml:space="preserve">Habeas Corpus</w:t>
      </w:r>
      <w:r w:rsidDel="00000000" w:rsidR="00000000" w:rsidRPr="00000000">
        <w:rPr>
          <w:rFonts w:ascii="Times New Roman" w:cs="Times New Roman" w:eastAsia="Times New Roman" w:hAnsi="Times New Roman"/>
          <w:b w:val="1"/>
          <w:sz w:val="24"/>
          <w:szCs w:val="24"/>
          <w:highlight w:val="white"/>
          <w:rtl w:val="0"/>
        </w:rPr>
        <w:t xml:space="preserve"> nº 8008551-46.2022.8.05.0000</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2022. Paciente: Marcelo Rodrigues do Bomfim e outros</w:t>
      </w:r>
      <w:r w:rsidDel="00000000" w:rsidR="00000000" w:rsidRPr="00000000">
        <w:rPr>
          <w:rFonts w:ascii="Times New Roman" w:cs="Times New Roman" w:eastAsia="Times New Roman" w:hAnsi="Times New Roman"/>
          <w:sz w:val="24"/>
          <w:szCs w:val="24"/>
          <w:highlight w:val="white"/>
          <w:rtl w:val="0"/>
        </w:rPr>
        <w:t xml:space="preserve">. Relator: Baltazar Miranda Saraiva. Bahia, 04 de maio de 2022. Disponível em: &lt;</w:t>
      </w:r>
      <w:r w:rsidDel="00000000" w:rsidR="00000000" w:rsidRPr="00000000">
        <w:rPr>
          <w:rFonts w:ascii="Times New Roman" w:cs="Times New Roman" w:eastAsia="Times New Roman" w:hAnsi="Times New Roman"/>
          <w:sz w:val="24"/>
          <w:szCs w:val="24"/>
          <w:rtl w:val="0"/>
        </w:rPr>
        <w:t xml:space="preserve">https://consultapublicapje.tjba.jus.br/pje/ConsultaPublica/listView.seam</w:t>
      </w:r>
      <w:r w:rsidDel="00000000" w:rsidR="00000000" w:rsidRPr="00000000">
        <w:rPr>
          <w:rFonts w:ascii="Times New Roman" w:cs="Times New Roman" w:eastAsia="Times New Roman" w:hAnsi="Times New Roman"/>
          <w:sz w:val="24"/>
          <w:szCs w:val="24"/>
          <w:highlight w:val="white"/>
          <w:rtl w:val="0"/>
        </w:rPr>
        <w:t xml:space="preserve">&gt;. Acesso em: 28 out. 2023.</w:t>
      </w:r>
    </w:p>
    <w:p w:rsidR="00000000" w:rsidDel="00000000" w:rsidP="00000000" w:rsidRDefault="00000000" w:rsidRPr="00000000" w14:paraId="0000014C">
      <w:pPr>
        <w:shd w:fill="ffffff" w:val="clear"/>
        <w:spacing w:line="36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14D">
      <w:pPr>
        <w:shd w:fill="ffffff" w:val="clea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 C O. </w:t>
      </w:r>
      <w:r w:rsidDel="00000000" w:rsidR="00000000" w:rsidRPr="00000000">
        <w:rPr>
          <w:rFonts w:ascii="Times New Roman" w:cs="Times New Roman" w:eastAsia="Times New Roman" w:hAnsi="Times New Roman"/>
          <w:b w:val="1"/>
          <w:color w:val="222222"/>
          <w:sz w:val="24"/>
          <w:szCs w:val="24"/>
          <w:rtl w:val="0"/>
        </w:rPr>
        <w:t xml:space="preserve">Enciclopédia da conscienciologia</w:t>
      </w:r>
      <w:r w:rsidDel="00000000" w:rsidR="00000000" w:rsidRPr="00000000">
        <w:rPr>
          <w:rFonts w:ascii="Times New Roman" w:cs="Times New Roman" w:eastAsia="Times New Roman" w:hAnsi="Times New Roman"/>
          <w:color w:val="222222"/>
          <w:sz w:val="24"/>
          <w:szCs w:val="24"/>
          <w:rtl w:val="0"/>
        </w:rPr>
        <w:t xml:space="preserve">. Disponível em: &lt;http://reposicons.org/bitstream/123456789/5157/1/Sindrome-de-Estocolmo.pdf&gt;. Acesso em: 14 abr. 2023. </w:t>
      </w:r>
    </w:p>
    <w:p w:rsidR="00000000" w:rsidDel="00000000" w:rsidP="00000000" w:rsidRDefault="00000000" w:rsidRPr="00000000" w14:paraId="0000014E">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CHAI, Cássius Guimarães; SANTOS, Jéssica Pereira dos; CHAVES, Denisson Gonçalves. </w:t>
      </w:r>
      <w:r w:rsidDel="00000000" w:rsidR="00000000" w:rsidRPr="00000000">
        <w:rPr>
          <w:rFonts w:ascii="Times New Roman" w:cs="Times New Roman" w:eastAsia="Times New Roman" w:hAnsi="Times New Roman"/>
          <w:b w:val="1"/>
          <w:sz w:val="24"/>
          <w:szCs w:val="24"/>
          <w:highlight w:val="white"/>
          <w:rtl w:val="0"/>
        </w:rPr>
        <w:t xml:space="preserve">Violência institucional contra a mulher</w:t>
      </w:r>
      <w:r w:rsidDel="00000000" w:rsidR="00000000" w:rsidRPr="00000000">
        <w:rPr>
          <w:rFonts w:ascii="Times New Roman" w:cs="Times New Roman" w:eastAsia="Times New Roman" w:hAnsi="Times New Roman"/>
          <w:sz w:val="24"/>
          <w:szCs w:val="24"/>
          <w:highlight w:val="white"/>
          <w:rtl w:val="0"/>
        </w:rPr>
        <w:t xml:space="preserve">: O poder judiciário, de pretenso protetor a efetivo agressor. 2018. Revista Eletrônica do Curso de Direito da UFSM. v. 13, n. 2, p. 640-665. Disponível em: &lt;https://periodicos.ufsm.br/revistadireito/article/view/29538&gt;. Acesso em: 21 out. 2023.</w:t>
      </w:r>
    </w:p>
    <w:p w:rsidR="00000000" w:rsidDel="00000000" w:rsidP="00000000" w:rsidRDefault="00000000" w:rsidRPr="00000000" w14:paraId="00000150">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CONSELHO NACIONAL DO MINISTÉRIO PÚBLICO. </w:t>
      </w:r>
      <w:r w:rsidDel="00000000" w:rsidR="00000000" w:rsidRPr="00000000">
        <w:rPr>
          <w:rFonts w:ascii="Times New Roman" w:cs="Times New Roman" w:eastAsia="Times New Roman" w:hAnsi="Times New Roman"/>
          <w:b w:val="1"/>
          <w:sz w:val="24"/>
          <w:szCs w:val="24"/>
          <w:rtl w:val="0"/>
        </w:rPr>
        <w:t xml:space="preserve">Violência Institucional</w:t>
      </w:r>
      <w:r w:rsidDel="00000000" w:rsidR="00000000" w:rsidRPr="00000000">
        <w:rPr>
          <w:rFonts w:ascii="Times New Roman" w:cs="Times New Roman" w:eastAsia="Times New Roman" w:hAnsi="Times New Roman"/>
          <w:sz w:val="24"/>
          <w:szCs w:val="24"/>
          <w:rtl w:val="0"/>
        </w:rPr>
        <w:t xml:space="preserve">. 2022. Disponível em: &lt;https://www.cnmp.mp.br/defesadasvitimas/vitimas/violencia-institucional#:~:text=De%20acordo%20com%20a%20Lei,de%20viol%C3%AAncia%20ou%20outras%20situa%C3%A7%C3%B5es&gt;. Acesso em: 18 out. 2023.</w:t>
      </w:r>
      <w:r w:rsidDel="00000000" w:rsidR="00000000" w:rsidRPr="00000000">
        <w:rPr>
          <w:rtl w:val="0"/>
        </w:rPr>
      </w:r>
    </w:p>
    <w:p w:rsidR="00000000" w:rsidDel="00000000" w:rsidP="00000000" w:rsidRDefault="00000000" w:rsidRPr="00000000" w14:paraId="00000152">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3">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CONSELHO NACIONAL DO MINISTÉRIO PÚBLICO. </w:t>
      </w:r>
      <w:r w:rsidDel="00000000" w:rsidR="00000000" w:rsidRPr="00000000">
        <w:rPr>
          <w:rFonts w:ascii="Times New Roman" w:cs="Times New Roman" w:eastAsia="Times New Roman" w:hAnsi="Times New Roman"/>
          <w:b w:val="1"/>
          <w:sz w:val="24"/>
          <w:szCs w:val="24"/>
          <w:rtl w:val="0"/>
        </w:rPr>
        <w:t xml:space="preserve">Vitimização</w:t>
      </w:r>
      <w:r w:rsidDel="00000000" w:rsidR="00000000" w:rsidRPr="00000000">
        <w:rPr>
          <w:rFonts w:ascii="Times New Roman" w:cs="Times New Roman" w:eastAsia="Times New Roman" w:hAnsi="Times New Roman"/>
          <w:sz w:val="24"/>
          <w:szCs w:val="24"/>
          <w:rtl w:val="0"/>
        </w:rPr>
        <w:t xml:space="preserve">. 2022. Disponível em: &lt;https://www.cnmp.mp.br/defesadasvitimas/vitimas/vitimizacao&gt;. Acesso em: 16 out. 2023.</w:t>
      </w:r>
    </w:p>
    <w:p w:rsidR="00000000" w:rsidDel="00000000" w:rsidP="00000000" w:rsidRDefault="00000000" w:rsidRPr="00000000" w14:paraId="00000154">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5">
      <w:pPr>
        <w:spacing w:line="259"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FALOTICO, Carla. </w:t>
      </w:r>
      <w:r w:rsidDel="00000000" w:rsidR="00000000" w:rsidRPr="00000000">
        <w:rPr>
          <w:rFonts w:ascii="Times New Roman" w:cs="Times New Roman" w:eastAsia="Times New Roman" w:hAnsi="Times New Roman"/>
          <w:b w:val="1"/>
          <w:sz w:val="24"/>
          <w:szCs w:val="24"/>
          <w:highlight w:val="white"/>
          <w:rtl w:val="0"/>
        </w:rPr>
        <w:t xml:space="preserve">Vitimologia</w:t>
      </w:r>
      <w:r w:rsidDel="00000000" w:rsidR="00000000" w:rsidRPr="00000000">
        <w:rPr>
          <w:rFonts w:ascii="Times New Roman" w:cs="Times New Roman" w:eastAsia="Times New Roman" w:hAnsi="Times New Roman"/>
          <w:sz w:val="24"/>
          <w:szCs w:val="24"/>
          <w:highlight w:val="white"/>
          <w:rtl w:val="0"/>
        </w:rPr>
        <w:t xml:space="preserve">. Monografia. Graduação em Direito. São Paulo: Fundação de Ensino Eurípides Soares da Rocha, 2007.</w:t>
      </w:r>
    </w:p>
    <w:p w:rsidR="00000000" w:rsidDel="00000000" w:rsidP="00000000" w:rsidRDefault="00000000" w:rsidRPr="00000000" w14:paraId="00000156">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7">
      <w:pPr>
        <w:spacing w:line="259" w:lineRule="auto"/>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GRECO, Rogério. </w:t>
      </w:r>
      <w:r w:rsidDel="00000000" w:rsidR="00000000" w:rsidRPr="00000000">
        <w:rPr>
          <w:rFonts w:ascii="Times New Roman" w:cs="Times New Roman" w:eastAsia="Times New Roman" w:hAnsi="Times New Roman"/>
          <w:b w:val="1"/>
          <w:sz w:val="24"/>
          <w:szCs w:val="24"/>
          <w:highlight w:val="white"/>
          <w:rtl w:val="0"/>
        </w:rPr>
        <w:t xml:space="preserve">Curso de Direito Penal</w:t>
      </w:r>
      <w:r w:rsidDel="00000000" w:rsidR="00000000" w:rsidRPr="00000000">
        <w:rPr>
          <w:rFonts w:ascii="Times New Roman" w:cs="Times New Roman" w:eastAsia="Times New Roman" w:hAnsi="Times New Roman"/>
          <w:sz w:val="24"/>
          <w:szCs w:val="24"/>
          <w:highlight w:val="white"/>
          <w:rtl w:val="0"/>
        </w:rPr>
        <w:t xml:space="preserve">: parte especial. 14 ed. Rio de Janeiro: Impetus, 2017. </w:t>
      </w:r>
      <w:r w:rsidDel="00000000" w:rsidR="00000000" w:rsidRPr="00000000">
        <w:rPr>
          <w:rtl w:val="0"/>
        </w:rPr>
      </w:r>
    </w:p>
    <w:p w:rsidR="00000000" w:rsidDel="00000000" w:rsidP="00000000" w:rsidRDefault="00000000" w:rsidRPr="00000000" w14:paraId="00000158">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9">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LAKATOS, Eva Maria; MARCONI, Marina de Andrade. </w:t>
      </w:r>
      <w:r w:rsidDel="00000000" w:rsidR="00000000" w:rsidRPr="00000000">
        <w:rPr>
          <w:rFonts w:ascii="Times New Roman" w:cs="Times New Roman" w:eastAsia="Times New Roman" w:hAnsi="Times New Roman"/>
          <w:b w:val="1"/>
          <w:sz w:val="24"/>
          <w:szCs w:val="24"/>
          <w:rtl w:val="0"/>
        </w:rPr>
        <w:t xml:space="preserve">Metodologia do trabalho científico</w:t>
      </w:r>
      <w:r w:rsidDel="00000000" w:rsidR="00000000" w:rsidRPr="00000000">
        <w:rPr>
          <w:rFonts w:ascii="Times New Roman" w:cs="Times New Roman" w:eastAsia="Times New Roman" w:hAnsi="Times New Roman"/>
          <w:sz w:val="24"/>
          <w:szCs w:val="24"/>
          <w:rtl w:val="0"/>
        </w:rPr>
        <w:t xml:space="preserve">. São Paulo: editora Atlas, 1987. </w:t>
      </w:r>
    </w:p>
    <w:p w:rsidR="00000000" w:rsidDel="00000000" w:rsidP="00000000" w:rsidRDefault="00000000" w:rsidRPr="00000000" w14:paraId="0000015A">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MOREIRA FILHO, Guaracy. </w:t>
      </w:r>
      <w:r w:rsidDel="00000000" w:rsidR="00000000" w:rsidRPr="00000000">
        <w:rPr>
          <w:rFonts w:ascii="Times New Roman" w:cs="Times New Roman" w:eastAsia="Times New Roman" w:hAnsi="Times New Roman"/>
          <w:b w:val="1"/>
          <w:sz w:val="24"/>
          <w:szCs w:val="24"/>
          <w:rtl w:val="0"/>
        </w:rPr>
        <w:t xml:space="preserve">Criminologia &amp; Vitimologia Aplicada</w:t>
      </w:r>
      <w:r w:rsidDel="00000000" w:rsidR="00000000" w:rsidRPr="00000000">
        <w:rPr>
          <w:rFonts w:ascii="Times New Roman" w:cs="Times New Roman" w:eastAsia="Times New Roman" w:hAnsi="Times New Roman"/>
          <w:sz w:val="24"/>
          <w:szCs w:val="24"/>
          <w:rtl w:val="0"/>
        </w:rPr>
        <w:t xml:space="preserve">. São Paulo: Editora Jurídica Brasileira, 2006.</w:t>
      </w:r>
    </w:p>
    <w:p w:rsidR="00000000" w:rsidDel="00000000" w:rsidP="00000000" w:rsidRDefault="00000000" w:rsidRPr="00000000" w14:paraId="0000015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ORGANIZAÇÃO DAS NAÇÕES UNIDAS. </w:t>
      </w:r>
      <w:r w:rsidDel="00000000" w:rsidR="00000000" w:rsidRPr="00000000">
        <w:rPr>
          <w:rFonts w:ascii="Times New Roman" w:cs="Times New Roman" w:eastAsia="Times New Roman" w:hAnsi="Times New Roman"/>
          <w:b w:val="1"/>
          <w:sz w:val="24"/>
          <w:szCs w:val="24"/>
          <w:rtl w:val="0"/>
        </w:rPr>
        <w:t xml:space="preserve">Resolução 40/34:</w:t>
      </w:r>
      <w:r w:rsidDel="00000000" w:rsidR="00000000" w:rsidRPr="00000000">
        <w:rPr>
          <w:rFonts w:ascii="Times New Roman" w:cs="Times New Roman" w:eastAsia="Times New Roman" w:hAnsi="Times New Roman"/>
          <w:sz w:val="24"/>
          <w:szCs w:val="24"/>
          <w:rtl w:val="0"/>
        </w:rPr>
        <w:t xml:space="preserve"> Declaração dos princípios fundamentais de justiça relativos às vítimas da criminalidade e de abuso de poder. 1985. Disponível em: &lt;</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https://gddc.ministeriopublico.pt/sites/default/files/decl-princjusticavitimas.pdf &gt;. Acesso em 23 nov. 2023.</w:t>
      </w:r>
    </w:p>
    <w:p w:rsidR="00000000" w:rsidDel="00000000" w:rsidP="00000000" w:rsidRDefault="00000000" w:rsidRPr="00000000" w14:paraId="0000015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PRADO, Luiz Regis. </w:t>
      </w:r>
      <w:r w:rsidDel="00000000" w:rsidR="00000000" w:rsidRPr="00000000">
        <w:rPr>
          <w:rFonts w:ascii="Times New Roman" w:cs="Times New Roman" w:eastAsia="Times New Roman" w:hAnsi="Times New Roman"/>
          <w:b w:val="1"/>
          <w:sz w:val="24"/>
          <w:szCs w:val="24"/>
          <w:rtl w:val="0"/>
        </w:rPr>
        <w:t xml:space="preserve">Curso de Direito Penal Brasileiro</w:t>
      </w:r>
      <w:r w:rsidDel="00000000" w:rsidR="00000000" w:rsidRPr="00000000">
        <w:rPr>
          <w:rFonts w:ascii="Times New Roman" w:cs="Times New Roman" w:eastAsia="Times New Roman" w:hAnsi="Times New Roman"/>
          <w:sz w:val="24"/>
          <w:szCs w:val="24"/>
          <w:rtl w:val="0"/>
        </w:rPr>
        <w:t xml:space="preserve">. 17. ed. Rio de Janeiro: Forense, 2019. </w:t>
      </w:r>
    </w:p>
    <w:p w:rsidR="00000000" w:rsidDel="00000000" w:rsidP="00000000" w:rsidRDefault="00000000" w:rsidRPr="00000000" w14:paraId="00000160">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1">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RIBEIRO, Lilian Leticia Rodrigues. </w:t>
      </w:r>
      <w:r w:rsidDel="00000000" w:rsidR="00000000" w:rsidRPr="00000000">
        <w:rPr>
          <w:rFonts w:ascii="Times New Roman" w:cs="Times New Roman" w:eastAsia="Times New Roman" w:hAnsi="Times New Roman"/>
          <w:b w:val="1"/>
          <w:sz w:val="24"/>
          <w:szCs w:val="24"/>
          <w:rtl w:val="0"/>
        </w:rPr>
        <w:t xml:space="preserve">A violência disseminada a síndrome de estocolmo e a dinâmica perversa em cativeiro real e cativeiro imaginário</w:t>
      </w:r>
      <w:r w:rsidDel="00000000" w:rsidR="00000000" w:rsidRPr="00000000">
        <w:rPr>
          <w:rFonts w:ascii="Times New Roman" w:cs="Times New Roman" w:eastAsia="Times New Roman" w:hAnsi="Times New Roman"/>
          <w:sz w:val="24"/>
          <w:szCs w:val="24"/>
          <w:rtl w:val="0"/>
        </w:rPr>
        <w:t xml:space="preserve">. 2017. Disponível em: &lt;</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http://repositorio.faema.edu.br:8000/jspui/handle/123456789/1201&gt;. Acesso em: 08 nov. 2023.</w:t>
      </w:r>
    </w:p>
    <w:p w:rsidR="00000000" w:rsidDel="00000000" w:rsidP="00000000" w:rsidRDefault="00000000" w:rsidRPr="00000000" w14:paraId="00000162">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3">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Larissa Souza. </w:t>
      </w:r>
      <w:r w:rsidDel="00000000" w:rsidR="00000000" w:rsidRPr="00000000">
        <w:rPr>
          <w:rFonts w:ascii="Times New Roman" w:cs="Times New Roman" w:eastAsia="Times New Roman" w:hAnsi="Times New Roman"/>
          <w:b w:val="1"/>
          <w:sz w:val="24"/>
          <w:szCs w:val="24"/>
          <w:rtl w:val="0"/>
        </w:rPr>
        <w:t xml:space="preserve">Síndrome de Estocolmo: uma análise da psicologia jurídica</w:t>
      </w:r>
      <w:r w:rsidDel="00000000" w:rsidR="00000000" w:rsidRPr="00000000">
        <w:rPr>
          <w:rFonts w:ascii="Times New Roman" w:cs="Times New Roman" w:eastAsia="Times New Roman" w:hAnsi="Times New Roman"/>
          <w:sz w:val="24"/>
          <w:szCs w:val="24"/>
          <w:rtl w:val="0"/>
        </w:rPr>
        <w:t xml:space="preserve">. 2018. Disponível em: https://pt.linkedin.com/pulse/s%C3%ADndrome-de-estocolmo-uma-an%C3%A1lise-da-psicologia-s%C3%A9rgius-greg%C3%B3rio. Acesso em: 20 mar. 2023. </w:t>
      </w:r>
    </w:p>
    <w:p w:rsidR="00000000" w:rsidDel="00000000" w:rsidP="00000000" w:rsidRDefault="00000000" w:rsidRPr="00000000" w14:paraId="0000016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SOARES, Fernanda. </w:t>
      </w:r>
      <w:r w:rsidDel="00000000" w:rsidR="00000000" w:rsidRPr="00000000">
        <w:rPr>
          <w:rFonts w:ascii="Times New Roman" w:cs="Times New Roman" w:eastAsia="Times New Roman" w:hAnsi="Times New Roman"/>
          <w:b w:val="1"/>
          <w:sz w:val="24"/>
          <w:szCs w:val="24"/>
          <w:rtl w:val="0"/>
        </w:rPr>
        <w:t xml:space="preserve">Vitimologia</w:t>
      </w:r>
      <w:r w:rsidDel="00000000" w:rsidR="00000000" w:rsidRPr="00000000">
        <w:rPr>
          <w:rFonts w:ascii="Times New Roman" w:cs="Times New Roman" w:eastAsia="Times New Roman" w:hAnsi="Times New Roman"/>
          <w:sz w:val="24"/>
          <w:szCs w:val="24"/>
          <w:rtl w:val="0"/>
        </w:rPr>
        <w:t xml:space="preserve">. 2019. Disponível em: &lt;https://jus.com.br/artigos/74328/vitimologia&gt;. Acesso em: 13 nov. 2023.</w:t>
      </w:r>
    </w:p>
    <w:p w:rsidR="00000000" w:rsidDel="00000000" w:rsidP="00000000" w:rsidRDefault="00000000" w:rsidRPr="00000000" w14:paraId="0000016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TAQUETTE, Stella (org.). </w:t>
      </w:r>
      <w:r w:rsidDel="00000000" w:rsidR="00000000" w:rsidRPr="00000000">
        <w:rPr>
          <w:rFonts w:ascii="Times New Roman" w:cs="Times New Roman" w:eastAsia="Times New Roman" w:hAnsi="Times New Roman"/>
          <w:b w:val="1"/>
          <w:sz w:val="24"/>
          <w:szCs w:val="24"/>
          <w:rtl w:val="0"/>
        </w:rPr>
        <w:t xml:space="preserve">Mulher adolescente/jovem em situação de violência</w:t>
      </w:r>
      <w:r w:rsidDel="00000000" w:rsidR="00000000" w:rsidRPr="00000000">
        <w:rPr>
          <w:rFonts w:ascii="Times New Roman" w:cs="Times New Roman" w:eastAsia="Times New Roman" w:hAnsi="Times New Roman"/>
          <w:sz w:val="24"/>
          <w:szCs w:val="24"/>
          <w:rtl w:val="0"/>
        </w:rPr>
        <w:t xml:space="preserve">. Brasília: Secretaria Especial de Políticas para as Mulheres, 2007.</w:t>
      </w:r>
    </w:p>
    <w:p w:rsidR="00000000" w:rsidDel="00000000" w:rsidP="00000000" w:rsidRDefault="00000000" w:rsidRPr="00000000" w14:paraId="00000168">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69">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TRINDADE, Jorge. </w:t>
      </w:r>
      <w:r w:rsidDel="00000000" w:rsidR="00000000" w:rsidRPr="00000000">
        <w:rPr>
          <w:rFonts w:ascii="Times New Roman" w:cs="Times New Roman" w:eastAsia="Times New Roman" w:hAnsi="Times New Roman"/>
          <w:b w:val="1"/>
          <w:sz w:val="24"/>
          <w:szCs w:val="24"/>
          <w:rtl w:val="0"/>
        </w:rPr>
        <w:t xml:space="preserve">Manual de psicologia jurídica para operadores do direito</w:t>
      </w:r>
      <w:r w:rsidDel="00000000" w:rsidR="00000000" w:rsidRPr="00000000">
        <w:rPr>
          <w:rFonts w:ascii="Times New Roman" w:cs="Times New Roman" w:eastAsia="Times New Roman" w:hAnsi="Times New Roman"/>
          <w:sz w:val="24"/>
          <w:szCs w:val="24"/>
          <w:rtl w:val="0"/>
        </w:rPr>
        <w:t xml:space="preserve">. 4. ed. Porto Alegre: Livraria do Advogado, 2010. </w:t>
      </w:r>
    </w:p>
    <w:sectPr>
      <w:headerReference r:id="rId11" w:type="default"/>
      <w:type w:val="nextPage"/>
      <w:pgSz w:h="16834" w:w="11909" w:orient="portrait"/>
      <w:pgMar w:bottom="1134" w:top="1701" w:left="1701" w:right="1134" w:header="1135" w:footer="720"/>
      <w:pgNumType w:start="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6A">
      <w:pPr>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Graduanda do Curso de Direito da UniFacisa - Centro Universitário. E-mail: krhayssa2@gmail.com.</w:t>
      </w:r>
    </w:p>
  </w:footnote>
  <w:footnote w:id="1">
    <w:p w:rsidR="00000000" w:rsidDel="00000000" w:rsidP="00000000" w:rsidRDefault="00000000" w:rsidRPr="00000000" w14:paraId="0000016B">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Professor Orientador. Advogado. Doutor em Direito Penal e Política Criminal pela Universidade de Granada, Espanha. Título revalidado pela UERJ. Professor do Máster en Derecho Económico da Universidade de Granada (UGR/ESPANHA) e do Instituto de Altos Estudios Universitários de Barcelona (IAEU). Secretário de Planejamento de Campina Grande. Ex- Superintendente de Trânsito e Transportes Públicos de Campina Grande. Ex Vice presidente do Fórum Nacional de Secretários e Dirigentes Públicos de Mobilidade Urbana. Professor da Uepb, Unifacisa, Esma/PB, Tv Justiça/STF. Especialização em Planejamento Urbano e Gestão de Cidades pela Unipe). Especialização em Gestão estratégia de trânsito pela ATAME. Membro consultor da Comissão Nacional de Exame de Ordem do Conselho Federal da OAB. E-mail:</w:t>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felixaraujoneto@hotmail.com.</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paragraph" w:styleId="Subttulo">
    <w:name w:val="Subtitle"/>
    <w:basedOn w:val="Normal"/>
    <w:next w:val="Normal"/>
    <w:pPr>
      <w:keepNext w:val="1"/>
      <w:keepLines w:val="1"/>
      <w:spacing w:after="320"/>
    </w:pPr>
    <w:rPr>
      <w:color w:val="666666"/>
      <w:sz w:val="30"/>
      <w:szCs w:val="30"/>
    </w:rPr>
  </w:style>
  <w:style w:type="paragraph" w:styleId="Corpodetexto">
    <w:name w:val="Body Text"/>
    <w:basedOn w:val="Normal"/>
    <w:link w:val="CorpodetextoChar"/>
    <w:uiPriority w:val="1"/>
    <w:qFormat w:val="1"/>
    <w:rsid w:val="008156CA"/>
    <w:pPr>
      <w:widowControl w:val="0"/>
      <w:spacing w:line="240" w:lineRule="auto"/>
    </w:pPr>
    <w:rPr>
      <w:rFonts w:ascii="Times New Roman" w:cs="Times New Roman" w:eastAsia="Times New Roman" w:hAnsi="Times New Roman"/>
      <w:sz w:val="24"/>
      <w:szCs w:val="24"/>
      <w:lang w:val="pt-PT"/>
    </w:rPr>
  </w:style>
  <w:style w:type="character" w:styleId="CorpodetextoChar" w:customStyle="1">
    <w:name w:val="Corpo de texto Char"/>
    <w:basedOn w:val="Fontepargpadro"/>
    <w:link w:val="Corpodetexto"/>
    <w:uiPriority w:val="1"/>
    <w:rsid w:val="008156CA"/>
    <w:rPr>
      <w:rFonts w:ascii="Times New Roman" w:cs="Times New Roman" w:eastAsia="Times New Roman" w:hAnsi="Times New Roman"/>
      <w:sz w:val="24"/>
      <w:szCs w:val="24"/>
      <w:lang w:val="pt-PT"/>
    </w:rPr>
  </w:style>
  <w:style w:type="paragraph" w:styleId="PargrafodaLista">
    <w:name w:val="List Paragraph"/>
    <w:basedOn w:val="Normal"/>
    <w:uiPriority w:val="34"/>
    <w:qFormat w:val="1"/>
    <w:rsid w:val="008156CA"/>
    <w:pPr>
      <w:ind w:left="720"/>
      <w:contextualSpacing w:val="1"/>
    </w:pPr>
  </w:style>
  <w:style w:type="character" w:styleId="Hyperlink">
    <w:name w:val="Hyperlink"/>
    <w:basedOn w:val="Fontepargpadro"/>
    <w:uiPriority w:val="99"/>
    <w:unhideWhenUsed w:val="1"/>
    <w:rsid w:val="00307B52"/>
    <w:rPr>
      <w:color w:val="0000ff" w:themeColor="hyperlink"/>
      <w:u w:val="single"/>
    </w:rPr>
  </w:style>
  <w:style w:type="paragraph" w:styleId="Cabealho">
    <w:name w:val="header"/>
    <w:basedOn w:val="Normal"/>
    <w:link w:val="CabealhoChar"/>
    <w:uiPriority w:val="99"/>
    <w:unhideWhenUsed w:val="1"/>
    <w:rsid w:val="00312C43"/>
    <w:pPr>
      <w:tabs>
        <w:tab w:val="center" w:pos="4252"/>
        <w:tab w:val="right" w:pos="8504"/>
      </w:tabs>
      <w:spacing w:line="240" w:lineRule="auto"/>
    </w:pPr>
  </w:style>
  <w:style w:type="character" w:styleId="CabealhoChar" w:customStyle="1">
    <w:name w:val="Cabeçalho Char"/>
    <w:basedOn w:val="Fontepargpadro"/>
    <w:link w:val="Cabealho"/>
    <w:uiPriority w:val="99"/>
    <w:rsid w:val="00312C43"/>
  </w:style>
  <w:style w:type="paragraph" w:styleId="Rodap">
    <w:name w:val="footer"/>
    <w:basedOn w:val="Normal"/>
    <w:link w:val="RodapChar"/>
    <w:uiPriority w:val="99"/>
    <w:unhideWhenUsed w:val="1"/>
    <w:rsid w:val="00312C43"/>
    <w:pPr>
      <w:tabs>
        <w:tab w:val="center" w:pos="4252"/>
        <w:tab w:val="right" w:pos="8504"/>
      </w:tabs>
      <w:spacing w:line="240" w:lineRule="auto"/>
    </w:pPr>
  </w:style>
  <w:style w:type="character" w:styleId="RodapChar" w:customStyle="1">
    <w:name w:val="Rodapé Char"/>
    <w:basedOn w:val="Fontepargpadro"/>
    <w:link w:val="Rodap"/>
    <w:uiPriority w:val="99"/>
    <w:rsid w:val="00312C4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s://stj.jusbrasil.com.br/jurisprudencia/21083831/agravo-regimental-no-recurso-especial-agrg-no-resp-1125145-rj-2009-0129918-8-stj" TargetMode="Externa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U8QfKGcQFb/f2auEqJZbIesN2A==">CgMxLjAyCGguZ2pkZ3hzOAByITFYTlhZQ2k2czhOcFU2LTFoUFNFd1FXX01kc19QbEV6TA==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2023-11-16T14:19:00Z</dcterms:created>
</cp:coreProperties>
</file>