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C6E" w:rsidRPr="000B79B9" w:rsidRDefault="00B15061" w:rsidP="003112B3">
      <w:pPr>
        <w:pStyle w:val="Ttulo1"/>
        <w:spacing w:before="101" w:line="360" w:lineRule="auto"/>
        <w:ind w:right="1730"/>
        <w:rPr>
          <w:rFonts w:ascii="Times New Roman" w:hAnsi="Times New Roman" w:cs="Times New Roman"/>
        </w:rPr>
      </w:pPr>
      <w:r w:rsidRPr="000B79B9">
        <w:rPr>
          <w:rFonts w:ascii="Times New Roman" w:hAnsi="Times New Roman" w:cs="Times New Roman"/>
        </w:rPr>
        <w:t>CESED - CENTRO DE ENSINO SUPERIOR E DESENVOLVIMENTO UNIFACISA – CENTRO UNIVERSITÁRIO</w:t>
      </w:r>
    </w:p>
    <w:p w:rsidR="00196C6E" w:rsidRPr="000B79B9" w:rsidRDefault="00B15061">
      <w:pPr>
        <w:spacing w:line="360" w:lineRule="auto"/>
        <w:ind w:left="121"/>
        <w:rPr>
          <w:rFonts w:ascii="Times New Roman" w:eastAsia="Arial" w:hAnsi="Times New Roman" w:cs="Times New Roman"/>
          <w:b/>
          <w:sz w:val="24"/>
          <w:szCs w:val="24"/>
        </w:rPr>
      </w:pPr>
      <w:r w:rsidRPr="000B79B9">
        <w:rPr>
          <w:rFonts w:ascii="Times New Roman" w:eastAsia="Arial" w:hAnsi="Times New Roman" w:cs="Times New Roman"/>
          <w:b/>
          <w:sz w:val="24"/>
          <w:szCs w:val="24"/>
        </w:rPr>
        <w:t>CURSO DE BACHARELADO EM DIREITO</w:t>
      </w:r>
    </w:p>
    <w:p w:rsidR="00196C6E" w:rsidRPr="000B79B9" w:rsidRDefault="00196C6E">
      <w:pPr>
        <w:spacing w:line="360" w:lineRule="auto"/>
        <w:ind w:left="121"/>
        <w:rPr>
          <w:rFonts w:ascii="Times New Roman" w:eastAsia="Arial" w:hAnsi="Times New Roman" w:cs="Times New Roman"/>
          <w:b/>
          <w:sz w:val="24"/>
          <w:szCs w:val="24"/>
        </w:rPr>
      </w:pPr>
    </w:p>
    <w:p w:rsidR="00196C6E" w:rsidRPr="000B79B9" w:rsidRDefault="00196C6E">
      <w:pPr>
        <w:spacing w:line="360" w:lineRule="auto"/>
        <w:ind w:left="121"/>
        <w:rPr>
          <w:rFonts w:ascii="Times New Roman" w:eastAsia="Arial" w:hAnsi="Times New Roman" w:cs="Times New Roman"/>
          <w:b/>
          <w:sz w:val="24"/>
          <w:szCs w:val="24"/>
        </w:rPr>
      </w:pPr>
    </w:p>
    <w:p w:rsidR="00196C6E" w:rsidRPr="000B79B9" w:rsidRDefault="00196C6E">
      <w:pPr>
        <w:spacing w:line="360" w:lineRule="auto"/>
        <w:ind w:left="121"/>
        <w:rPr>
          <w:rFonts w:ascii="Times New Roman" w:eastAsia="Arial" w:hAnsi="Times New Roman" w:cs="Times New Roman"/>
          <w:b/>
          <w:sz w:val="24"/>
          <w:szCs w:val="24"/>
        </w:rPr>
      </w:pPr>
    </w:p>
    <w:p w:rsidR="00196C6E" w:rsidRPr="000B79B9" w:rsidRDefault="00B15061">
      <w:pPr>
        <w:pStyle w:val="Ttulo1"/>
        <w:spacing w:line="360" w:lineRule="auto"/>
        <w:ind w:left="220" w:right="208"/>
        <w:jc w:val="center"/>
        <w:rPr>
          <w:rFonts w:ascii="Times New Roman" w:hAnsi="Times New Roman" w:cs="Times New Roman"/>
        </w:rPr>
      </w:pPr>
      <w:r w:rsidRPr="000B79B9">
        <w:rPr>
          <w:rFonts w:ascii="Times New Roman" w:hAnsi="Times New Roman" w:cs="Times New Roman"/>
        </w:rPr>
        <w:t>FLÁVIA TELES FERNANDES COSTA</w:t>
      </w:r>
    </w:p>
    <w:p w:rsidR="00196C6E" w:rsidRPr="000B79B9" w:rsidRDefault="00196C6E">
      <w:pPr>
        <w:pBdr>
          <w:top w:val="nil"/>
          <w:left w:val="nil"/>
          <w:bottom w:val="nil"/>
          <w:right w:val="nil"/>
          <w:between w:val="nil"/>
        </w:pBdr>
        <w:rPr>
          <w:rFonts w:ascii="Times New Roman" w:eastAsia="Arial" w:hAnsi="Times New Roman" w:cs="Times New Roman"/>
          <w:b/>
          <w:color w:val="000000"/>
          <w:sz w:val="26"/>
          <w:szCs w:val="26"/>
        </w:rPr>
      </w:pPr>
    </w:p>
    <w:p w:rsidR="00196C6E" w:rsidRPr="000B79B9" w:rsidRDefault="00196C6E">
      <w:pPr>
        <w:pBdr>
          <w:top w:val="nil"/>
          <w:left w:val="nil"/>
          <w:bottom w:val="nil"/>
          <w:right w:val="nil"/>
          <w:between w:val="nil"/>
        </w:pBdr>
        <w:rPr>
          <w:rFonts w:ascii="Times New Roman" w:eastAsia="Arial" w:hAnsi="Times New Roman" w:cs="Times New Roman"/>
          <w:b/>
          <w:color w:val="000000"/>
          <w:sz w:val="26"/>
          <w:szCs w:val="26"/>
        </w:rPr>
      </w:pPr>
    </w:p>
    <w:p w:rsidR="00196C6E" w:rsidRPr="000B79B9" w:rsidRDefault="00196C6E">
      <w:pPr>
        <w:pBdr>
          <w:top w:val="nil"/>
          <w:left w:val="nil"/>
          <w:bottom w:val="nil"/>
          <w:right w:val="nil"/>
          <w:between w:val="nil"/>
        </w:pBdr>
        <w:rPr>
          <w:rFonts w:ascii="Times New Roman" w:eastAsia="Arial" w:hAnsi="Times New Roman" w:cs="Times New Roman"/>
          <w:b/>
          <w:color w:val="000000"/>
          <w:sz w:val="26"/>
          <w:szCs w:val="26"/>
        </w:rPr>
      </w:pPr>
    </w:p>
    <w:p w:rsidR="00196C6E" w:rsidRPr="000B79B9" w:rsidRDefault="00196C6E">
      <w:pPr>
        <w:pBdr>
          <w:top w:val="nil"/>
          <w:left w:val="nil"/>
          <w:bottom w:val="nil"/>
          <w:right w:val="nil"/>
          <w:between w:val="nil"/>
        </w:pBdr>
        <w:rPr>
          <w:rFonts w:ascii="Times New Roman" w:eastAsia="Arial" w:hAnsi="Times New Roman" w:cs="Times New Roman"/>
          <w:b/>
          <w:color w:val="000000"/>
          <w:sz w:val="26"/>
          <w:szCs w:val="26"/>
        </w:rPr>
      </w:pPr>
    </w:p>
    <w:p w:rsidR="00196C6E" w:rsidRPr="000B79B9" w:rsidRDefault="00196C6E">
      <w:pPr>
        <w:pBdr>
          <w:top w:val="nil"/>
          <w:left w:val="nil"/>
          <w:bottom w:val="nil"/>
          <w:right w:val="nil"/>
          <w:between w:val="nil"/>
        </w:pBdr>
        <w:rPr>
          <w:rFonts w:ascii="Times New Roman" w:eastAsia="Arial" w:hAnsi="Times New Roman" w:cs="Times New Roman"/>
          <w:b/>
          <w:color w:val="000000"/>
          <w:sz w:val="26"/>
          <w:szCs w:val="26"/>
        </w:rPr>
      </w:pPr>
    </w:p>
    <w:p w:rsidR="00196C6E" w:rsidRPr="000B79B9" w:rsidRDefault="00196C6E">
      <w:pPr>
        <w:pBdr>
          <w:top w:val="nil"/>
          <w:left w:val="nil"/>
          <w:bottom w:val="nil"/>
          <w:right w:val="nil"/>
          <w:between w:val="nil"/>
        </w:pBdr>
        <w:rPr>
          <w:rFonts w:ascii="Times New Roman" w:eastAsia="Arial" w:hAnsi="Times New Roman" w:cs="Times New Roman"/>
          <w:b/>
          <w:color w:val="000000"/>
          <w:sz w:val="26"/>
          <w:szCs w:val="26"/>
        </w:rPr>
      </w:pPr>
    </w:p>
    <w:p w:rsidR="00196C6E" w:rsidRPr="000B79B9" w:rsidRDefault="00196C6E">
      <w:pPr>
        <w:pBdr>
          <w:top w:val="nil"/>
          <w:left w:val="nil"/>
          <w:bottom w:val="nil"/>
          <w:right w:val="nil"/>
          <w:between w:val="nil"/>
        </w:pBdr>
        <w:rPr>
          <w:rFonts w:ascii="Times New Roman" w:eastAsia="Arial" w:hAnsi="Times New Roman" w:cs="Times New Roman"/>
          <w:b/>
          <w:color w:val="000000"/>
          <w:sz w:val="26"/>
          <w:szCs w:val="26"/>
        </w:rPr>
      </w:pPr>
    </w:p>
    <w:p w:rsidR="00196C6E" w:rsidRPr="000B79B9" w:rsidRDefault="00196C6E">
      <w:pPr>
        <w:pBdr>
          <w:top w:val="nil"/>
          <w:left w:val="nil"/>
          <w:bottom w:val="nil"/>
          <w:right w:val="nil"/>
          <w:between w:val="nil"/>
        </w:pBdr>
        <w:rPr>
          <w:rFonts w:ascii="Times New Roman" w:eastAsia="Arial" w:hAnsi="Times New Roman" w:cs="Times New Roman"/>
          <w:b/>
          <w:color w:val="000000"/>
          <w:sz w:val="26"/>
          <w:szCs w:val="26"/>
        </w:rPr>
      </w:pPr>
    </w:p>
    <w:p w:rsidR="00196C6E" w:rsidRPr="000B79B9" w:rsidRDefault="00196C6E">
      <w:pPr>
        <w:pBdr>
          <w:top w:val="nil"/>
          <w:left w:val="nil"/>
          <w:bottom w:val="nil"/>
          <w:right w:val="nil"/>
          <w:between w:val="nil"/>
        </w:pBdr>
        <w:rPr>
          <w:rFonts w:ascii="Times New Roman" w:eastAsia="Arial" w:hAnsi="Times New Roman" w:cs="Times New Roman"/>
          <w:b/>
          <w:color w:val="000000"/>
          <w:sz w:val="26"/>
          <w:szCs w:val="26"/>
        </w:rPr>
      </w:pPr>
    </w:p>
    <w:p w:rsidR="00196C6E" w:rsidRPr="000B79B9" w:rsidRDefault="00196C6E">
      <w:pPr>
        <w:pBdr>
          <w:top w:val="nil"/>
          <w:left w:val="nil"/>
          <w:bottom w:val="nil"/>
          <w:right w:val="nil"/>
          <w:between w:val="nil"/>
        </w:pBdr>
        <w:rPr>
          <w:rFonts w:ascii="Times New Roman" w:eastAsia="Arial" w:hAnsi="Times New Roman" w:cs="Times New Roman"/>
          <w:b/>
          <w:color w:val="000000"/>
          <w:sz w:val="26"/>
          <w:szCs w:val="26"/>
        </w:rPr>
      </w:pPr>
    </w:p>
    <w:p w:rsidR="00196C6E" w:rsidRPr="000B79B9" w:rsidRDefault="00196C6E">
      <w:pPr>
        <w:pBdr>
          <w:top w:val="nil"/>
          <w:left w:val="nil"/>
          <w:bottom w:val="nil"/>
          <w:right w:val="nil"/>
          <w:between w:val="nil"/>
        </w:pBdr>
        <w:rPr>
          <w:rFonts w:ascii="Times New Roman" w:eastAsia="Arial" w:hAnsi="Times New Roman" w:cs="Times New Roman"/>
          <w:b/>
          <w:color w:val="000000"/>
          <w:sz w:val="26"/>
          <w:szCs w:val="26"/>
        </w:rPr>
      </w:pPr>
    </w:p>
    <w:p w:rsidR="00196C6E" w:rsidRPr="000B79B9" w:rsidRDefault="00B15061">
      <w:pPr>
        <w:widowControl/>
        <w:pBdr>
          <w:top w:val="nil"/>
          <w:left w:val="nil"/>
          <w:bottom w:val="nil"/>
          <w:right w:val="nil"/>
          <w:between w:val="nil"/>
        </w:pBdr>
        <w:tabs>
          <w:tab w:val="left" w:pos="708"/>
        </w:tabs>
        <w:spacing w:after="200" w:line="360" w:lineRule="auto"/>
        <w:jc w:val="center"/>
        <w:rPr>
          <w:rFonts w:ascii="Times New Roman" w:eastAsia="Arial" w:hAnsi="Times New Roman" w:cs="Times New Roman"/>
          <w:b/>
          <w:color w:val="000000"/>
          <w:sz w:val="24"/>
          <w:szCs w:val="24"/>
        </w:rPr>
      </w:pPr>
      <w:r w:rsidRPr="000B79B9">
        <w:rPr>
          <w:rFonts w:ascii="Times New Roman" w:eastAsia="Arial" w:hAnsi="Times New Roman" w:cs="Times New Roman"/>
          <w:b/>
          <w:color w:val="000000"/>
          <w:sz w:val="24"/>
          <w:szCs w:val="24"/>
        </w:rPr>
        <w:t>O DIREITO AO ESQUECIMENTO E A EXCLUSÃO DE DADOS PESSOAIS NA LGPD: ANÁLISE À LUZ DO TEMA N.º 786 DO STF</w:t>
      </w:r>
    </w:p>
    <w:p w:rsidR="00196C6E" w:rsidRPr="000B79B9" w:rsidRDefault="00196C6E">
      <w:pPr>
        <w:pBdr>
          <w:top w:val="nil"/>
          <w:left w:val="nil"/>
          <w:bottom w:val="nil"/>
          <w:right w:val="nil"/>
          <w:between w:val="nil"/>
        </w:pBdr>
        <w:rPr>
          <w:rFonts w:ascii="Times New Roman" w:eastAsia="Arial" w:hAnsi="Times New Roman" w:cs="Times New Roman"/>
          <w:b/>
          <w:color w:val="000000"/>
          <w:sz w:val="26"/>
          <w:szCs w:val="26"/>
        </w:rPr>
      </w:pPr>
    </w:p>
    <w:p w:rsidR="00196C6E" w:rsidRPr="000B79B9" w:rsidRDefault="00196C6E">
      <w:pPr>
        <w:pBdr>
          <w:top w:val="nil"/>
          <w:left w:val="nil"/>
          <w:bottom w:val="nil"/>
          <w:right w:val="nil"/>
          <w:between w:val="nil"/>
        </w:pBdr>
        <w:rPr>
          <w:rFonts w:ascii="Times New Roman" w:eastAsia="Arial" w:hAnsi="Times New Roman" w:cs="Times New Roman"/>
          <w:b/>
          <w:color w:val="000000"/>
          <w:sz w:val="26"/>
          <w:szCs w:val="26"/>
        </w:rPr>
      </w:pPr>
    </w:p>
    <w:p w:rsidR="00196C6E" w:rsidRPr="000B79B9" w:rsidRDefault="00196C6E">
      <w:pPr>
        <w:pBdr>
          <w:top w:val="nil"/>
          <w:left w:val="nil"/>
          <w:bottom w:val="nil"/>
          <w:right w:val="nil"/>
          <w:between w:val="nil"/>
        </w:pBdr>
        <w:rPr>
          <w:rFonts w:ascii="Times New Roman" w:eastAsia="Arial" w:hAnsi="Times New Roman" w:cs="Times New Roman"/>
          <w:b/>
          <w:color w:val="000000"/>
          <w:sz w:val="26"/>
          <w:szCs w:val="26"/>
        </w:rPr>
      </w:pPr>
    </w:p>
    <w:p w:rsidR="00196C6E" w:rsidRPr="000B79B9" w:rsidRDefault="00196C6E">
      <w:pPr>
        <w:pBdr>
          <w:top w:val="nil"/>
          <w:left w:val="nil"/>
          <w:bottom w:val="nil"/>
          <w:right w:val="nil"/>
          <w:between w:val="nil"/>
        </w:pBdr>
        <w:rPr>
          <w:rFonts w:ascii="Times New Roman" w:eastAsia="Arial" w:hAnsi="Times New Roman" w:cs="Times New Roman"/>
          <w:b/>
          <w:color w:val="000000"/>
          <w:sz w:val="26"/>
          <w:szCs w:val="26"/>
        </w:rPr>
      </w:pPr>
    </w:p>
    <w:p w:rsidR="00196C6E" w:rsidRPr="000B79B9" w:rsidRDefault="00196C6E">
      <w:pPr>
        <w:pBdr>
          <w:top w:val="nil"/>
          <w:left w:val="nil"/>
          <w:bottom w:val="nil"/>
          <w:right w:val="nil"/>
          <w:between w:val="nil"/>
        </w:pBdr>
        <w:rPr>
          <w:rFonts w:ascii="Times New Roman" w:eastAsia="Arial" w:hAnsi="Times New Roman" w:cs="Times New Roman"/>
          <w:b/>
          <w:color w:val="000000"/>
          <w:sz w:val="26"/>
          <w:szCs w:val="26"/>
        </w:rPr>
      </w:pPr>
    </w:p>
    <w:p w:rsidR="00196C6E" w:rsidRPr="000B79B9" w:rsidRDefault="00196C6E">
      <w:pPr>
        <w:pBdr>
          <w:top w:val="nil"/>
          <w:left w:val="nil"/>
          <w:bottom w:val="nil"/>
          <w:right w:val="nil"/>
          <w:between w:val="nil"/>
        </w:pBdr>
        <w:rPr>
          <w:rFonts w:ascii="Times New Roman" w:eastAsia="Arial" w:hAnsi="Times New Roman" w:cs="Times New Roman"/>
          <w:b/>
          <w:color w:val="000000"/>
          <w:sz w:val="26"/>
          <w:szCs w:val="26"/>
        </w:rPr>
      </w:pPr>
    </w:p>
    <w:p w:rsidR="00196C6E" w:rsidRPr="000B79B9" w:rsidRDefault="00196C6E">
      <w:pPr>
        <w:pBdr>
          <w:top w:val="nil"/>
          <w:left w:val="nil"/>
          <w:bottom w:val="nil"/>
          <w:right w:val="nil"/>
          <w:between w:val="nil"/>
        </w:pBdr>
        <w:rPr>
          <w:rFonts w:ascii="Times New Roman" w:eastAsia="Arial" w:hAnsi="Times New Roman" w:cs="Times New Roman"/>
          <w:b/>
          <w:color w:val="000000"/>
          <w:sz w:val="26"/>
          <w:szCs w:val="26"/>
        </w:rPr>
      </w:pPr>
    </w:p>
    <w:p w:rsidR="00196C6E" w:rsidRPr="000B79B9" w:rsidRDefault="00196C6E">
      <w:pPr>
        <w:pBdr>
          <w:top w:val="nil"/>
          <w:left w:val="nil"/>
          <w:bottom w:val="nil"/>
          <w:right w:val="nil"/>
          <w:between w:val="nil"/>
        </w:pBdr>
        <w:rPr>
          <w:rFonts w:ascii="Times New Roman" w:eastAsia="Arial" w:hAnsi="Times New Roman" w:cs="Times New Roman"/>
          <w:b/>
          <w:color w:val="000000"/>
          <w:sz w:val="26"/>
          <w:szCs w:val="26"/>
        </w:rPr>
      </w:pPr>
    </w:p>
    <w:p w:rsidR="00196C6E" w:rsidRPr="000B79B9" w:rsidRDefault="00196C6E">
      <w:pPr>
        <w:pBdr>
          <w:top w:val="nil"/>
          <w:left w:val="nil"/>
          <w:bottom w:val="nil"/>
          <w:right w:val="nil"/>
          <w:between w:val="nil"/>
        </w:pBdr>
        <w:rPr>
          <w:rFonts w:ascii="Times New Roman" w:eastAsia="Arial" w:hAnsi="Times New Roman" w:cs="Times New Roman"/>
          <w:b/>
          <w:color w:val="000000"/>
          <w:sz w:val="26"/>
          <w:szCs w:val="26"/>
        </w:rPr>
      </w:pPr>
    </w:p>
    <w:p w:rsidR="00196C6E" w:rsidRPr="000B79B9" w:rsidRDefault="00196C6E">
      <w:pPr>
        <w:pBdr>
          <w:top w:val="nil"/>
          <w:left w:val="nil"/>
          <w:bottom w:val="nil"/>
          <w:right w:val="nil"/>
          <w:between w:val="nil"/>
        </w:pBdr>
        <w:rPr>
          <w:rFonts w:ascii="Times New Roman" w:eastAsia="Arial" w:hAnsi="Times New Roman" w:cs="Times New Roman"/>
          <w:b/>
          <w:color w:val="000000"/>
          <w:sz w:val="26"/>
          <w:szCs w:val="26"/>
        </w:rPr>
      </w:pPr>
    </w:p>
    <w:p w:rsidR="00196C6E" w:rsidRPr="000B79B9" w:rsidRDefault="00196C6E">
      <w:pPr>
        <w:pBdr>
          <w:top w:val="nil"/>
          <w:left w:val="nil"/>
          <w:bottom w:val="nil"/>
          <w:right w:val="nil"/>
          <w:between w:val="nil"/>
        </w:pBdr>
        <w:rPr>
          <w:rFonts w:ascii="Times New Roman" w:eastAsia="Arial" w:hAnsi="Times New Roman" w:cs="Times New Roman"/>
          <w:b/>
          <w:color w:val="000000"/>
          <w:sz w:val="26"/>
          <w:szCs w:val="26"/>
        </w:rPr>
      </w:pPr>
    </w:p>
    <w:p w:rsidR="00196C6E" w:rsidRPr="000B79B9" w:rsidRDefault="00196C6E">
      <w:pPr>
        <w:pBdr>
          <w:top w:val="nil"/>
          <w:left w:val="nil"/>
          <w:bottom w:val="nil"/>
          <w:right w:val="nil"/>
          <w:between w:val="nil"/>
        </w:pBdr>
        <w:rPr>
          <w:rFonts w:ascii="Times New Roman" w:eastAsia="Arial" w:hAnsi="Times New Roman" w:cs="Times New Roman"/>
          <w:b/>
          <w:color w:val="000000"/>
          <w:sz w:val="26"/>
          <w:szCs w:val="26"/>
        </w:rPr>
      </w:pPr>
    </w:p>
    <w:p w:rsidR="00196C6E" w:rsidRPr="000B79B9" w:rsidRDefault="00196C6E">
      <w:pPr>
        <w:pBdr>
          <w:top w:val="nil"/>
          <w:left w:val="nil"/>
          <w:bottom w:val="nil"/>
          <w:right w:val="nil"/>
          <w:between w:val="nil"/>
        </w:pBdr>
        <w:rPr>
          <w:rFonts w:ascii="Times New Roman" w:eastAsia="Arial" w:hAnsi="Times New Roman" w:cs="Times New Roman"/>
          <w:b/>
          <w:color w:val="000000"/>
          <w:sz w:val="26"/>
          <w:szCs w:val="26"/>
        </w:rPr>
      </w:pPr>
    </w:p>
    <w:p w:rsidR="00196C6E" w:rsidRPr="000B79B9" w:rsidRDefault="00196C6E">
      <w:pPr>
        <w:pBdr>
          <w:top w:val="nil"/>
          <w:left w:val="nil"/>
          <w:bottom w:val="nil"/>
          <w:right w:val="nil"/>
          <w:between w:val="nil"/>
        </w:pBdr>
        <w:rPr>
          <w:rFonts w:ascii="Times New Roman" w:eastAsia="Arial" w:hAnsi="Times New Roman" w:cs="Times New Roman"/>
          <w:b/>
          <w:color w:val="000000"/>
          <w:sz w:val="26"/>
          <w:szCs w:val="26"/>
        </w:rPr>
      </w:pPr>
    </w:p>
    <w:p w:rsidR="00196C6E" w:rsidRPr="000B79B9" w:rsidRDefault="00196C6E">
      <w:pPr>
        <w:pBdr>
          <w:top w:val="nil"/>
          <w:left w:val="nil"/>
          <w:bottom w:val="nil"/>
          <w:right w:val="nil"/>
          <w:between w:val="nil"/>
        </w:pBdr>
        <w:rPr>
          <w:rFonts w:ascii="Times New Roman" w:eastAsia="Arial" w:hAnsi="Times New Roman" w:cs="Times New Roman"/>
          <w:b/>
          <w:color w:val="000000"/>
          <w:sz w:val="26"/>
          <w:szCs w:val="26"/>
        </w:rPr>
      </w:pPr>
    </w:p>
    <w:p w:rsidR="00196C6E" w:rsidRPr="000B79B9" w:rsidRDefault="00196C6E">
      <w:pPr>
        <w:pBdr>
          <w:top w:val="nil"/>
          <w:left w:val="nil"/>
          <w:bottom w:val="nil"/>
          <w:right w:val="nil"/>
          <w:between w:val="nil"/>
        </w:pBdr>
        <w:rPr>
          <w:rFonts w:ascii="Times New Roman" w:eastAsia="Arial" w:hAnsi="Times New Roman" w:cs="Times New Roman"/>
          <w:b/>
          <w:color w:val="000000"/>
          <w:sz w:val="26"/>
          <w:szCs w:val="26"/>
        </w:rPr>
      </w:pPr>
    </w:p>
    <w:p w:rsidR="00196C6E" w:rsidRPr="000B79B9" w:rsidRDefault="00196C6E">
      <w:pPr>
        <w:pBdr>
          <w:top w:val="nil"/>
          <w:left w:val="nil"/>
          <w:bottom w:val="nil"/>
          <w:right w:val="nil"/>
          <w:between w:val="nil"/>
        </w:pBdr>
        <w:rPr>
          <w:rFonts w:ascii="Times New Roman" w:eastAsia="Arial" w:hAnsi="Times New Roman" w:cs="Times New Roman"/>
          <w:b/>
          <w:color w:val="000000"/>
          <w:sz w:val="26"/>
          <w:szCs w:val="26"/>
        </w:rPr>
      </w:pPr>
    </w:p>
    <w:p w:rsidR="00196C6E" w:rsidRPr="000B79B9" w:rsidRDefault="00196C6E">
      <w:pPr>
        <w:pBdr>
          <w:top w:val="nil"/>
          <w:left w:val="nil"/>
          <w:bottom w:val="nil"/>
          <w:right w:val="nil"/>
          <w:between w:val="nil"/>
        </w:pBdr>
        <w:rPr>
          <w:rFonts w:ascii="Times New Roman" w:eastAsia="Arial" w:hAnsi="Times New Roman" w:cs="Times New Roman"/>
          <w:b/>
          <w:color w:val="000000"/>
          <w:sz w:val="26"/>
          <w:szCs w:val="26"/>
        </w:rPr>
      </w:pPr>
    </w:p>
    <w:p w:rsidR="00196C6E" w:rsidRPr="000B79B9" w:rsidRDefault="00196C6E">
      <w:pPr>
        <w:pBdr>
          <w:top w:val="nil"/>
          <w:left w:val="nil"/>
          <w:bottom w:val="nil"/>
          <w:right w:val="nil"/>
          <w:between w:val="nil"/>
        </w:pBdr>
        <w:rPr>
          <w:rFonts w:ascii="Times New Roman" w:eastAsia="Arial" w:hAnsi="Times New Roman" w:cs="Times New Roman"/>
          <w:b/>
          <w:color w:val="000000"/>
          <w:sz w:val="26"/>
          <w:szCs w:val="26"/>
        </w:rPr>
      </w:pPr>
    </w:p>
    <w:p w:rsidR="00196C6E" w:rsidRPr="000B79B9" w:rsidRDefault="00B15061">
      <w:pPr>
        <w:pStyle w:val="Ttulo1"/>
        <w:spacing w:before="230"/>
        <w:ind w:left="222" w:right="744"/>
        <w:jc w:val="center"/>
        <w:rPr>
          <w:rFonts w:ascii="Times New Roman" w:hAnsi="Times New Roman" w:cs="Times New Roman"/>
        </w:rPr>
      </w:pPr>
      <w:r w:rsidRPr="000B79B9">
        <w:rPr>
          <w:rFonts w:ascii="Times New Roman" w:hAnsi="Times New Roman" w:cs="Times New Roman"/>
        </w:rPr>
        <w:t>CAMPINA GRANDE - PB</w:t>
      </w:r>
    </w:p>
    <w:p w:rsidR="00196C6E" w:rsidRPr="000B79B9" w:rsidRDefault="00B15061">
      <w:pPr>
        <w:spacing w:before="138"/>
        <w:ind w:left="222" w:right="477"/>
        <w:jc w:val="center"/>
        <w:rPr>
          <w:rFonts w:ascii="Times New Roman" w:eastAsia="Arial" w:hAnsi="Times New Roman" w:cs="Times New Roman"/>
          <w:b/>
          <w:sz w:val="24"/>
          <w:szCs w:val="24"/>
        </w:rPr>
        <w:sectPr w:rsidR="00196C6E" w:rsidRPr="000B79B9">
          <w:pgSz w:w="11907" w:h="16840"/>
          <w:pgMar w:top="1701" w:right="1134" w:bottom="1134" w:left="1701" w:header="720" w:footer="720" w:gutter="0"/>
          <w:pgNumType w:start="1"/>
          <w:cols w:space="720"/>
        </w:sectPr>
      </w:pPr>
      <w:r w:rsidRPr="000B79B9">
        <w:rPr>
          <w:rFonts w:ascii="Times New Roman" w:eastAsia="Arial" w:hAnsi="Times New Roman" w:cs="Times New Roman"/>
          <w:b/>
          <w:sz w:val="24"/>
          <w:szCs w:val="24"/>
        </w:rPr>
        <w:t>2023</w:t>
      </w:r>
    </w:p>
    <w:p w:rsidR="00196C6E" w:rsidRPr="000B79B9" w:rsidRDefault="00B15061">
      <w:pPr>
        <w:widowControl/>
        <w:pBdr>
          <w:top w:val="nil"/>
          <w:left w:val="nil"/>
          <w:bottom w:val="nil"/>
          <w:right w:val="nil"/>
          <w:between w:val="nil"/>
        </w:pBdr>
        <w:tabs>
          <w:tab w:val="left" w:pos="708"/>
        </w:tabs>
        <w:spacing w:line="360" w:lineRule="auto"/>
        <w:jc w:val="center"/>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lastRenderedPageBreak/>
        <w:t>FLÁVIA TELES FERNANDES COSTA</w:t>
      </w:r>
    </w:p>
    <w:p w:rsidR="00196C6E" w:rsidRPr="000B79B9" w:rsidRDefault="00196C6E">
      <w:pPr>
        <w:widowControl/>
        <w:pBdr>
          <w:top w:val="nil"/>
          <w:left w:val="nil"/>
          <w:bottom w:val="nil"/>
          <w:right w:val="nil"/>
          <w:between w:val="nil"/>
        </w:pBdr>
        <w:tabs>
          <w:tab w:val="left" w:pos="708"/>
        </w:tabs>
        <w:spacing w:line="360" w:lineRule="auto"/>
        <w:jc w:val="center"/>
        <w:rPr>
          <w:rFonts w:ascii="Times New Roman" w:eastAsia="Arial" w:hAnsi="Times New Roman" w:cs="Times New Roman"/>
          <w:color w:val="000000"/>
          <w:sz w:val="24"/>
          <w:szCs w:val="24"/>
        </w:rPr>
      </w:pPr>
    </w:p>
    <w:p w:rsidR="00196C6E" w:rsidRPr="000B79B9" w:rsidRDefault="00196C6E">
      <w:pPr>
        <w:widowControl/>
        <w:pBdr>
          <w:top w:val="nil"/>
          <w:left w:val="nil"/>
          <w:bottom w:val="nil"/>
          <w:right w:val="nil"/>
          <w:between w:val="nil"/>
        </w:pBdr>
        <w:tabs>
          <w:tab w:val="left" w:pos="708"/>
        </w:tabs>
        <w:spacing w:line="360" w:lineRule="auto"/>
        <w:jc w:val="center"/>
        <w:rPr>
          <w:rFonts w:ascii="Times New Roman" w:eastAsia="Arial" w:hAnsi="Times New Roman" w:cs="Times New Roman"/>
          <w:color w:val="000000"/>
          <w:sz w:val="24"/>
          <w:szCs w:val="24"/>
        </w:rPr>
      </w:pPr>
    </w:p>
    <w:p w:rsidR="00196C6E" w:rsidRPr="000B79B9" w:rsidRDefault="00196C6E">
      <w:pPr>
        <w:widowControl/>
        <w:pBdr>
          <w:top w:val="nil"/>
          <w:left w:val="nil"/>
          <w:bottom w:val="nil"/>
          <w:right w:val="nil"/>
          <w:between w:val="nil"/>
        </w:pBdr>
        <w:tabs>
          <w:tab w:val="left" w:pos="708"/>
        </w:tabs>
        <w:spacing w:line="360" w:lineRule="auto"/>
        <w:jc w:val="center"/>
        <w:rPr>
          <w:rFonts w:ascii="Times New Roman" w:eastAsia="Arial" w:hAnsi="Times New Roman" w:cs="Times New Roman"/>
          <w:color w:val="000000"/>
          <w:sz w:val="24"/>
          <w:szCs w:val="24"/>
        </w:rPr>
      </w:pPr>
    </w:p>
    <w:p w:rsidR="00196C6E" w:rsidRPr="000B79B9" w:rsidRDefault="00196C6E">
      <w:pPr>
        <w:widowControl/>
        <w:pBdr>
          <w:top w:val="nil"/>
          <w:left w:val="nil"/>
          <w:bottom w:val="nil"/>
          <w:right w:val="nil"/>
          <w:between w:val="nil"/>
        </w:pBdr>
        <w:tabs>
          <w:tab w:val="left" w:pos="708"/>
        </w:tabs>
        <w:spacing w:line="360" w:lineRule="auto"/>
        <w:jc w:val="center"/>
        <w:rPr>
          <w:rFonts w:ascii="Times New Roman" w:eastAsia="Arial" w:hAnsi="Times New Roman" w:cs="Times New Roman"/>
          <w:color w:val="000000"/>
          <w:sz w:val="24"/>
          <w:szCs w:val="24"/>
        </w:rPr>
      </w:pPr>
    </w:p>
    <w:p w:rsidR="00196C6E" w:rsidRPr="000B79B9" w:rsidRDefault="00196C6E">
      <w:pPr>
        <w:widowControl/>
        <w:pBdr>
          <w:top w:val="nil"/>
          <w:left w:val="nil"/>
          <w:bottom w:val="nil"/>
          <w:right w:val="nil"/>
          <w:between w:val="nil"/>
        </w:pBdr>
        <w:tabs>
          <w:tab w:val="left" w:pos="708"/>
        </w:tabs>
        <w:spacing w:line="360" w:lineRule="auto"/>
        <w:jc w:val="center"/>
        <w:rPr>
          <w:rFonts w:ascii="Times New Roman" w:eastAsia="Arial" w:hAnsi="Times New Roman" w:cs="Times New Roman"/>
          <w:color w:val="000000"/>
          <w:sz w:val="24"/>
          <w:szCs w:val="24"/>
        </w:rPr>
      </w:pPr>
    </w:p>
    <w:p w:rsidR="00196C6E" w:rsidRPr="000B79B9" w:rsidRDefault="00B15061">
      <w:pPr>
        <w:widowControl/>
        <w:pBdr>
          <w:top w:val="nil"/>
          <w:left w:val="nil"/>
          <w:bottom w:val="nil"/>
          <w:right w:val="nil"/>
          <w:between w:val="nil"/>
        </w:pBdr>
        <w:tabs>
          <w:tab w:val="left" w:pos="708"/>
        </w:tabs>
        <w:spacing w:line="360" w:lineRule="auto"/>
        <w:jc w:val="center"/>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O DIREITO AO ESQUECIMENTO E A EXCLUSÃO DE DADOS PESSOAIS NA LGPD: ANÁLISE À LUZ DO TEMA N.º 786 DO STF</w:t>
      </w:r>
    </w:p>
    <w:p w:rsidR="00196C6E" w:rsidRPr="000B79B9" w:rsidRDefault="00196C6E">
      <w:pPr>
        <w:pBdr>
          <w:top w:val="nil"/>
          <w:left w:val="nil"/>
          <w:bottom w:val="nil"/>
          <w:right w:val="nil"/>
          <w:between w:val="nil"/>
        </w:pBdr>
        <w:rPr>
          <w:rFonts w:ascii="Times New Roman" w:hAnsi="Times New Roman" w:cs="Times New Roman"/>
          <w:color w:val="000000"/>
          <w:sz w:val="26"/>
          <w:szCs w:val="26"/>
        </w:rPr>
      </w:pPr>
    </w:p>
    <w:p w:rsidR="00196C6E" w:rsidRPr="000B79B9" w:rsidRDefault="00196C6E">
      <w:pPr>
        <w:pBdr>
          <w:top w:val="nil"/>
          <w:left w:val="nil"/>
          <w:bottom w:val="nil"/>
          <w:right w:val="nil"/>
          <w:between w:val="nil"/>
        </w:pBdr>
        <w:rPr>
          <w:rFonts w:ascii="Times New Roman" w:hAnsi="Times New Roman" w:cs="Times New Roman"/>
          <w:color w:val="000000"/>
          <w:sz w:val="26"/>
          <w:szCs w:val="26"/>
        </w:rPr>
      </w:pPr>
    </w:p>
    <w:p w:rsidR="00196C6E" w:rsidRPr="000B79B9" w:rsidRDefault="00196C6E">
      <w:pPr>
        <w:pBdr>
          <w:top w:val="nil"/>
          <w:left w:val="nil"/>
          <w:bottom w:val="nil"/>
          <w:right w:val="nil"/>
          <w:between w:val="nil"/>
        </w:pBdr>
        <w:rPr>
          <w:rFonts w:ascii="Times New Roman" w:hAnsi="Times New Roman" w:cs="Times New Roman"/>
          <w:color w:val="000000"/>
          <w:sz w:val="26"/>
          <w:szCs w:val="26"/>
        </w:rPr>
      </w:pPr>
    </w:p>
    <w:p w:rsidR="00196C6E" w:rsidRPr="000B79B9" w:rsidRDefault="00196C6E">
      <w:pPr>
        <w:pBdr>
          <w:top w:val="nil"/>
          <w:left w:val="nil"/>
          <w:bottom w:val="nil"/>
          <w:right w:val="nil"/>
          <w:between w:val="nil"/>
        </w:pBdr>
        <w:rPr>
          <w:rFonts w:ascii="Times New Roman" w:hAnsi="Times New Roman" w:cs="Times New Roman"/>
          <w:color w:val="000000"/>
          <w:sz w:val="26"/>
          <w:szCs w:val="26"/>
        </w:rPr>
      </w:pPr>
    </w:p>
    <w:p w:rsidR="00196C6E" w:rsidRPr="000B79B9" w:rsidRDefault="00196C6E">
      <w:pPr>
        <w:pBdr>
          <w:top w:val="nil"/>
          <w:left w:val="nil"/>
          <w:bottom w:val="nil"/>
          <w:right w:val="nil"/>
          <w:between w:val="nil"/>
        </w:pBdr>
        <w:rPr>
          <w:rFonts w:ascii="Times New Roman" w:hAnsi="Times New Roman" w:cs="Times New Roman"/>
          <w:color w:val="000000"/>
          <w:sz w:val="26"/>
          <w:szCs w:val="26"/>
        </w:rPr>
      </w:pPr>
    </w:p>
    <w:p w:rsidR="00196C6E" w:rsidRPr="000B79B9" w:rsidRDefault="00196C6E">
      <w:pPr>
        <w:pBdr>
          <w:top w:val="nil"/>
          <w:left w:val="nil"/>
          <w:bottom w:val="nil"/>
          <w:right w:val="nil"/>
          <w:between w:val="nil"/>
        </w:pBdr>
        <w:rPr>
          <w:rFonts w:ascii="Times New Roman" w:hAnsi="Times New Roman" w:cs="Times New Roman"/>
          <w:color w:val="000000"/>
          <w:sz w:val="26"/>
          <w:szCs w:val="26"/>
        </w:rPr>
      </w:pPr>
    </w:p>
    <w:p w:rsidR="00196C6E" w:rsidRPr="000B79B9" w:rsidRDefault="00196C6E">
      <w:pPr>
        <w:pBdr>
          <w:top w:val="nil"/>
          <w:left w:val="nil"/>
          <w:bottom w:val="nil"/>
          <w:right w:val="nil"/>
          <w:between w:val="nil"/>
        </w:pBdr>
        <w:rPr>
          <w:rFonts w:ascii="Times New Roman" w:hAnsi="Times New Roman" w:cs="Times New Roman"/>
          <w:color w:val="000000"/>
          <w:sz w:val="26"/>
          <w:szCs w:val="26"/>
        </w:rPr>
      </w:pPr>
    </w:p>
    <w:p w:rsidR="00196C6E" w:rsidRPr="000B79B9" w:rsidRDefault="00196C6E">
      <w:pPr>
        <w:pBdr>
          <w:top w:val="nil"/>
          <w:left w:val="nil"/>
          <w:bottom w:val="nil"/>
          <w:right w:val="nil"/>
          <w:between w:val="nil"/>
        </w:pBdr>
        <w:rPr>
          <w:rFonts w:ascii="Times New Roman" w:hAnsi="Times New Roman" w:cs="Times New Roman"/>
          <w:color w:val="000000"/>
          <w:sz w:val="26"/>
          <w:szCs w:val="26"/>
        </w:rPr>
      </w:pPr>
    </w:p>
    <w:p w:rsidR="00196C6E" w:rsidRPr="000B79B9" w:rsidRDefault="00196C6E">
      <w:pPr>
        <w:pBdr>
          <w:top w:val="nil"/>
          <w:left w:val="nil"/>
          <w:bottom w:val="nil"/>
          <w:right w:val="nil"/>
          <w:between w:val="nil"/>
        </w:pBdr>
        <w:rPr>
          <w:rFonts w:ascii="Times New Roman" w:hAnsi="Times New Roman" w:cs="Times New Roman"/>
          <w:color w:val="000000"/>
          <w:sz w:val="26"/>
          <w:szCs w:val="26"/>
        </w:rPr>
      </w:pPr>
    </w:p>
    <w:p w:rsidR="00196C6E" w:rsidRPr="000B79B9" w:rsidRDefault="00196C6E">
      <w:pPr>
        <w:pBdr>
          <w:top w:val="nil"/>
          <w:left w:val="nil"/>
          <w:bottom w:val="nil"/>
          <w:right w:val="nil"/>
          <w:between w:val="nil"/>
        </w:pBdr>
        <w:rPr>
          <w:rFonts w:ascii="Times New Roman" w:hAnsi="Times New Roman" w:cs="Times New Roman"/>
          <w:color w:val="000000"/>
          <w:sz w:val="26"/>
          <w:szCs w:val="26"/>
        </w:rPr>
      </w:pPr>
    </w:p>
    <w:p w:rsidR="00196C6E" w:rsidRPr="000B79B9" w:rsidRDefault="00196C6E">
      <w:pPr>
        <w:pBdr>
          <w:top w:val="nil"/>
          <w:left w:val="nil"/>
          <w:bottom w:val="nil"/>
          <w:right w:val="nil"/>
          <w:between w:val="nil"/>
        </w:pBdr>
        <w:rPr>
          <w:rFonts w:ascii="Times New Roman" w:hAnsi="Times New Roman" w:cs="Times New Roman"/>
          <w:color w:val="000000"/>
          <w:sz w:val="26"/>
          <w:szCs w:val="26"/>
        </w:rPr>
      </w:pPr>
    </w:p>
    <w:p w:rsidR="00196C6E" w:rsidRPr="000B79B9" w:rsidRDefault="00B15061">
      <w:pPr>
        <w:widowControl/>
        <w:pBdr>
          <w:top w:val="nil"/>
          <w:left w:val="nil"/>
          <w:bottom w:val="nil"/>
          <w:right w:val="nil"/>
          <w:between w:val="nil"/>
        </w:pBdr>
        <w:tabs>
          <w:tab w:val="left" w:pos="708"/>
        </w:tabs>
        <w:spacing w:line="276" w:lineRule="auto"/>
        <w:ind w:left="4536"/>
        <w:jc w:val="both"/>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Trabalho de Conclusão de Curso - Artigo Científico – apresentado como pré- requisito para a obtenção do título de Bacharel em Direito pela UniFacisa – Centro Universitário.</w:t>
      </w:r>
    </w:p>
    <w:p w:rsidR="00196C6E" w:rsidRPr="000B79B9" w:rsidRDefault="00B15061">
      <w:pPr>
        <w:widowControl/>
        <w:pBdr>
          <w:top w:val="nil"/>
          <w:left w:val="nil"/>
          <w:bottom w:val="nil"/>
          <w:right w:val="nil"/>
          <w:between w:val="nil"/>
        </w:pBdr>
        <w:tabs>
          <w:tab w:val="left" w:pos="708"/>
        </w:tabs>
        <w:spacing w:line="276" w:lineRule="auto"/>
        <w:ind w:left="4536"/>
        <w:jc w:val="both"/>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Área de Concentração: Direito Privado.</w:t>
      </w:r>
    </w:p>
    <w:p w:rsidR="00196C6E" w:rsidRPr="000B79B9" w:rsidRDefault="00B15061">
      <w:pPr>
        <w:widowControl/>
        <w:pBdr>
          <w:top w:val="nil"/>
          <w:left w:val="nil"/>
          <w:bottom w:val="nil"/>
          <w:right w:val="nil"/>
          <w:between w:val="nil"/>
        </w:pBdr>
        <w:tabs>
          <w:tab w:val="left" w:pos="708"/>
        </w:tabs>
        <w:ind w:left="4536"/>
        <w:jc w:val="both"/>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Linha de Pesquisa: Direitos Fundamentais e Garantias Constitucionais; Direito, Tecnologia e Inovação. Direito da Personalidade, Imagem e Privacidade;</w:t>
      </w:r>
    </w:p>
    <w:p w:rsidR="00196C6E" w:rsidRPr="000B79B9" w:rsidRDefault="00B15061">
      <w:pPr>
        <w:widowControl/>
        <w:pBdr>
          <w:top w:val="nil"/>
          <w:left w:val="nil"/>
          <w:bottom w:val="nil"/>
          <w:right w:val="nil"/>
          <w:between w:val="nil"/>
        </w:pBdr>
        <w:tabs>
          <w:tab w:val="left" w:pos="708"/>
        </w:tabs>
        <w:spacing w:line="276" w:lineRule="auto"/>
        <w:ind w:left="4536"/>
        <w:jc w:val="both"/>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Orientado</w:t>
      </w:r>
      <w:r w:rsidR="00AD24ED" w:rsidRPr="000B79B9">
        <w:rPr>
          <w:rFonts w:ascii="Times New Roman" w:eastAsia="Arial" w:hAnsi="Times New Roman" w:cs="Times New Roman"/>
          <w:color w:val="000000"/>
          <w:sz w:val="24"/>
          <w:szCs w:val="24"/>
        </w:rPr>
        <w:t>r: Prof.º da UniFacisa, Dr. Antô</w:t>
      </w:r>
      <w:r w:rsidRPr="000B79B9">
        <w:rPr>
          <w:rFonts w:ascii="Times New Roman" w:eastAsia="Arial" w:hAnsi="Times New Roman" w:cs="Times New Roman"/>
          <w:color w:val="000000"/>
          <w:sz w:val="24"/>
          <w:szCs w:val="24"/>
        </w:rPr>
        <w:t>nio Pedro de Mélo Netto.</w:t>
      </w:r>
    </w:p>
    <w:p w:rsidR="00196C6E" w:rsidRPr="000B79B9" w:rsidRDefault="00196C6E">
      <w:pPr>
        <w:widowControl/>
        <w:pBdr>
          <w:top w:val="nil"/>
          <w:left w:val="nil"/>
          <w:bottom w:val="nil"/>
          <w:right w:val="nil"/>
          <w:between w:val="nil"/>
        </w:pBdr>
        <w:tabs>
          <w:tab w:val="left" w:pos="708"/>
        </w:tabs>
        <w:spacing w:line="276" w:lineRule="auto"/>
        <w:ind w:left="4536"/>
        <w:jc w:val="both"/>
        <w:rPr>
          <w:rFonts w:ascii="Times New Roman" w:eastAsia="Arial" w:hAnsi="Times New Roman" w:cs="Times New Roman"/>
          <w:color w:val="000000"/>
          <w:sz w:val="24"/>
          <w:szCs w:val="24"/>
        </w:rPr>
      </w:pPr>
    </w:p>
    <w:p w:rsidR="00196C6E" w:rsidRPr="000B79B9" w:rsidRDefault="00196C6E">
      <w:pPr>
        <w:widowControl/>
        <w:pBdr>
          <w:top w:val="nil"/>
          <w:left w:val="nil"/>
          <w:bottom w:val="nil"/>
          <w:right w:val="nil"/>
          <w:between w:val="nil"/>
        </w:pBdr>
        <w:tabs>
          <w:tab w:val="left" w:pos="708"/>
        </w:tabs>
        <w:spacing w:line="360" w:lineRule="auto"/>
        <w:jc w:val="both"/>
        <w:rPr>
          <w:rFonts w:ascii="Times New Roman" w:eastAsia="Arial" w:hAnsi="Times New Roman" w:cs="Times New Roman"/>
          <w:color w:val="000000"/>
          <w:sz w:val="24"/>
          <w:szCs w:val="24"/>
        </w:rPr>
      </w:pPr>
    </w:p>
    <w:p w:rsidR="00196C6E" w:rsidRPr="000B79B9" w:rsidRDefault="00196C6E">
      <w:pPr>
        <w:widowControl/>
        <w:pBdr>
          <w:top w:val="nil"/>
          <w:left w:val="nil"/>
          <w:bottom w:val="nil"/>
          <w:right w:val="nil"/>
          <w:between w:val="nil"/>
        </w:pBdr>
        <w:tabs>
          <w:tab w:val="left" w:pos="708"/>
        </w:tabs>
        <w:spacing w:line="360" w:lineRule="auto"/>
        <w:jc w:val="both"/>
        <w:rPr>
          <w:rFonts w:ascii="Times New Roman" w:eastAsia="Arial" w:hAnsi="Times New Roman" w:cs="Times New Roman"/>
          <w:color w:val="000000"/>
          <w:sz w:val="24"/>
          <w:szCs w:val="24"/>
        </w:rPr>
      </w:pPr>
    </w:p>
    <w:p w:rsidR="00196C6E" w:rsidRPr="000B79B9" w:rsidRDefault="00196C6E">
      <w:pPr>
        <w:widowControl/>
        <w:pBdr>
          <w:top w:val="nil"/>
          <w:left w:val="nil"/>
          <w:bottom w:val="nil"/>
          <w:right w:val="nil"/>
          <w:between w:val="nil"/>
        </w:pBdr>
        <w:tabs>
          <w:tab w:val="left" w:pos="708"/>
        </w:tabs>
        <w:spacing w:line="360" w:lineRule="auto"/>
        <w:jc w:val="both"/>
        <w:rPr>
          <w:rFonts w:ascii="Times New Roman" w:eastAsia="Arial" w:hAnsi="Times New Roman" w:cs="Times New Roman"/>
          <w:color w:val="000000"/>
          <w:sz w:val="24"/>
          <w:szCs w:val="24"/>
        </w:rPr>
      </w:pPr>
    </w:p>
    <w:p w:rsidR="00196C6E" w:rsidRPr="000B79B9" w:rsidRDefault="00196C6E">
      <w:pPr>
        <w:widowControl/>
        <w:pBdr>
          <w:top w:val="nil"/>
          <w:left w:val="nil"/>
          <w:bottom w:val="nil"/>
          <w:right w:val="nil"/>
          <w:between w:val="nil"/>
        </w:pBdr>
        <w:tabs>
          <w:tab w:val="left" w:pos="708"/>
        </w:tabs>
        <w:spacing w:line="360" w:lineRule="auto"/>
        <w:jc w:val="both"/>
        <w:rPr>
          <w:rFonts w:ascii="Times New Roman" w:eastAsia="Arial" w:hAnsi="Times New Roman" w:cs="Times New Roman"/>
          <w:color w:val="000000"/>
          <w:sz w:val="24"/>
          <w:szCs w:val="24"/>
        </w:rPr>
      </w:pPr>
    </w:p>
    <w:p w:rsidR="00196C6E" w:rsidRPr="000B79B9" w:rsidRDefault="00196C6E">
      <w:pPr>
        <w:widowControl/>
        <w:pBdr>
          <w:top w:val="nil"/>
          <w:left w:val="nil"/>
          <w:bottom w:val="nil"/>
          <w:right w:val="nil"/>
          <w:between w:val="nil"/>
        </w:pBdr>
        <w:tabs>
          <w:tab w:val="left" w:pos="708"/>
        </w:tabs>
        <w:spacing w:line="360" w:lineRule="auto"/>
        <w:jc w:val="both"/>
        <w:rPr>
          <w:rFonts w:ascii="Times New Roman" w:eastAsia="Arial" w:hAnsi="Times New Roman" w:cs="Times New Roman"/>
          <w:color w:val="000000"/>
          <w:sz w:val="24"/>
          <w:szCs w:val="24"/>
        </w:rPr>
      </w:pPr>
    </w:p>
    <w:p w:rsidR="00196C6E" w:rsidRDefault="00196C6E">
      <w:pPr>
        <w:widowControl/>
        <w:pBdr>
          <w:top w:val="nil"/>
          <w:left w:val="nil"/>
          <w:bottom w:val="nil"/>
          <w:right w:val="nil"/>
          <w:between w:val="nil"/>
        </w:pBdr>
        <w:tabs>
          <w:tab w:val="left" w:pos="708"/>
        </w:tabs>
        <w:spacing w:line="360" w:lineRule="auto"/>
        <w:jc w:val="both"/>
        <w:rPr>
          <w:rFonts w:ascii="Times New Roman" w:eastAsia="Arial" w:hAnsi="Times New Roman" w:cs="Times New Roman"/>
          <w:color w:val="000000"/>
          <w:sz w:val="24"/>
          <w:szCs w:val="24"/>
        </w:rPr>
      </w:pPr>
    </w:p>
    <w:p w:rsidR="000B79B9" w:rsidRPr="000B79B9" w:rsidRDefault="000B79B9">
      <w:pPr>
        <w:widowControl/>
        <w:pBdr>
          <w:top w:val="nil"/>
          <w:left w:val="nil"/>
          <w:bottom w:val="nil"/>
          <w:right w:val="nil"/>
          <w:between w:val="nil"/>
        </w:pBdr>
        <w:tabs>
          <w:tab w:val="left" w:pos="708"/>
        </w:tabs>
        <w:spacing w:line="360" w:lineRule="auto"/>
        <w:jc w:val="both"/>
        <w:rPr>
          <w:rFonts w:ascii="Times New Roman" w:eastAsia="Arial" w:hAnsi="Times New Roman" w:cs="Times New Roman"/>
          <w:color w:val="000000"/>
          <w:sz w:val="24"/>
          <w:szCs w:val="24"/>
        </w:rPr>
      </w:pPr>
    </w:p>
    <w:p w:rsidR="00196C6E" w:rsidRPr="000B79B9" w:rsidRDefault="00B15061">
      <w:pPr>
        <w:widowControl/>
        <w:pBdr>
          <w:top w:val="nil"/>
          <w:left w:val="nil"/>
          <w:bottom w:val="nil"/>
          <w:right w:val="nil"/>
          <w:between w:val="nil"/>
        </w:pBdr>
        <w:tabs>
          <w:tab w:val="left" w:pos="708"/>
        </w:tabs>
        <w:spacing w:line="360" w:lineRule="auto"/>
        <w:jc w:val="center"/>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Campina Grande – PB</w:t>
      </w:r>
    </w:p>
    <w:p w:rsidR="00196C6E" w:rsidRPr="000B79B9" w:rsidRDefault="00B15061">
      <w:pPr>
        <w:widowControl/>
        <w:pBdr>
          <w:top w:val="nil"/>
          <w:left w:val="nil"/>
          <w:bottom w:val="nil"/>
          <w:right w:val="nil"/>
          <w:between w:val="nil"/>
        </w:pBdr>
        <w:tabs>
          <w:tab w:val="left" w:pos="708"/>
        </w:tabs>
        <w:spacing w:line="360" w:lineRule="auto"/>
        <w:jc w:val="center"/>
        <w:rPr>
          <w:rFonts w:ascii="Times New Roman" w:eastAsia="Arial" w:hAnsi="Times New Roman" w:cs="Times New Roman"/>
          <w:color w:val="000000"/>
          <w:sz w:val="24"/>
          <w:szCs w:val="24"/>
        </w:rPr>
        <w:sectPr w:rsidR="00196C6E" w:rsidRPr="000B79B9">
          <w:type w:val="continuous"/>
          <w:pgSz w:w="11907" w:h="16840"/>
          <w:pgMar w:top="1701" w:right="1134" w:bottom="1134" w:left="1701" w:header="720" w:footer="720" w:gutter="0"/>
          <w:cols w:space="720"/>
        </w:sectPr>
      </w:pPr>
      <w:r w:rsidRPr="000B79B9">
        <w:rPr>
          <w:rFonts w:ascii="Times New Roman" w:eastAsia="Arial" w:hAnsi="Times New Roman" w:cs="Times New Roman"/>
          <w:color w:val="000000"/>
          <w:sz w:val="24"/>
          <w:szCs w:val="24"/>
        </w:rPr>
        <w:t>2023</w:t>
      </w:r>
    </w:p>
    <w:p w:rsidR="00F15BFD" w:rsidRPr="000B79B9" w:rsidRDefault="00F15BFD" w:rsidP="00F15BFD">
      <w:pPr>
        <w:pBdr>
          <w:top w:val="nil"/>
          <w:left w:val="nil"/>
          <w:bottom w:val="nil"/>
          <w:right w:val="nil"/>
          <w:between w:val="nil"/>
        </w:pBdr>
        <w:jc w:val="center"/>
        <w:rPr>
          <w:rFonts w:ascii="Times New Roman" w:eastAsia="Arial" w:hAnsi="Times New Roman" w:cs="Times New Roman"/>
          <w:color w:val="000000"/>
          <w:sz w:val="24"/>
          <w:szCs w:val="24"/>
        </w:rPr>
      </w:pPr>
    </w:p>
    <w:p w:rsidR="00F15BFD" w:rsidRPr="000B79B9" w:rsidRDefault="00F15BFD" w:rsidP="00F15BFD">
      <w:pPr>
        <w:pBdr>
          <w:top w:val="nil"/>
          <w:left w:val="nil"/>
          <w:bottom w:val="nil"/>
          <w:right w:val="nil"/>
          <w:between w:val="nil"/>
        </w:pBdr>
        <w:jc w:val="center"/>
        <w:rPr>
          <w:rFonts w:ascii="Times New Roman" w:eastAsia="Arial" w:hAnsi="Times New Roman" w:cs="Times New Roman"/>
          <w:color w:val="000000"/>
          <w:sz w:val="24"/>
          <w:szCs w:val="24"/>
        </w:rPr>
      </w:pPr>
    </w:p>
    <w:p w:rsidR="00F15BFD" w:rsidRPr="000B79B9" w:rsidRDefault="00F15BFD" w:rsidP="00F15BFD">
      <w:pPr>
        <w:pBdr>
          <w:top w:val="nil"/>
          <w:left w:val="nil"/>
          <w:bottom w:val="nil"/>
          <w:right w:val="nil"/>
          <w:between w:val="nil"/>
        </w:pBdr>
        <w:jc w:val="center"/>
        <w:rPr>
          <w:rFonts w:ascii="Times New Roman" w:eastAsia="Arial" w:hAnsi="Times New Roman" w:cs="Times New Roman"/>
          <w:color w:val="000000"/>
          <w:sz w:val="24"/>
          <w:szCs w:val="24"/>
        </w:rPr>
      </w:pPr>
    </w:p>
    <w:p w:rsidR="00F15BFD" w:rsidRPr="000B79B9" w:rsidRDefault="00F15BFD" w:rsidP="00F15BFD">
      <w:pPr>
        <w:pBdr>
          <w:top w:val="nil"/>
          <w:left w:val="nil"/>
          <w:bottom w:val="nil"/>
          <w:right w:val="nil"/>
          <w:between w:val="nil"/>
        </w:pBdr>
        <w:jc w:val="center"/>
        <w:rPr>
          <w:rFonts w:ascii="Times New Roman" w:eastAsia="Arial" w:hAnsi="Times New Roman" w:cs="Times New Roman"/>
          <w:color w:val="000000"/>
          <w:sz w:val="24"/>
          <w:szCs w:val="24"/>
        </w:rPr>
      </w:pPr>
    </w:p>
    <w:p w:rsidR="00F15BFD" w:rsidRPr="000B79B9" w:rsidRDefault="00F15BFD" w:rsidP="00F15BFD">
      <w:pPr>
        <w:pBdr>
          <w:top w:val="nil"/>
          <w:left w:val="nil"/>
          <w:bottom w:val="nil"/>
          <w:right w:val="nil"/>
          <w:between w:val="nil"/>
        </w:pBdr>
        <w:jc w:val="center"/>
        <w:rPr>
          <w:rFonts w:ascii="Times New Roman" w:eastAsia="Arial" w:hAnsi="Times New Roman" w:cs="Times New Roman"/>
          <w:color w:val="000000"/>
          <w:sz w:val="24"/>
          <w:szCs w:val="24"/>
        </w:rPr>
      </w:pPr>
    </w:p>
    <w:p w:rsidR="00F15BFD" w:rsidRPr="000B79B9" w:rsidRDefault="00F15BFD" w:rsidP="00F15BFD">
      <w:pPr>
        <w:pBdr>
          <w:top w:val="nil"/>
          <w:left w:val="nil"/>
          <w:bottom w:val="nil"/>
          <w:right w:val="nil"/>
          <w:between w:val="nil"/>
        </w:pBdr>
        <w:jc w:val="center"/>
        <w:rPr>
          <w:rFonts w:ascii="Times New Roman" w:eastAsia="Arial" w:hAnsi="Times New Roman" w:cs="Times New Roman"/>
          <w:color w:val="000000"/>
          <w:sz w:val="24"/>
          <w:szCs w:val="24"/>
        </w:rPr>
      </w:pPr>
    </w:p>
    <w:p w:rsidR="00F15BFD" w:rsidRPr="000B79B9" w:rsidRDefault="00F15BFD" w:rsidP="00F15BFD">
      <w:pPr>
        <w:pBdr>
          <w:top w:val="nil"/>
          <w:left w:val="nil"/>
          <w:bottom w:val="nil"/>
          <w:right w:val="nil"/>
          <w:between w:val="nil"/>
        </w:pBdr>
        <w:jc w:val="center"/>
        <w:rPr>
          <w:rFonts w:ascii="Times New Roman" w:eastAsia="Arial" w:hAnsi="Times New Roman" w:cs="Times New Roman"/>
          <w:color w:val="000000"/>
          <w:sz w:val="24"/>
          <w:szCs w:val="24"/>
        </w:rPr>
      </w:pPr>
    </w:p>
    <w:p w:rsidR="00F15BFD" w:rsidRPr="000B79B9" w:rsidRDefault="00F15BFD" w:rsidP="00F15BFD">
      <w:pPr>
        <w:pBdr>
          <w:top w:val="nil"/>
          <w:left w:val="nil"/>
          <w:bottom w:val="nil"/>
          <w:right w:val="nil"/>
          <w:between w:val="nil"/>
        </w:pBdr>
        <w:jc w:val="center"/>
        <w:rPr>
          <w:rFonts w:ascii="Times New Roman" w:eastAsia="Arial" w:hAnsi="Times New Roman" w:cs="Times New Roman"/>
          <w:color w:val="000000"/>
          <w:sz w:val="24"/>
          <w:szCs w:val="24"/>
        </w:rPr>
      </w:pPr>
    </w:p>
    <w:p w:rsidR="00F15BFD" w:rsidRPr="000B79B9" w:rsidRDefault="00F15BFD" w:rsidP="00F15BFD">
      <w:pPr>
        <w:pBdr>
          <w:top w:val="nil"/>
          <w:left w:val="nil"/>
          <w:bottom w:val="nil"/>
          <w:right w:val="nil"/>
          <w:between w:val="nil"/>
        </w:pBdr>
        <w:jc w:val="center"/>
        <w:rPr>
          <w:rFonts w:ascii="Times New Roman" w:eastAsia="Arial" w:hAnsi="Times New Roman" w:cs="Times New Roman"/>
          <w:color w:val="000000"/>
          <w:sz w:val="24"/>
          <w:szCs w:val="24"/>
        </w:rPr>
      </w:pPr>
    </w:p>
    <w:p w:rsidR="00F15BFD" w:rsidRPr="000B79B9" w:rsidRDefault="00F15BFD" w:rsidP="00F15BFD">
      <w:pPr>
        <w:pBdr>
          <w:top w:val="nil"/>
          <w:left w:val="nil"/>
          <w:bottom w:val="nil"/>
          <w:right w:val="nil"/>
          <w:between w:val="nil"/>
        </w:pBdr>
        <w:jc w:val="center"/>
        <w:rPr>
          <w:rFonts w:ascii="Times New Roman" w:eastAsia="Arial" w:hAnsi="Times New Roman" w:cs="Times New Roman"/>
          <w:color w:val="000000"/>
          <w:sz w:val="24"/>
          <w:szCs w:val="24"/>
        </w:rPr>
      </w:pPr>
    </w:p>
    <w:p w:rsidR="00F15BFD" w:rsidRPr="000B79B9" w:rsidRDefault="00F15BFD" w:rsidP="00F15BFD">
      <w:pPr>
        <w:pBdr>
          <w:top w:val="nil"/>
          <w:left w:val="nil"/>
          <w:bottom w:val="nil"/>
          <w:right w:val="nil"/>
          <w:between w:val="nil"/>
        </w:pBdr>
        <w:jc w:val="center"/>
        <w:rPr>
          <w:rFonts w:ascii="Times New Roman" w:eastAsia="Arial" w:hAnsi="Times New Roman" w:cs="Times New Roman"/>
          <w:color w:val="000000"/>
          <w:sz w:val="24"/>
          <w:szCs w:val="24"/>
        </w:rPr>
      </w:pPr>
    </w:p>
    <w:p w:rsidR="00F15BFD" w:rsidRPr="000B79B9" w:rsidRDefault="00F15BFD" w:rsidP="00F15BFD">
      <w:pPr>
        <w:pBdr>
          <w:top w:val="nil"/>
          <w:left w:val="nil"/>
          <w:bottom w:val="nil"/>
          <w:right w:val="nil"/>
          <w:between w:val="nil"/>
        </w:pBdr>
        <w:jc w:val="center"/>
        <w:rPr>
          <w:rFonts w:ascii="Times New Roman" w:eastAsia="Arial" w:hAnsi="Times New Roman" w:cs="Times New Roman"/>
          <w:color w:val="000000"/>
          <w:sz w:val="24"/>
          <w:szCs w:val="24"/>
        </w:rPr>
      </w:pPr>
    </w:p>
    <w:p w:rsidR="00F15BFD" w:rsidRPr="000B79B9" w:rsidRDefault="00F15BFD" w:rsidP="00F15BFD">
      <w:pPr>
        <w:pBdr>
          <w:top w:val="nil"/>
          <w:left w:val="nil"/>
          <w:bottom w:val="nil"/>
          <w:right w:val="nil"/>
          <w:between w:val="nil"/>
        </w:pBdr>
        <w:jc w:val="center"/>
        <w:rPr>
          <w:rFonts w:ascii="Times New Roman" w:eastAsia="Arial" w:hAnsi="Times New Roman" w:cs="Times New Roman"/>
          <w:color w:val="000000"/>
          <w:sz w:val="24"/>
          <w:szCs w:val="24"/>
        </w:rPr>
      </w:pPr>
    </w:p>
    <w:p w:rsidR="00F15BFD" w:rsidRPr="000B79B9" w:rsidRDefault="00F15BFD" w:rsidP="00F15BFD">
      <w:pPr>
        <w:pBdr>
          <w:top w:val="nil"/>
          <w:left w:val="nil"/>
          <w:bottom w:val="nil"/>
          <w:right w:val="nil"/>
          <w:between w:val="nil"/>
        </w:pBdr>
        <w:jc w:val="center"/>
        <w:rPr>
          <w:rFonts w:ascii="Times New Roman" w:eastAsia="Arial" w:hAnsi="Times New Roman" w:cs="Times New Roman"/>
          <w:color w:val="000000"/>
          <w:sz w:val="24"/>
          <w:szCs w:val="24"/>
        </w:rPr>
      </w:pPr>
    </w:p>
    <w:p w:rsidR="00541D5C" w:rsidRPr="000B79B9" w:rsidRDefault="00541D5C" w:rsidP="00F15BFD">
      <w:pPr>
        <w:pBdr>
          <w:top w:val="nil"/>
          <w:left w:val="nil"/>
          <w:bottom w:val="nil"/>
          <w:right w:val="nil"/>
          <w:between w:val="nil"/>
        </w:pBdr>
        <w:jc w:val="center"/>
        <w:rPr>
          <w:rFonts w:ascii="Times New Roman" w:eastAsia="Arial" w:hAnsi="Times New Roman" w:cs="Times New Roman"/>
          <w:color w:val="000000"/>
          <w:sz w:val="24"/>
          <w:szCs w:val="24"/>
        </w:rPr>
      </w:pPr>
    </w:p>
    <w:p w:rsidR="00541D5C" w:rsidRPr="000B79B9" w:rsidRDefault="00541D5C" w:rsidP="00F15BFD">
      <w:pPr>
        <w:pBdr>
          <w:top w:val="nil"/>
          <w:left w:val="nil"/>
          <w:bottom w:val="nil"/>
          <w:right w:val="nil"/>
          <w:between w:val="nil"/>
        </w:pBdr>
        <w:jc w:val="center"/>
        <w:rPr>
          <w:rFonts w:ascii="Times New Roman" w:eastAsia="Arial" w:hAnsi="Times New Roman" w:cs="Times New Roman"/>
          <w:color w:val="000000"/>
          <w:sz w:val="24"/>
          <w:szCs w:val="24"/>
        </w:rPr>
      </w:pPr>
    </w:p>
    <w:p w:rsidR="00541D5C" w:rsidRPr="000B79B9" w:rsidRDefault="00541D5C" w:rsidP="00F15BFD">
      <w:pPr>
        <w:pBdr>
          <w:top w:val="nil"/>
          <w:left w:val="nil"/>
          <w:bottom w:val="nil"/>
          <w:right w:val="nil"/>
          <w:between w:val="nil"/>
        </w:pBdr>
        <w:jc w:val="center"/>
        <w:rPr>
          <w:rFonts w:ascii="Times New Roman" w:eastAsia="Arial" w:hAnsi="Times New Roman" w:cs="Times New Roman"/>
          <w:color w:val="000000"/>
          <w:sz w:val="24"/>
          <w:szCs w:val="24"/>
        </w:rPr>
      </w:pPr>
    </w:p>
    <w:p w:rsidR="00F15BFD" w:rsidRPr="000B79B9" w:rsidRDefault="00F15BFD" w:rsidP="00F15BFD">
      <w:pPr>
        <w:pBdr>
          <w:top w:val="nil"/>
          <w:left w:val="nil"/>
          <w:bottom w:val="nil"/>
          <w:right w:val="nil"/>
          <w:between w:val="nil"/>
        </w:pBdr>
        <w:jc w:val="center"/>
        <w:rPr>
          <w:rFonts w:ascii="Times New Roman" w:eastAsia="Arial" w:hAnsi="Times New Roman" w:cs="Times New Roman"/>
          <w:color w:val="000000"/>
          <w:sz w:val="24"/>
          <w:szCs w:val="24"/>
        </w:rPr>
      </w:pPr>
    </w:p>
    <w:p w:rsidR="00F15BFD" w:rsidRPr="000B79B9" w:rsidRDefault="00F15BFD" w:rsidP="00F15BFD">
      <w:pPr>
        <w:pBdr>
          <w:top w:val="nil"/>
          <w:left w:val="nil"/>
          <w:bottom w:val="nil"/>
          <w:right w:val="nil"/>
          <w:between w:val="nil"/>
        </w:pBdr>
        <w:jc w:val="center"/>
        <w:rPr>
          <w:rFonts w:ascii="Times New Roman" w:eastAsia="Arial" w:hAnsi="Times New Roman" w:cs="Times New Roman"/>
          <w:color w:val="000000"/>
          <w:sz w:val="24"/>
          <w:szCs w:val="24"/>
        </w:rPr>
      </w:pPr>
    </w:p>
    <w:p w:rsidR="00F15BFD" w:rsidRPr="000B79B9" w:rsidRDefault="00F15BFD" w:rsidP="00F15BFD">
      <w:pPr>
        <w:pBdr>
          <w:top w:val="nil"/>
          <w:left w:val="nil"/>
          <w:bottom w:val="nil"/>
          <w:right w:val="nil"/>
          <w:between w:val="nil"/>
        </w:pBdr>
        <w:jc w:val="center"/>
        <w:rPr>
          <w:rFonts w:ascii="Times New Roman" w:eastAsia="Arial" w:hAnsi="Times New Roman" w:cs="Times New Roman"/>
          <w:color w:val="000000"/>
          <w:sz w:val="24"/>
          <w:szCs w:val="24"/>
        </w:rPr>
      </w:pPr>
    </w:p>
    <w:p w:rsidR="00F15BFD" w:rsidRPr="000B79B9" w:rsidRDefault="00F15BFD" w:rsidP="00F15BFD">
      <w:pPr>
        <w:pBdr>
          <w:top w:val="nil"/>
          <w:left w:val="nil"/>
          <w:bottom w:val="nil"/>
          <w:right w:val="nil"/>
          <w:between w:val="nil"/>
        </w:pBdr>
        <w:jc w:val="center"/>
        <w:rPr>
          <w:rFonts w:ascii="Times New Roman" w:eastAsia="Arial" w:hAnsi="Times New Roman" w:cs="Times New Roman"/>
          <w:color w:val="000000"/>
          <w:sz w:val="24"/>
          <w:szCs w:val="24"/>
        </w:rPr>
      </w:pPr>
    </w:p>
    <w:p w:rsidR="00F15BFD" w:rsidRPr="000B79B9" w:rsidRDefault="00F15BFD" w:rsidP="00F15BFD">
      <w:pPr>
        <w:pBdr>
          <w:top w:val="nil"/>
          <w:left w:val="nil"/>
          <w:bottom w:val="nil"/>
          <w:right w:val="nil"/>
          <w:between w:val="nil"/>
        </w:pBdr>
        <w:rPr>
          <w:rFonts w:ascii="Times New Roman" w:eastAsia="Arial" w:hAnsi="Times New Roman" w:cs="Times New Roman"/>
          <w:color w:val="000000"/>
          <w:sz w:val="24"/>
          <w:szCs w:val="24"/>
        </w:rPr>
      </w:pPr>
    </w:p>
    <w:p w:rsidR="00F15BFD" w:rsidRDefault="00F15BFD" w:rsidP="00F15BFD">
      <w:pPr>
        <w:pBdr>
          <w:top w:val="nil"/>
          <w:left w:val="nil"/>
          <w:bottom w:val="nil"/>
          <w:right w:val="nil"/>
          <w:between w:val="nil"/>
        </w:pBdr>
        <w:jc w:val="center"/>
        <w:rPr>
          <w:rFonts w:ascii="Times New Roman" w:eastAsia="Arial" w:hAnsi="Times New Roman" w:cs="Times New Roman"/>
          <w:color w:val="000000"/>
          <w:sz w:val="24"/>
          <w:szCs w:val="24"/>
        </w:rPr>
      </w:pPr>
    </w:p>
    <w:p w:rsidR="000B79B9" w:rsidRDefault="000B79B9" w:rsidP="00F15BFD">
      <w:pPr>
        <w:pBdr>
          <w:top w:val="nil"/>
          <w:left w:val="nil"/>
          <w:bottom w:val="nil"/>
          <w:right w:val="nil"/>
          <w:between w:val="nil"/>
        </w:pBdr>
        <w:jc w:val="center"/>
        <w:rPr>
          <w:rFonts w:ascii="Times New Roman" w:eastAsia="Arial" w:hAnsi="Times New Roman" w:cs="Times New Roman"/>
          <w:color w:val="000000"/>
          <w:sz w:val="24"/>
          <w:szCs w:val="24"/>
        </w:rPr>
      </w:pPr>
    </w:p>
    <w:p w:rsidR="000B79B9" w:rsidRDefault="000B79B9" w:rsidP="00F15BFD">
      <w:pPr>
        <w:pBdr>
          <w:top w:val="nil"/>
          <w:left w:val="nil"/>
          <w:bottom w:val="nil"/>
          <w:right w:val="nil"/>
          <w:between w:val="nil"/>
        </w:pBdr>
        <w:jc w:val="center"/>
        <w:rPr>
          <w:rFonts w:ascii="Times New Roman" w:eastAsia="Arial" w:hAnsi="Times New Roman" w:cs="Times New Roman"/>
          <w:color w:val="000000"/>
          <w:sz w:val="24"/>
          <w:szCs w:val="24"/>
        </w:rPr>
      </w:pPr>
    </w:p>
    <w:p w:rsidR="000B79B9" w:rsidRDefault="000B79B9" w:rsidP="00F15BFD">
      <w:pPr>
        <w:pBdr>
          <w:top w:val="nil"/>
          <w:left w:val="nil"/>
          <w:bottom w:val="nil"/>
          <w:right w:val="nil"/>
          <w:between w:val="nil"/>
        </w:pBdr>
        <w:jc w:val="center"/>
        <w:rPr>
          <w:rFonts w:ascii="Times New Roman" w:eastAsia="Arial" w:hAnsi="Times New Roman" w:cs="Times New Roman"/>
          <w:color w:val="000000"/>
          <w:sz w:val="24"/>
          <w:szCs w:val="24"/>
        </w:rPr>
      </w:pPr>
    </w:p>
    <w:p w:rsidR="000B79B9" w:rsidRPr="000B79B9" w:rsidRDefault="000B79B9" w:rsidP="00F15BFD">
      <w:pPr>
        <w:pBdr>
          <w:top w:val="nil"/>
          <w:left w:val="nil"/>
          <w:bottom w:val="nil"/>
          <w:right w:val="nil"/>
          <w:between w:val="nil"/>
        </w:pBdr>
        <w:jc w:val="center"/>
        <w:rPr>
          <w:rFonts w:ascii="Times New Roman" w:eastAsia="Arial" w:hAnsi="Times New Roman" w:cs="Times New Roman"/>
          <w:color w:val="000000"/>
          <w:sz w:val="24"/>
          <w:szCs w:val="24"/>
        </w:rPr>
      </w:pPr>
    </w:p>
    <w:p w:rsidR="00F15BFD" w:rsidRPr="000B79B9" w:rsidRDefault="00F15BFD" w:rsidP="00F15BFD">
      <w:pPr>
        <w:pBdr>
          <w:top w:val="nil"/>
          <w:left w:val="nil"/>
          <w:bottom w:val="nil"/>
          <w:right w:val="nil"/>
          <w:between w:val="nil"/>
        </w:pBdr>
        <w:jc w:val="center"/>
        <w:rPr>
          <w:rFonts w:ascii="Times New Roman" w:eastAsia="Arial" w:hAnsi="Times New Roman" w:cs="Times New Roman"/>
          <w:color w:val="000000"/>
          <w:sz w:val="24"/>
          <w:szCs w:val="24"/>
        </w:rPr>
      </w:pPr>
    </w:p>
    <w:p w:rsidR="0063106F" w:rsidRPr="000B79B9" w:rsidRDefault="0063106F" w:rsidP="00F15BFD">
      <w:pPr>
        <w:pBdr>
          <w:top w:val="nil"/>
          <w:left w:val="nil"/>
          <w:bottom w:val="nil"/>
          <w:right w:val="nil"/>
          <w:between w:val="nil"/>
        </w:pBdr>
        <w:spacing w:line="360" w:lineRule="auto"/>
        <w:jc w:val="center"/>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Dados Internacionais de Catalogação na Publicação</w:t>
      </w:r>
    </w:p>
    <w:p w:rsidR="0063106F" w:rsidRPr="000B79B9" w:rsidRDefault="0063106F" w:rsidP="00F15BFD">
      <w:pPr>
        <w:pBdr>
          <w:top w:val="nil"/>
          <w:left w:val="nil"/>
          <w:bottom w:val="nil"/>
          <w:right w:val="nil"/>
          <w:between w:val="nil"/>
        </w:pBdr>
        <w:spacing w:line="360" w:lineRule="auto"/>
        <w:jc w:val="center"/>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(Biblioteca da UniFacisa)</w:t>
      </w:r>
    </w:p>
    <w:p w:rsidR="0063106F" w:rsidRPr="000B79B9" w:rsidRDefault="0063106F" w:rsidP="00F15BFD">
      <w:pPr>
        <w:pBdr>
          <w:top w:val="nil"/>
          <w:left w:val="nil"/>
          <w:bottom w:val="nil"/>
          <w:right w:val="nil"/>
          <w:between w:val="nil"/>
        </w:pBdr>
        <w:spacing w:line="360" w:lineRule="auto"/>
        <w:jc w:val="center"/>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XXXXX</w:t>
      </w:r>
    </w:p>
    <w:p w:rsidR="0063106F" w:rsidRPr="000B79B9" w:rsidRDefault="00BC3531" w:rsidP="00F15BFD">
      <w:pPr>
        <w:pBdr>
          <w:top w:val="nil"/>
          <w:left w:val="nil"/>
          <w:bottom w:val="nil"/>
          <w:right w:val="nil"/>
          <w:between w:val="nil"/>
        </w:pBdr>
        <w:spacing w:line="360" w:lineRule="auto"/>
        <w:jc w:val="center"/>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COSTA</w:t>
      </w:r>
      <w:r w:rsidR="0063106F" w:rsidRPr="000B79B9">
        <w:rPr>
          <w:rFonts w:ascii="Times New Roman" w:eastAsia="Arial" w:hAnsi="Times New Roman" w:cs="Times New Roman"/>
          <w:color w:val="000000"/>
          <w:sz w:val="24"/>
          <w:szCs w:val="24"/>
        </w:rPr>
        <w:t xml:space="preserve">, </w:t>
      </w:r>
      <w:r w:rsidRPr="000B79B9">
        <w:rPr>
          <w:rFonts w:ascii="Times New Roman" w:eastAsia="Arial" w:hAnsi="Times New Roman" w:cs="Times New Roman"/>
          <w:color w:val="000000"/>
          <w:sz w:val="24"/>
          <w:szCs w:val="24"/>
        </w:rPr>
        <w:t>Flávia Teles Fernandes</w:t>
      </w:r>
      <w:r w:rsidR="0063106F" w:rsidRPr="000B79B9">
        <w:rPr>
          <w:rFonts w:ascii="Times New Roman" w:eastAsia="Arial" w:hAnsi="Times New Roman" w:cs="Times New Roman"/>
          <w:color w:val="000000"/>
          <w:sz w:val="24"/>
          <w:szCs w:val="24"/>
        </w:rPr>
        <w:t>.</w:t>
      </w:r>
    </w:p>
    <w:p w:rsidR="0063106F" w:rsidRPr="000B79B9" w:rsidRDefault="00BD5E41" w:rsidP="00F15BFD">
      <w:pPr>
        <w:pBdr>
          <w:top w:val="nil"/>
          <w:left w:val="nil"/>
          <w:bottom w:val="nil"/>
          <w:right w:val="nil"/>
          <w:between w:val="nil"/>
        </w:pBdr>
        <w:spacing w:line="360" w:lineRule="auto"/>
        <w:jc w:val="center"/>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O direito ao esquecimento e a exclusão de dados pessoais na LGPD: uma análise à luz</w:t>
      </w:r>
      <w:r w:rsidR="0063106F" w:rsidRPr="000B79B9">
        <w:rPr>
          <w:rFonts w:ascii="Times New Roman" w:eastAsia="Arial" w:hAnsi="Times New Roman" w:cs="Times New Roman"/>
          <w:color w:val="000000"/>
          <w:sz w:val="24"/>
          <w:szCs w:val="24"/>
        </w:rPr>
        <w:t xml:space="preserve"> </w:t>
      </w:r>
      <w:r w:rsidR="00A73DA6" w:rsidRPr="000B79B9">
        <w:rPr>
          <w:rFonts w:ascii="Times New Roman" w:eastAsia="Arial" w:hAnsi="Times New Roman" w:cs="Times New Roman"/>
          <w:color w:val="000000"/>
          <w:sz w:val="24"/>
          <w:szCs w:val="24"/>
        </w:rPr>
        <w:t>do Tema n.º 786 do STF</w:t>
      </w:r>
      <w:r w:rsidR="0063106F" w:rsidRPr="000B79B9">
        <w:rPr>
          <w:rFonts w:ascii="Times New Roman" w:eastAsia="Arial" w:hAnsi="Times New Roman" w:cs="Times New Roman"/>
          <w:color w:val="000000"/>
          <w:sz w:val="24"/>
          <w:szCs w:val="24"/>
        </w:rPr>
        <w:t xml:space="preserve">/ </w:t>
      </w:r>
      <w:r w:rsidRPr="000B79B9">
        <w:rPr>
          <w:rFonts w:ascii="Times New Roman" w:eastAsia="Arial" w:hAnsi="Times New Roman" w:cs="Times New Roman"/>
          <w:color w:val="000000"/>
          <w:sz w:val="24"/>
          <w:szCs w:val="24"/>
        </w:rPr>
        <w:t>Flávia Teles Fernandes Costa</w:t>
      </w:r>
      <w:r w:rsidR="0063106F" w:rsidRPr="000B79B9">
        <w:rPr>
          <w:rFonts w:ascii="Times New Roman" w:eastAsia="Arial" w:hAnsi="Times New Roman" w:cs="Times New Roman"/>
          <w:color w:val="000000"/>
          <w:sz w:val="24"/>
          <w:szCs w:val="24"/>
        </w:rPr>
        <w:t xml:space="preserve"> – </w:t>
      </w:r>
      <w:r w:rsidRPr="000B79B9">
        <w:rPr>
          <w:rFonts w:ascii="Times New Roman" w:eastAsia="Arial" w:hAnsi="Times New Roman" w:cs="Times New Roman"/>
          <w:color w:val="000000"/>
          <w:sz w:val="24"/>
          <w:szCs w:val="24"/>
        </w:rPr>
        <w:t>Campina Grande</w:t>
      </w:r>
      <w:r w:rsidR="0063106F" w:rsidRPr="000B79B9">
        <w:rPr>
          <w:rFonts w:ascii="Times New Roman" w:eastAsia="Arial" w:hAnsi="Times New Roman" w:cs="Times New Roman"/>
          <w:color w:val="000000"/>
          <w:sz w:val="24"/>
          <w:szCs w:val="24"/>
        </w:rPr>
        <w:t xml:space="preserve">, </w:t>
      </w:r>
      <w:r w:rsidRPr="000B79B9">
        <w:rPr>
          <w:rFonts w:ascii="Times New Roman" w:eastAsia="Arial" w:hAnsi="Times New Roman" w:cs="Times New Roman"/>
          <w:color w:val="000000"/>
          <w:sz w:val="24"/>
          <w:szCs w:val="24"/>
        </w:rPr>
        <w:t>2023</w:t>
      </w:r>
      <w:r w:rsidR="0063106F" w:rsidRPr="000B79B9">
        <w:rPr>
          <w:rFonts w:ascii="Times New Roman" w:eastAsia="Arial" w:hAnsi="Times New Roman" w:cs="Times New Roman"/>
          <w:color w:val="000000"/>
          <w:sz w:val="24"/>
          <w:szCs w:val="24"/>
        </w:rPr>
        <w:t>.</w:t>
      </w:r>
    </w:p>
    <w:p w:rsidR="0063106F" w:rsidRPr="000B79B9" w:rsidRDefault="0063106F" w:rsidP="00F15BFD">
      <w:pPr>
        <w:pBdr>
          <w:top w:val="nil"/>
          <w:left w:val="nil"/>
          <w:bottom w:val="nil"/>
          <w:right w:val="nil"/>
          <w:between w:val="nil"/>
        </w:pBdr>
        <w:spacing w:line="360" w:lineRule="auto"/>
        <w:jc w:val="center"/>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 xml:space="preserve">Originalmente apresentada como Artigo Científico de bacharelado em Direito do autor (bacharel – UniFacisa – Centro Universitário, </w:t>
      </w:r>
      <w:r w:rsidR="00A73DA6" w:rsidRPr="000B79B9">
        <w:rPr>
          <w:rFonts w:ascii="Times New Roman" w:eastAsia="Arial" w:hAnsi="Times New Roman" w:cs="Times New Roman"/>
          <w:color w:val="000000"/>
          <w:sz w:val="24"/>
          <w:szCs w:val="24"/>
        </w:rPr>
        <w:t>2023</w:t>
      </w:r>
      <w:r w:rsidRPr="000B79B9">
        <w:rPr>
          <w:rFonts w:ascii="Times New Roman" w:eastAsia="Arial" w:hAnsi="Times New Roman" w:cs="Times New Roman"/>
          <w:color w:val="000000"/>
          <w:sz w:val="24"/>
          <w:szCs w:val="24"/>
        </w:rPr>
        <w:t>).</w:t>
      </w:r>
    </w:p>
    <w:p w:rsidR="0063106F" w:rsidRPr="000B79B9" w:rsidRDefault="0063106F" w:rsidP="00F15BFD">
      <w:pPr>
        <w:pBdr>
          <w:top w:val="nil"/>
          <w:left w:val="nil"/>
          <w:bottom w:val="nil"/>
          <w:right w:val="nil"/>
          <w:between w:val="nil"/>
        </w:pBdr>
        <w:spacing w:line="360" w:lineRule="auto"/>
        <w:jc w:val="center"/>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Referências.</w:t>
      </w:r>
    </w:p>
    <w:p w:rsidR="0030540D" w:rsidRPr="000B79B9" w:rsidRDefault="0063106F" w:rsidP="0030540D">
      <w:pPr>
        <w:pBdr>
          <w:top w:val="nil"/>
          <w:left w:val="nil"/>
          <w:bottom w:val="nil"/>
          <w:right w:val="nil"/>
          <w:between w:val="nil"/>
        </w:pBdr>
        <w:spacing w:line="360" w:lineRule="auto"/>
        <w:jc w:val="center"/>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 xml:space="preserve">1. </w:t>
      </w:r>
      <w:r w:rsidR="0030540D" w:rsidRPr="000B79B9">
        <w:rPr>
          <w:rFonts w:ascii="Times New Roman" w:eastAsia="Arial" w:hAnsi="Times New Roman" w:cs="Times New Roman"/>
          <w:color w:val="000000"/>
          <w:sz w:val="24"/>
          <w:szCs w:val="24"/>
        </w:rPr>
        <w:t xml:space="preserve">Direito ao esquecimento. </w:t>
      </w:r>
      <w:r w:rsidRPr="000B79B9">
        <w:rPr>
          <w:rFonts w:ascii="Times New Roman" w:eastAsia="Arial" w:hAnsi="Times New Roman" w:cs="Times New Roman"/>
          <w:color w:val="000000"/>
          <w:sz w:val="24"/>
          <w:szCs w:val="24"/>
        </w:rPr>
        <w:t xml:space="preserve">2. </w:t>
      </w:r>
      <w:r w:rsidR="0030540D" w:rsidRPr="000B79B9">
        <w:rPr>
          <w:rFonts w:ascii="Times New Roman" w:eastAsia="Arial" w:hAnsi="Times New Roman" w:cs="Times New Roman"/>
          <w:color w:val="000000"/>
          <w:sz w:val="24"/>
          <w:szCs w:val="24"/>
        </w:rPr>
        <w:t>Exclusão de dados pessoais</w:t>
      </w:r>
      <w:r w:rsidRPr="000B79B9">
        <w:rPr>
          <w:rFonts w:ascii="Times New Roman" w:eastAsia="Arial" w:hAnsi="Times New Roman" w:cs="Times New Roman"/>
          <w:color w:val="000000"/>
          <w:sz w:val="24"/>
          <w:szCs w:val="24"/>
        </w:rPr>
        <w:t xml:space="preserve">. 3. </w:t>
      </w:r>
      <w:r w:rsidR="0030540D" w:rsidRPr="000B79B9">
        <w:rPr>
          <w:rFonts w:ascii="Times New Roman" w:eastAsia="Arial" w:hAnsi="Times New Roman" w:cs="Times New Roman"/>
          <w:color w:val="000000"/>
          <w:sz w:val="24"/>
          <w:szCs w:val="24"/>
        </w:rPr>
        <w:t>Lei Geral de Proteção de Dados Pessoais (LGPD). 4. Tema n.º 786. Supremo Tribunal Federal (STF).</w:t>
      </w:r>
    </w:p>
    <w:p w:rsidR="0063106F" w:rsidRPr="000B79B9" w:rsidRDefault="0063106F" w:rsidP="00541D5C">
      <w:pPr>
        <w:pBdr>
          <w:top w:val="nil"/>
          <w:left w:val="nil"/>
          <w:bottom w:val="nil"/>
          <w:right w:val="nil"/>
          <w:between w:val="nil"/>
        </w:pBdr>
        <w:spacing w:line="360" w:lineRule="auto"/>
        <w:jc w:val="center"/>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I. Título...</w:t>
      </w:r>
    </w:p>
    <w:p w:rsidR="0063106F" w:rsidRPr="000B79B9" w:rsidRDefault="0063106F" w:rsidP="00F15BFD">
      <w:pPr>
        <w:pBdr>
          <w:top w:val="nil"/>
          <w:left w:val="nil"/>
          <w:bottom w:val="nil"/>
          <w:right w:val="nil"/>
          <w:between w:val="nil"/>
        </w:pBdr>
        <w:spacing w:line="360" w:lineRule="auto"/>
        <w:jc w:val="center"/>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CDU-XXXX(XXX)(XXX)</w:t>
      </w:r>
    </w:p>
    <w:p w:rsidR="0063106F" w:rsidRPr="000B79B9" w:rsidRDefault="0063106F" w:rsidP="00F15BFD">
      <w:pPr>
        <w:pBdr>
          <w:top w:val="nil"/>
          <w:left w:val="nil"/>
          <w:bottom w:val="nil"/>
          <w:right w:val="nil"/>
          <w:between w:val="nil"/>
        </w:pBdr>
        <w:spacing w:line="360" w:lineRule="auto"/>
        <w:jc w:val="center"/>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___________________________________________________________________</w:t>
      </w:r>
    </w:p>
    <w:p w:rsidR="00196C6E" w:rsidRPr="000B79B9" w:rsidRDefault="0063106F" w:rsidP="00541D5C">
      <w:pPr>
        <w:pBdr>
          <w:top w:val="nil"/>
          <w:left w:val="nil"/>
          <w:bottom w:val="nil"/>
          <w:right w:val="nil"/>
          <w:between w:val="nil"/>
        </w:pBdr>
        <w:spacing w:line="360" w:lineRule="auto"/>
        <w:jc w:val="center"/>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 xml:space="preserve">Elaborado pela Bibliotecária Rosa </w:t>
      </w:r>
      <w:r w:rsidR="00541D5C" w:rsidRPr="000B79B9">
        <w:rPr>
          <w:rFonts w:ascii="Times New Roman" w:eastAsia="Arial" w:hAnsi="Times New Roman" w:cs="Times New Roman"/>
          <w:color w:val="000000"/>
          <w:sz w:val="24"/>
          <w:szCs w:val="24"/>
        </w:rPr>
        <w:t xml:space="preserve">Núbia de Lima Matias CRB 15/568 </w:t>
      </w:r>
      <w:r w:rsidRPr="000B79B9">
        <w:rPr>
          <w:rFonts w:ascii="Times New Roman" w:eastAsia="Arial" w:hAnsi="Times New Roman" w:cs="Times New Roman"/>
          <w:color w:val="000000"/>
          <w:sz w:val="24"/>
          <w:szCs w:val="24"/>
        </w:rPr>
        <w:t>Catalogação na fonte</w:t>
      </w:r>
    </w:p>
    <w:p w:rsidR="00196C6E" w:rsidRPr="000B79B9" w:rsidRDefault="00196C6E">
      <w:pPr>
        <w:pBdr>
          <w:top w:val="nil"/>
          <w:left w:val="nil"/>
          <w:bottom w:val="nil"/>
          <w:right w:val="nil"/>
          <w:between w:val="nil"/>
        </w:pBdr>
        <w:rPr>
          <w:rFonts w:ascii="Times New Roman" w:eastAsia="Arial" w:hAnsi="Times New Roman" w:cs="Times New Roman"/>
          <w:color w:val="000000"/>
          <w:sz w:val="24"/>
          <w:szCs w:val="24"/>
        </w:rPr>
      </w:pPr>
    </w:p>
    <w:p w:rsidR="00F15BFD" w:rsidRPr="000B79B9" w:rsidRDefault="00F15BFD">
      <w:pPr>
        <w:pBdr>
          <w:top w:val="nil"/>
          <w:left w:val="nil"/>
          <w:bottom w:val="nil"/>
          <w:right w:val="nil"/>
          <w:between w:val="nil"/>
        </w:pBdr>
        <w:rPr>
          <w:rFonts w:ascii="Times New Roman" w:eastAsia="Arial" w:hAnsi="Times New Roman" w:cs="Times New Roman"/>
          <w:color w:val="000000"/>
          <w:sz w:val="24"/>
          <w:szCs w:val="24"/>
        </w:rPr>
      </w:pPr>
    </w:p>
    <w:p w:rsidR="00F15BFD" w:rsidRPr="000B79B9" w:rsidRDefault="00F15BFD">
      <w:pPr>
        <w:pBdr>
          <w:top w:val="nil"/>
          <w:left w:val="nil"/>
          <w:bottom w:val="nil"/>
          <w:right w:val="nil"/>
          <w:between w:val="nil"/>
        </w:pBdr>
        <w:rPr>
          <w:rFonts w:ascii="Times New Roman" w:eastAsia="Arial" w:hAnsi="Times New Roman" w:cs="Times New Roman"/>
          <w:color w:val="000000"/>
          <w:sz w:val="24"/>
          <w:szCs w:val="24"/>
        </w:rPr>
      </w:pPr>
    </w:p>
    <w:p w:rsidR="00F15BFD" w:rsidRPr="000B79B9" w:rsidRDefault="00F15BFD">
      <w:pPr>
        <w:pBdr>
          <w:top w:val="nil"/>
          <w:left w:val="nil"/>
          <w:bottom w:val="nil"/>
          <w:right w:val="nil"/>
          <w:between w:val="nil"/>
        </w:pBdr>
        <w:rPr>
          <w:rFonts w:ascii="Times New Roman" w:eastAsia="Arial" w:hAnsi="Times New Roman" w:cs="Times New Roman"/>
          <w:color w:val="000000"/>
          <w:sz w:val="24"/>
          <w:szCs w:val="24"/>
        </w:rPr>
      </w:pPr>
    </w:p>
    <w:p w:rsidR="00F15BFD" w:rsidRPr="000B79B9" w:rsidRDefault="00F15BFD">
      <w:pPr>
        <w:pBdr>
          <w:top w:val="nil"/>
          <w:left w:val="nil"/>
          <w:bottom w:val="nil"/>
          <w:right w:val="nil"/>
          <w:between w:val="nil"/>
        </w:pBdr>
        <w:rPr>
          <w:rFonts w:ascii="Times New Roman" w:eastAsia="Arial" w:hAnsi="Times New Roman" w:cs="Times New Roman"/>
          <w:color w:val="000000"/>
          <w:sz w:val="24"/>
          <w:szCs w:val="24"/>
        </w:rPr>
      </w:pPr>
    </w:p>
    <w:p w:rsidR="00F15BFD" w:rsidRPr="000B79B9" w:rsidRDefault="00F15BFD">
      <w:pPr>
        <w:pBdr>
          <w:top w:val="nil"/>
          <w:left w:val="nil"/>
          <w:bottom w:val="nil"/>
          <w:right w:val="nil"/>
          <w:between w:val="nil"/>
        </w:pBdr>
        <w:rPr>
          <w:rFonts w:ascii="Times New Roman" w:eastAsia="Arial" w:hAnsi="Times New Roman" w:cs="Times New Roman"/>
          <w:color w:val="000000"/>
          <w:sz w:val="24"/>
          <w:szCs w:val="24"/>
        </w:rPr>
      </w:pPr>
    </w:p>
    <w:p w:rsidR="00F15BFD" w:rsidRPr="000B79B9" w:rsidRDefault="00F15BFD">
      <w:pPr>
        <w:pBdr>
          <w:top w:val="nil"/>
          <w:left w:val="nil"/>
          <w:bottom w:val="nil"/>
          <w:right w:val="nil"/>
          <w:between w:val="nil"/>
        </w:pBdr>
        <w:rPr>
          <w:rFonts w:ascii="Times New Roman" w:eastAsia="Arial" w:hAnsi="Times New Roman" w:cs="Times New Roman"/>
          <w:color w:val="000000"/>
          <w:sz w:val="24"/>
          <w:szCs w:val="24"/>
        </w:rPr>
      </w:pPr>
    </w:p>
    <w:p w:rsidR="00F15BFD" w:rsidRPr="000B79B9" w:rsidRDefault="00F15BFD">
      <w:pPr>
        <w:pBdr>
          <w:top w:val="nil"/>
          <w:left w:val="nil"/>
          <w:bottom w:val="nil"/>
          <w:right w:val="nil"/>
          <w:between w:val="nil"/>
        </w:pBdr>
        <w:rPr>
          <w:rFonts w:ascii="Times New Roman" w:eastAsia="Arial" w:hAnsi="Times New Roman" w:cs="Times New Roman"/>
          <w:color w:val="000000"/>
          <w:sz w:val="24"/>
          <w:szCs w:val="24"/>
        </w:rPr>
      </w:pPr>
    </w:p>
    <w:p w:rsidR="00F15BFD" w:rsidRPr="000B79B9" w:rsidRDefault="00F15BFD">
      <w:pPr>
        <w:pBdr>
          <w:top w:val="nil"/>
          <w:left w:val="nil"/>
          <w:bottom w:val="nil"/>
          <w:right w:val="nil"/>
          <w:between w:val="nil"/>
        </w:pBdr>
        <w:rPr>
          <w:rFonts w:ascii="Times New Roman" w:eastAsia="Arial" w:hAnsi="Times New Roman" w:cs="Times New Roman"/>
          <w:color w:val="000000"/>
          <w:sz w:val="24"/>
          <w:szCs w:val="24"/>
        </w:rPr>
      </w:pPr>
    </w:p>
    <w:p w:rsidR="00F15BFD" w:rsidRPr="000B79B9" w:rsidRDefault="00F15BFD">
      <w:pPr>
        <w:pBdr>
          <w:top w:val="nil"/>
          <w:left w:val="nil"/>
          <w:bottom w:val="nil"/>
          <w:right w:val="nil"/>
          <w:between w:val="nil"/>
        </w:pBdr>
        <w:rPr>
          <w:rFonts w:ascii="Times New Roman" w:eastAsia="Arial" w:hAnsi="Times New Roman" w:cs="Times New Roman"/>
          <w:color w:val="000000"/>
          <w:sz w:val="24"/>
          <w:szCs w:val="24"/>
        </w:rPr>
      </w:pPr>
    </w:p>
    <w:p w:rsidR="00F15BFD" w:rsidRPr="000B79B9" w:rsidRDefault="00F15BFD">
      <w:pPr>
        <w:pBdr>
          <w:top w:val="nil"/>
          <w:left w:val="nil"/>
          <w:bottom w:val="nil"/>
          <w:right w:val="nil"/>
          <w:between w:val="nil"/>
        </w:pBdr>
        <w:rPr>
          <w:rFonts w:ascii="Times New Roman" w:eastAsia="Arial" w:hAnsi="Times New Roman" w:cs="Times New Roman"/>
          <w:color w:val="000000"/>
          <w:sz w:val="24"/>
          <w:szCs w:val="24"/>
        </w:rPr>
      </w:pPr>
    </w:p>
    <w:p w:rsidR="00F15BFD" w:rsidRPr="000B79B9" w:rsidRDefault="00F15BFD">
      <w:pPr>
        <w:pBdr>
          <w:top w:val="nil"/>
          <w:left w:val="nil"/>
          <w:bottom w:val="nil"/>
          <w:right w:val="nil"/>
          <w:between w:val="nil"/>
        </w:pBdr>
        <w:rPr>
          <w:rFonts w:ascii="Times New Roman" w:eastAsia="Arial" w:hAnsi="Times New Roman" w:cs="Times New Roman"/>
          <w:color w:val="000000"/>
          <w:sz w:val="24"/>
          <w:szCs w:val="24"/>
        </w:rPr>
      </w:pPr>
    </w:p>
    <w:p w:rsidR="00F15BFD" w:rsidRPr="000B79B9" w:rsidRDefault="00F15BFD">
      <w:pPr>
        <w:pBdr>
          <w:top w:val="nil"/>
          <w:left w:val="nil"/>
          <w:bottom w:val="nil"/>
          <w:right w:val="nil"/>
          <w:between w:val="nil"/>
        </w:pBdr>
        <w:rPr>
          <w:rFonts w:ascii="Times New Roman" w:eastAsia="Arial" w:hAnsi="Times New Roman" w:cs="Times New Roman"/>
          <w:color w:val="000000"/>
          <w:sz w:val="24"/>
          <w:szCs w:val="24"/>
        </w:rPr>
      </w:pPr>
    </w:p>
    <w:p w:rsidR="00F15BFD" w:rsidRPr="000B79B9" w:rsidRDefault="00F15BFD">
      <w:pPr>
        <w:pBdr>
          <w:top w:val="nil"/>
          <w:left w:val="nil"/>
          <w:bottom w:val="nil"/>
          <w:right w:val="nil"/>
          <w:between w:val="nil"/>
        </w:pBdr>
        <w:rPr>
          <w:rFonts w:ascii="Times New Roman" w:eastAsia="Arial" w:hAnsi="Times New Roman" w:cs="Times New Roman"/>
          <w:color w:val="000000"/>
          <w:sz w:val="24"/>
          <w:szCs w:val="24"/>
        </w:rPr>
      </w:pPr>
    </w:p>
    <w:p w:rsidR="00F15BFD" w:rsidRPr="000B79B9" w:rsidRDefault="00F15BFD">
      <w:pPr>
        <w:pBdr>
          <w:top w:val="nil"/>
          <w:left w:val="nil"/>
          <w:bottom w:val="nil"/>
          <w:right w:val="nil"/>
          <w:between w:val="nil"/>
        </w:pBdr>
        <w:rPr>
          <w:rFonts w:ascii="Times New Roman" w:eastAsia="Arial" w:hAnsi="Times New Roman" w:cs="Times New Roman"/>
          <w:color w:val="000000"/>
          <w:sz w:val="24"/>
          <w:szCs w:val="24"/>
        </w:rPr>
      </w:pPr>
    </w:p>
    <w:p w:rsidR="00BD5E41" w:rsidRPr="000B79B9" w:rsidRDefault="00BD5E41">
      <w:pPr>
        <w:pBdr>
          <w:top w:val="nil"/>
          <w:left w:val="nil"/>
          <w:bottom w:val="nil"/>
          <w:right w:val="nil"/>
          <w:between w:val="nil"/>
        </w:pBdr>
        <w:rPr>
          <w:rFonts w:ascii="Times New Roman" w:eastAsia="Arial" w:hAnsi="Times New Roman" w:cs="Times New Roman"/>
          <w:color w:val="000000"/>
          <w:sz w:val="24"/>
          <w:szCs w:val="24"/>
        </w:rPr>
      </w:pPr>
    </w:p>
    <w:p w:rsidR="00BD5E41" w:rsidRDefault="00BD5E41">
      <w:pPr>
        <w:pBdr>
          <w:top w:val="nil"/>
          <w:left w:val="nil"/>
          <w:bottom w:val="nil"/>
          <w:right w:val="nil"/>
          <w:between w:val="nil"/>
        </w:pBdr>
        <w:rPr>
          <w:rFonts w:ascii="Times New Roman" w:eastAsia="Arial" w:hAnsi="Times New Roman" w:cs="Times New Roman"/>
          <w:color w:val="000000"/>
          <w:sz w:val="24"/>
          <w:szCs w:val="24"/>
        </w:rPr>
      </w:pPr>
    </w:p>
    <w:p w:rsidR="000B79B9" w:rsidRPr="000B79B9" w:rsidRDefault="000B79B9">
      <w:pPr>
        <w:pBdr>
          <w:top w:val="nil"/>
          <w:left w:val="nil"/>
          <w:bottom w:val="nil"/>
          <w:right w:val="nil"/>
          <w:between w:val="nil"/>
        </w:pBdr>
        <w:rPr>
          <w:rFonts w:ascii="Times New Roman" w:eastAsia="Arial" w:hAnsi="Times New Roman" w:cs="Times New Roman"/>
          <w:color w:val="000000"/>
          <w:sz w:val="24"/>
          <w:szCs w:val="24"/>
        </w:rPr>
      </w:pPr>
    </w:p>
    <w:p w:rsidR="00BD5E41" w:rsidRPr="000B79B9" w:rsidRDefault="00BD5E41">
      <w:pPr>
        <w:pBdr>
          <w:top w:val="nil"/>
          <w:left w:val="nil"/>
          <w:bottom w:val="nil"/>
          <w:right w:val="nil"/>
          <w:between w:val="nil"/>
        </w:pBdr>
        <w:rPr>
          <w:rFonts w:ascii="Times New Roman" w:eastAsia="Arial" w:hAnsi="Times New Roman" w:cs="Times New Roman"/>
          <w:color w:val="000000"/>
          <w:sz w:val="24"/>
          <w:szCs w:val="24"/>
        </w:rPr>
      </w:pPr>
    </w:p>
    <w:p w:rsidR="00BD5E41" w:rsidRPr="000B79B9" w:rsidRDefault="00BD5E41">
      <w:pPr>
        <w:pBdr>
          <w:top w:val="nil"/>
          <w:left w:val="nil"/>
          <w:bottom w:val="nil"/>
          <w:right w:val="nil"/>
          <w:between w:val="nil"/>
        </w:pBdr>
        <w:rPr>
          <w:rFonts w:ascii="Times New Roman" w:eastAsia="Arial" w:hAnsi="Times New Roman" w:cs="Times New Roman"/>
          <w:color w:val="000000"/>
          <w:sz w:val="24"/>
          <w:szCs w:val="24"/>
        </w:rPr>
      </w:pPr>
    </w:p>
    <w:p w:rsidR="00F15BFD" w:rsidRPr="000B79B9" w:rsidRDefault="00F15BFD">
      <w:pPr>
        <w:pBdr>
          <w:top w:val="nil"/>
          <w:left w:val="nil"/>
          <w:bottom w:val="nil"/>
          <w:right w:val="nil"/>
          <w:between w:val="nil"/>
        </w:pBdr>
        <w:rPr>
          <w:rFonts w:ascii="Times New Roman" w:eastAsia="Arial" w:hAnsi="Times New Roman" w:cs="Times New Roman"/>
          <w:color w:val="000000"/>
          <w:sz w:val="24"/>
          <w:szCs w:val="24"/>
        </w:rPr>
      </w:pPr>
    </w:p>
    <w:p w:rsidR="00F15BFD" w:rsidRPr="000B79B9" w:rsidRDefault="00F15BFD">
      <w:pPr>
        <w:pBdr>
          <w:top w:val="nil"/>
          <w:left w:val="nil"/>
          <w:bottom w:val="nil"/>
          <w:right w:val="nil"/>
          <w:between w:val="nil"/>
        </w:pBdr>
        <w:rPr>
          <w:rFonts w:ascii="Times New Roman" w:eastAsia="Arial" w:hAnsi="Times New Roman" w:cs="Times New Roman"/>
          <w:color w:val="000000"/>
          <w:sz w:val="24"/>
          <w:szCs w:val="24"/>
        </w:rPr>
      </w:pPr>
    </w:p>
    <w:p w:rsidR="00F15BFD" w:rsidRPr="000B79B9" w:rsidRDefault="00F15BFD">
      <w:pPr>
        <w:pBdr>
          <w:top w:val="nil"/>
          <w:left w:val="nil"/>
          <w:bottom w:val="nil"/>
          <w:right w:val="nil"/>
          <w:between w:val="nil"/>
        </w:pBdr>
        <w:rPr>
          <w:rFonts w:ascii="Times New Roman" w:hAnsi="Times New Roman" w:cs="Times New Roman"/>
          <w:color w:val="000000"/>
          <w:sz w:val="30"/>
          <w:szCs w:val="30"/>
        </w:rPr>
      </w:pPr>
    </w:p>
    <w:p w:rsidR="00196C6E" w:rsidRPr="000B79B9" w:rsidRDefault="00B15061">
      <w:pPr>
        <w:pBdr>
          <w:top w:val="nil"/>
          <w:left w:val="nil"/>
          <w:bottom w:val="nil"/>
          <w:right w:val="nil"/>
          <w:between w:val="nil"/>
        </w:pBdr>
        <w:ind w:left="4096" w:right="107"/>
        <w:jc w:val="both"/>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Trabalho de Conclusão de Curso - artigo científico - “O Direito ao Esquecimento e a Exclusão de Dados Pessoais na LGPD: Análise à Luz do Tema n.º 786 do STF”, apresentado por Flávia Teles Fernandes Costa, como parte dos requisitos para obtenção do título de Bacharel em Direito, outorgado pela UniFacisa – Centro Universitário.</w:t>
      </w:r>
    </w:p>
    <w:p w:rsidR="00196C6E" w:rsidRPr="000B79B9" w:rsidRDefault="00196C6E">
      <w:pPr>
        <w:pBdr>
          <w:top w:val="nil"/>
          <w:left w:val="nil"/>
          <w:bottom w:val="nil"/>
          <w:right w:val="nil"/>
          <w:between w:val="nil"/>
        </w:pBdr>
        <w:rPr>
          <w:rFonts w:ascii="Times New Roman" w:hAnsi="Times New Roman" w:cs="Times New Roman"/>
          <w:color w:val="000000"/>
          <w:sz w:val="26"/>
          <w:szCs w:val="26"/>
        </w:rPr>
      </w:pPr>
    </w:p>
    <w:p w:rsidR="00196C6E" w:rsidRPr="000B79B9" w:rsidRDefault="00196C6E">
      <w:pPr>
        <w:pBdr>
          <w:top w:val="nil"/>
          <w:left w:val="nil"/>
          <w:bottom w:val="nil"/>
          <w:right w:val="nil"/>
          <w:between w:val="nil"/>
        </w:pBdr>
        <w:rPr>
          <w:rFonts w:ascii="Times New Roman" w:hAnsi="Times New Roman" w:cs="Times New Roman"/>
          <w:color w:val="000000"/>
          <w:sz w:val="30"/>
          <w:szCs w:val="30"/>
        </w:rPr>
      </w:pPr>
    </w:p>
    <w:p w:rsidR="00196C6E" w:rsidRPr="000B79B9" w:rsidRDefault="00B15061">
      <w:pPr>
        <w:pBdr>
          <w:top w:val="nil"/>
          <w:left w:val="nil"/>
          <w:bottom w:val="nil"/>
          <w:right w:val="nil"/>
          <w:between w:val="nil"/>
        </w:pBdr>
        <w:tabs>
          <w:tab w:val="left" w:pos="6866"/>
          <w:tab w:val="left" w:pos="7733"/>
          <w:tab w:val="left" w:pos="8657"/>
        </w:tabs>
        <w:ind w:left="4096"/>
        <w:jc w:val="both"/>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APROVADO EM</w:t>
      </w:r>
      <w:r w:rsidRPr="000B79B9">
        <w:rPr>
          <w:rFonts w:ascii="Times New Roman" w:eastAsia="Arial" w:hAnsi="Times New Roman" w:cs="Times New Roman"/>
          <w:color w:val="000000"/>
          <w:sz w:val="24"/>
          <w:szCs w:val="24"/>
          <w:u w:val="single"/>
        </w:rPr>
        <w:tab/>
      </w:r>
      <w:r w:rsidRPr="000B79B9">
        <w:rPr>
          <w:rFonts w:ascii="Times New Roman" w:eastAsia="Arial" w:hAnsi="Times New Roman" w:cs="Times New Roman"/>
          <w:color w:val="000000"/>
          <w:sz w:val="24"/>
          <w:szCs w:val="24"/>
        </w:rPr>
        <w:t>/</w:t>
      </w:r>
      <w:r w:rsidRPr="000B79B9">
        <w:rPr>
          <w:rFonts w:ascii="Times New Roman" w:eastAsia="Arial" w:hAnsi="Times New Roman" w:cs="Times New Roman"/>
          <w:color w:val="000000"/>
          <w:sz w:val="24"/>
          <w:szCs w:val="24"/>
          <w:u w:val="single"/>
        </w:rPr>
        <w:tab/>
      </w:r>
      <w:r w:rsidRPr="000B79B9">
        <w:rPr>
          <w:rFonts w:ascii="Times New Roman" w:eastAsia="Arial" w:hAnsi="Times New Roman" w:cs="Times New Roman"/>
          <w:color w:val="000000"/>
          <w:sz w:val="24"/>
          <w:szCs w:val="24"/>
        </w:rPr>
        <w:t>/</w:t>
      </w:r>
      <w:r w:rsidRPr="000B79B9">
        <w:rPr>
          <w:rFonts w:ascii="Times New Roman" w:eastAsia="Arial" w:hAnsi="Times New Roman" w:cs="Times New Roman"/>
          <w:color w:val="000000"/>
          <w:sz w:val="24"/>
          <w:szCs w:val="24"/>
          <w:u w:val="single"/>
        </w:rPr>
        <w:tab/>
      </w:r>
    </w:p>
    <w:p w:rsidR="00196C6E" w:rsidRPr="000B79B9" w:rsidRDefault="00196C6E">
      <w:pPr>
        <w:pBdr>
          <w:top w:val="nil"/>
          <w:left w:val="nil"/>
          <w:bottom w:val="nil"/>
          <w:right w:val="nil"/>
          <w:between w:val="nil"/>
        </w:pBdr>
        <w:rPr>
          <w:rFonts w:ascii="Times New Roman" w:eastAsia="Arial" w:hAnsi="Times New Roman" w:cs="Times New Roman"/>
          <w:color w:val="000000"/>
          <w:sz w:val="16"/>
          <w:szCs w:val="16"/>
        </w:rPr>
      </w:pPr>
    </w:p>
    <w:p w:rsidR="00196C6E" w:rsidRPr="000B79B9" w:rsidRDefault="00B15061">
      <w:pPr>
        <w:pBdr>
          <w:top w:val="nil"/>
          <w:left w:val="nil"/>
          <w:bottom w:val="nil"/>
          <w:right w:val="nil"/>
          <w:between w:val="nil"/>
        </w:pBdr>
        <w:spacing w:before="92"/>
        <w:ind w:left="4096"/>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BANCA EXAMINADORA:</w:t>
      </w:r>
    </w:p>
    <w:p w:rsidR="00196C6E" w:rsidRPr="000B79B9" w:rsidRDefault="00196C6E">
      <w:pPr>
        <w:pBdr>
          <w:top w:val="nil"/>
          <w:left w:val="nil"/>
          <w:bottom w:val="nil"/>
          <w:right w:val="nil"/>
          <w:between w:val="nil"/>
        </w:pBdr>
        <w:rPr>
          <w:rFonts w:ascii="Times New Roman" w:eastAsia="Arial" w:hAnsi="Times New Roman" w:cs="Times New Roman"/>
          <w:color w:val="000000"/>
          <w:sz w:val="20"/>
          <w:szCs w:val="20"/>
        </w:rPr>
      </w:pPr>
    </w:p>
    <w:p w:rsidR="00196C6E" w:rsidRPr="000B79B9" w:rsidRDefault="00196C6E">
      <w:pPr>
        <w:pBdr>
          <w:top w:val="nil"/>
          <w:left w:val="nil"/>
          <w:bottom w:val="nil"/>
          <w:right w:val="nil"/>
          <w:between w:val="nil"/>
        </w:pBdr>
        <w:rPr>
          <w:rFonts w:ascii="Times New Roman" w:eastAsia="Arial" w:hAnsi="Times New Roman" w:cs="Times New Roman"/>
          <w:color w:val="000000"/>
          <w:sz w:val="20"/>
          <w:szCs w:val="20"/>
        </w:rPr>
      </w:pPr>
    </w:p>
    <w:p w:rsidR="00196C6E" w:rsidRPr="000B79B9" w:rsidRDefault="00B15061">
      <w:pPr>
        <w:pBdr>
          <w:top w:val="nil"/>
          <w:left w:val="nil"/>
          <w:bottom w:val="nil"/>
          <w:right w:val="nil"/>
          <w:between w:val="nil"/>
        </w:pBdr>
        <w:tabs>
          <w:tab w:val="left" w:pos="7680"/>
        </w:tabs>
        <w:rPr>
          <w:rFonts w:ascii="Times New Roman" w:eastAsia="Arial" w:hAnsi="Times New Roman" w:cs="Times New Roman"/>
          <w:color w:val="000000"/>
          <w:sz w:val="27"/>
          <w:szCs w:val="27"/>
        </w:rPr>
      </w:pPr>
      <w:r w:rsidRPr="000B79B9">
        <w:rPr>
          <w:rFonts w:ascii="Times New Roman" w:eastAsia="Arial" w:hAnsi="Times New Roman" w:cs="Times New Roman"/>
          <w:color w:val="000000"/>
          <w:sz w:val="27"/>
          <w:szCs w:val="27"/>
        </w:rPr>
        <w:tab/>
      </w:r>
      <w:r w:rsidRPr="000B79B9">
        <w:rPr>
          <w:rFonts w:ascii="Times New Roman" w:hAnsi="Times New Roman" w:cs="Times New Roman"/>
          <w:noProof/>
          <w:lang w:val="pt-BR"/>
        </w:rPr>
        <mc:AlternateContent>
          <mc:Choice Requires="wps">
            <w:drawing>
              <wp:anchor distT="0" distB="0" distL="0" distR="0" simplePos="0" relativeHeight="251658240" behindDoc="0" locked="0" layoutInCell="1" hidden="0" allowOverlap="1">
                <wp:simplePos x="0" y="0"/>
                <wp:positionH relativeFrom="column">
                  <wp:posOffset>2476500</wp:posOffset>
                </wp:positionH>
                <wp:positionV relativeFrom="paragraph">
                  <wp:posOffset>8699500</wp:posOffset>
                </wp:positionV>
                <wp:extent cx="1270" cy="12700"/>
                <wp:effectExtent l="0" t="0" r="0" b="0"/>
                <wp:wrapTopAndBottom distT="0" distB="0"/>
                <wp:docPr id="33" name="Forma Livre 33"/>
                <wp:cNvGraphicFramePr/>
                <a:graphic xmlns:a="http://schemas.openxmlformats.org/drawingml/2006/main">
                  <a:graphicData uri="http://schemas.microsoft.com/office/word/2010/wordprocessingShape">
                    <wps:wsp>
                      <wps:cNvSpPr/>
                      <wps:spPr>
                        <a:xfrm>
                          <a:off x="3726750" y="3779365"/>
                          <a:ext cx="3238500" cy="1270"/>
                        </a:xfrm>
                        <a:custGeom>
                          <a:avLst/>
                          <a:gdLst/>
                          <a:ahLst/>
                          <a:cxnLst/>
                          <a:rect l="l" t="t" r="r" b="b"/>
                          <a:pathLst>
                            <a:path w="5100" h="120000" extrusionOk="0">
                              <a:moveTo>
                                <a:pt x="0" y="0"/>
                              </a:moveTo>
                              <a:lnTo>
                                <a:pt x="5100" y="0"/>
                              </a:lnTo>
                            </a:path>
                          </a:pathLst>
                        </a:custGeom>
                        <a:noFill/>
                        <a:ln w="96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2476500</wp:posOffset>
                </wp:positionH>
                <wp:positionV relativeFrom="paragraph">
                  <wp:posOffset>8699500</wp:posOffset>
                </wp:positionV>
                <wp:extent cx="1270" cy="12700"/>
                <wp:effectExtent b="0" l="0" r="0" t="0"/>
                <wp:wrapTopAndBottom distB="0" distT="0"/>
                <wp:docPr id="33"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r w:rsidRPr="000B79B9">
        <w:rPr>
          <w:rFonts w:ascii="Times New Roman" w:hAnsi="Times New Roman" w:cs="Times New Roman"/>
          <w:noProof/>
          <w:lang w:val="pt-BR"/>
        </w:rPr>
        <mc:AlternateContent>
          <mc:Choice Requires="wps">
            <w:drawing>
              <wp:anchor distT="0" distB="0" distL="0" distR="0" simplePos="0" relativeHeight="251659264" behindDoc="0" locked="0" layoutInCell="1" hidden="0" allowOverlap="1">
                <wp:simplePos x="0" y="0"/>
                <wp:positionH relativeFrom="column">
                  <wp:posOffset>2476500</wp:posOffset>
                </wp:positionH>
                <wp:positionV relativeFrom="paragraph">
                  <wp:posOffset>8699500</wp:posOffset>
                </wp:positionV>
                <wp:extent cx="1270" cy="12700"/>
                <wp:effectExtent l="0" t="0" r="0" b="0"/>
                <wp:wrapTopAndBottom distT="0" distB="0"/>
                <wp:docPr id="31" name="Forma Livre 31"/>
                <wp:cNvGraphicFramePr/>
                <a:graphic xmlns:a="http://schemas.openxmlformats.org/drawingml/2006/main">
                  <a:graphicData uri="http://schemas.microsoft.com/office/word/2010/wordprocessingShape">
                    <wps:wsp>
                      <wps:cNvSpPr/>
                      <wps:spPr>
                        <a:xfrm>
                          <a:off x="3726750" y="3779365"/>
                          <a:ext cx="3238500" cy="1270"/>
                        </a:xfrm>
                        <a:custGeom>
                          <a:avLst/>
                          <a:gdLst/>
                          <a:ahLst/>
                          <a:cxnLst/>
                          <a:rect l="l" t="t" r="r" b="b"/>
                          <a:pathLst>
                            <a:path w="5100" h="120000" extrusionOk="0">
                              <a:moveTo>
                                <a:pt x="0" y="0"/>
                              </a:moveTo>
                              <a:lnTo>
                                <a:pt x="5100" y="0"/>
                              </a:lnTo>
                            </a:path>
                          </a:pathLst>
                        </a:custGeom>
                        <a:noFill/>
                        <a:ln w="96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2476500</wp:posOffset>
                </wp:positionH>
                <wp:positionV relativeFrom="paragraph">
                  <wp:posOffset>8699500</wp:posOffset>
                </wp:positionV>
                <wp:extent cx="1270" cy="12700"/>
                <wp:effectExtent b="0" l="0" r="0" t="0"/>
                <wp:wrapTopAndBottom distB="0" distT="0"/>
                <wp:docPr id="31"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1270" cy="12700"/>
                        </a:xfrm>
                        <a:prstGeom prst="rect"/>
                        <a:ln/>
                      </pic:spPr>
                    </pic:pic>
                  </a:graphicData>
                </a:graphic>
              </wp:anchor>
            </w:drawing>
          </mc:Fallback>
        </mc:AlternateContent>
      </w:r>
    </w:p>
    <w:p w:rsidR="00196C6E" w:rsidRPr="000B79B9" w:rsidRDefault="00B15061">
      <w:pPr>
        <w:pBdr>
          <w:top w:val="nil"/>
          <w:left w:val="nil"/>
          <w:bottom w:val="nil"/>
          <w:right w:val="nil"/>
          <w:between w:val="nil"/>
        </w:pBdr>
        <w:ind w:left="4094"/>
        <w:jc w:val="both"/>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Prof.</w:t>
      </w:r>
      <w:r w:rsidR="00060487" w:rsidRPr="000B79B9">
        <w:rPr>
          <w:rFonts w:ascii="Times New Roman" w:eastAsia="Arial" w:hAnsi="Times New Roman" w:cs="Times New Roman"/>
          <w:color w:val="000000"/>
          <w:sz w:val="24"/>
          <w:szCs w:val="24"/>
        </w:rPr>
        <w:t>º</w:t>
      </w:r>
      <w:r w:rsidRPr="000B79B9">
        <w:rPr>
          <w:rFonts w:ascii="Times New Roman" w:eastAsia="Arial" w:hAnsi="Times New Roman" w:cs="Times New Roman"/>
          <w:color w:val="000000"/>
          <w:sz w:val="24"/>
          <w:szCs w:val="24"/>
        </w:rPr>
        <w:t xml:space="preserve"> da UniFacisa, Antônio Pedro de Melo Netto, Especialista em Direito Público.</w:t>
      </w:r>
      <w:r w:rsidRPr="000B79B9">
        <w:rPr>
          <w:rFonts w:ascii="Times New Roman" w:hAnsi="Times New Roman" w:cs="Times New Roman"/>
          <w:noProof/>
          <w:lang w:val="pt-BR"/>
        </w:rPr>
        <mc:AlternateContent>
          <mc:Choice Requires="wps">
            <w:drawing>
              <wp:anchor distT="0" distB="0" distL="0" distR="0" simplePos="0" relativeHeight="251660288" behindDoc="0" locked="0" layoutInCell="1" hidden="0" allowOverlap="1">
                <wp:simplePos x="0" y="0"/>
                <wp:positionH relativeFrom="column">
                  <wp:posOffset>2476500</wp:posOffset>
                </wp:positionH>
                <wp:positionV relativeFrom="paragraph">
                  <wp:posOffset>0</wp:posOffset>
                </wp:positionV>
                <wp:extent cx="1270" cy="12700"/>
                <wp:effectExtent l="0" t="0" r="0" b="0"/>
                <wp:wrapTopAndBottom distT="0" distB="0"/>
                <wp:docPr id="29" name="Forma Livre 29"/>
                <wp:cNvGraphicFramePr/>
                <a:graphic xmlns:a="http://schemas.openxmlformats.org/drawingml/2006/main">
                  <a:graphicData uri="http://schemas.microsoft.com/office/word/2010/wordprocessingShape">
                    <wps:wsp>
                      <wps:cNvSpPr/>
                      <wps:spPr>
                        <a:xfrm>
                          <a:off x="3726750" y="3779365"/>
                          <a:ext cx="3238500" cy="1270"/>
                        </a:xfrm>
                        <a:custGeom>
                          <a:avLst/>
                          <a:gdLst/>
                          <a:ahLst/>
                          <a:cxnLst/>
                          <a:rect l="l" t="t" r="r" b="b"/>
                          <a:pathLst>
                            <a:path w="5100" h="120000" extrusionOk="0">
                              <a:moveTo>
                                <a:pt x="0" y="0"/>
                              </a:moveTo>
                              <a:lnTo>
                                <a:pt x="5100" y="0"/>
                              </a:lnTo>
                            </a:path>
                          </a:pathLst>
                        </a:custGeom>
                        <a:noFill/>
                        <a:ln w="96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2476500</wp:posOffset>
                </wp:positionH>
                <wp:positionV relativeFrom="paragraph">
                  <wp:posOffset>0</wp:posOffset>
                </wp:positionV>
                <wp:extent cx="1270" cy="12700"/>
                <wp:effectExtent b="0" l="0" r="0" t="0"/>
                <wp:wrapTopAndBottom distB="0" distT="0"/>
                <wp:docPr id="29"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1270" cy="12700"/>
                        </a:xfrm>
                        <a:prstGeom prst="rect"/>
                        <a:ln/>
                      </pic:spPr>
                    </pic:pic>
                  </a:graphicData>
                </a:graphic>
              </wp:anchor>
            </w:drawing>
          </mc:Fallback>
        </mc:AlternateContent>
      </w:r>
    </w:p>
    <w:p w:rsidR="00196C6E" w:rsidRPr="000B79B9" w:rsidRDefault="00B15061">
      <w:pPr>
        <w:pBdr>
          <w:top w:val="nil"/>
          <w:left w:val="nil"/>
          <w:bottom w:val="nil"/>
          <w:right w:val="nil"/>
          <w:between w:val="nil"/>
        </w:pBdr>
        <w:ind w:left="4094"/>
        <w:jc w:val="center"/>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Orientador</w:t>
      </w:r>
    </w:p>
    <w:p w:rsidR="00196C6E" w:rsidRPr="000B79B9" w:rsidRDefault="00196C6E">
      <w:pPr>
        <w:pBdr>
          <w:top w:val="nil"/>
          <w:left w:val="nil"/>
          <w:bottom w:val="nil"/>
          <w:right w:val="nil"/>
          <w:between w:val="nil"/>
        </w:pBdr>
        <w:rPr>
          <w:rFonts w:ascii="Times New Roman" w:eastAsia="Arial" w:hAnsi="Times New Roman" w:cs="Times New Roman"/>
          <w:color w:val="000000"/>
          <w:sz w:val="20"/>
          <w:szCs w:val="20"/>
        </w:rPr>
      </w:pPr>
    </w:p>
    <w:p w:rsidR="00196C6E" w:rsidRPr="000B79B9" w:rsidRDefault="00B15061">
      <w:pPr>
        <w:pBdr>
          <w:top w:val="nil"/>
          <w:left w:val="nil"/>
          <w:bottom w:val="nil"/>
          <w:right w:val="nil"/>
          <w:between w:val="nil"/>
        </w:pBdr>
        <w:spacing w:before="4"/>
        <w:rPr>
          <w:rFonts w:ascii="Times New Roman" w:eastAsia="Arial" w:hAnsi="Times New Roman" w:cs="Times New Roman"/>
          <w:color w:val="000000"/>
          <w:sz w:val="25"/>
          <w:szCs w:val="25"/>
        </w:rPr>
      </w:pPr>
      <w:r w:rsidRPr="000B79B9">
        <w:rPr>
          <w:rFonts w:ascii="Times New Roman" w:hAnsi="Times New Roman" w:cs="Times New Roman"/>
          <w:noProof/>
          <w:lang w:val="pt-BR"/>
        </w:rPr>
        <mc:AlternateContent>
          <mc:Choice Requires="wps">
            <w:drawing>
              <wp:anchor distT="0" distB="0" distL="0" distR="0" simplePos="0" relativeHeight="251661312" behindDoc="0" locked="0" layoutInCell="1" hidden="0" allowOverlap="1">
                <wp:simplePos x="0" y="0"/>
                <wp:positionH relativeFrom="column">
                  <wp:posOffset>2476500</wp:posOffset>
                </wp:positionH>
                <wp:positionV relativeFrom="paragraph">
                  <wp:posOffset>215900</wp:posOffset>
                </wp:positionV>
                <wp:extent cx="1270" cy="12700"/>
                <wp:effectExtent l="0" t="0" r="0" b="0"/>
                <wp:wrapTopAndBottom distT="0" distB="0"/>
                <wp:docPr id="28" name="Forma Livre 28"/>
                <wp:cNvGraphicFramePr/>
                <a:graphic xmlns:a="http://schemas.openxmlformats.org/drawingml/2006/main">
                  <a:graphicData uri="http://schemas.microsoft.com/office/word/2010/wordprocessingShape">
                    <wps:wsp>
                      <wps:cNvSpPr/>
                      <wps:spPr>
                        <a:xfrm>
                          <a:off x="3726750" y="3779365"/>
                          <a:ext cx="3238500" cy="1270"/>
                        </a:xfrm>
                        <a:custGeom>
                          <a:avLst/>
                          <a:gdLst/>
                          <a:ahLst/>
                          <a:cxnLst/>
                          <a:rect l="l" t="t" r="r" b="b"/>
                          <a:pathLst>
                            <a:path w="5100" h="120000" extrusionOk="0">
                              <a:moveTo>
                                <a:pt x="0" y="0"/>
                              </a:moveTo>
                              <a:lnTo>
                                <a:pt x="5100" y="0"/>
                              </a:lnTo>
                            </a:path>
                          </a:pathLst>
                        </a:custGeom>
                        <a:noFill/>
                        <a:ln w="96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2476500</wp:posOffset>
                </wp:positionH>
                <wp:positionV relativeFrom="paragraph">
                  <wp:posOffset>215900</wp:posOffset>
                </wp:positionV>
                <wp:extent cx="1270" cy="12700"/>
                <wp:effectExtent b="0" l="0" r="0" t="0"/>
                <wp:wrapTopAndBottom distB="0" distT="0"/>
                <wp:docPr id="28" name="image1.png"/>
                <a:graphic>
                  <a:graphicData uri="http://schemas.openxmlformats.org/drawingml/2006/picture">
                    <pic:pic>
                      <pic:nvPicPr>
                        <pic:cNvPr id="0" name="image1.png"/>
                        <pic:cNvPicPr preferRelativeResize="0"/>
                      </pic:nvPicPr>
                      <pic:blipFill>
                        <a:blip r:embed="rId11"/>
                        <a:srcRect/>
                        <a:stretch>
                          <a:fillRect/>
                        </a:stretch>
                      </pic:blipFill>
                      <pic:spPr>
                        <a:xfrm>
                          <a:off x="0" y="0"/>
                          <a:ext cx="1270" cy="12700"/>
                        </a:xfrm>
                        <a:prstGeom prst="rect"/>
                        <a:ln/>
                      </pic:spPr>
                    </pic:pic>
                  </a:graphicData>
                </a:graphic>
              </wp:anchor>
            </w:drawing>
          </mc:Fallback>
        </mc:AlternateContent>
      </w:r>
    </w:p>
    <w:p w:rsidR="00196C6E" w:rsidRPr="000B79B9" w:rsidRDefault="00B15061">
      <w:pPr>
        <w:pBdr>
          <w:top w:val="nil"/>
          <w:left w:val="nil"/>
          <w:bottom w:val="nil"/>
          <w:right w:val="nil"/>
          <w:between w:val="nil"/>
        </w:pBdr>
        <w:ind w:left="4096"/>
        <w:jc w:val="both"/>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 xml:space="preserve">Prof.º da UniFacisa, Nome Completo do Segundo Membro, Titulação. </w:t>
      </w:r>
    </w:p>
    <w:p w:rsidR="00196C6E" w:rsidRPr="000B79B9" w:rsidRDefault="00196C6E">
      <w:pPr>
        <w:pBdr>
          <w:top w:val="nil"/>
          <w:left w:val="nil"/>
          <w:bottom w:val="nil"/>
          <w:right w:val="nil"/>
          <w:between w:val="nil"/>
        </w:pBdr>
        <w:rPr>
          <w:rFonts w:ascii="Times New Roman" w:eastAsia="Arial" w:hAnsi="Times New Roman" w:cs="Times New Roman"/>
          <w:color w:val="000000"/>
          <w:sz w:val="20"/>
          <w:szCs w:val="20"/>
        </w:rPr>
      </w:pPr>
    </w:p>
    <w:p w:rsidR="00196C6E" w:rsidRPr="000B79B9" w:rsidRDefault="00B15061">
      <w:pPr>
        <w:pBdr>
          <w:top w:val="nil"/>
          <w:left w:val="nil"/>
          <w:bottom w:val="nil"/>
          <w:right w:val="nil"/>
          <w:between w:val="nil"/>
        </w:pBdr>
        <w:spacing w:before="1"/>
        <w:rPr>
          <w:rFonts w:ascii="Times New Roman" w:eastAsia="Arial" w:hAnsi="Times New Roman" w:cs="Times New Roman"/>
          <w:color w:val="000000"/>
          <w:sz w:val="23"/>
          <w:szCs w:val="23"/>
        </w:rPr>
      </w:pPr>
      <w:r w:rsidRPr="000B79B9">
        <w:rPr>
          <w:rFonts w:ascii="Times New Roman" w:hAnsi="Times New Roman" w:cs="Times New Roman"/>
          <w:noProof/>
          <w:lang w:val="pt-BR"/>
        </w:rPr>
        <mc:AlternateContent>
          <mc:Choice Requires="wps">
            <w:drawing>
              <wp:anchor distT="0" distB="0" distL="0" distR="0" simplePos="0" relativeHeight="251662336" behindDoc="0" locked="0" layoutInCell="1" hidden="0" allowOverlap="1">
                <wp:simplePos x="0" y="0"/>
                <wp:positionH relativeFrom="column">
                  <wp:posOffset>2476500</wp:posOffset>
                </wp:positionH>
                <wp:positionV relativeFrom="paragraph">
                  <wp:posOffset>190500</wp:posOffset>
                </wp:positionV>
                <wp:extent cx="1270" cy="12700"/>
                <wp:effectExtent l="0" t="0" r="0" b="0"/>
                <wp:wrapTopAndBottom distT="0" distB="0"/>
                <wp:docPr id="30" name="Forma Livre 30"/>
                <wp:cNvGraphicFramePr/>
                <a:graphic xmlns:a="http://schemas.openxmlformats.org/drawingml/2006/main">
                  <a:graphicData uri="http://schemas.microsoft.com/office/word/2010/wordprocessingShape">
                    <wps:wsp>
                      <wps:cNvSpPr/>
                      <wps:spPr>
                        <a:xfrm>
                          <a:off x="3726750" y="3779365"/>
                          <a:ext cx="3238500" cy="1270"/>
                        </a:xfrm>
                        <a:custGeom>
                          <a:avLst/>
                          <a:gdLst/>
                          <a:ahLst/>
                          <a:cxnLst/>
                          <a:rect l="l" t="t" r="r" b="b"/>
                          <a:pathLst>
                            <a:path w="5100" h="120000" extrusionOk="0">
                              <a:moveTo>
                                <a:pt x="0" y="0"/>
                              </a:moveTo>
                              <a:lnTo>
                                <a:pt x="5100" y="0"/>
                              </a:lnTo>
                            </a:path>
                          </a:pathLst>
                        </a:custGeom>
                        <a:noFill/>
                        <a:ln w="96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2476500</wp:posOffset>
                </wp:positionH>
                <wp:positionV relativeFrom="paragraph">
                  <wp:posOffset>190500</wp:posOffset>
                </wp:positionV>
                <wp:extent cx="1270" cy="12700"/>
                <wp:effectExtent b="0" l="0" r="0" t="0"/>
                <wp:wrapTopAndBottom distB="0" distT="0"/>
                <wp:docPr id="30"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1270" cy="12700"/>
                        </a:xfrm>
                        <a:prstGeom prst="rect"/>
                        <a:ln/>
                      </pic:spPr>
                    </pic:pic>
                  </a:graphicData>
                </a:graphic>
              </wp:anchor>
            </w:drawing>
          </mc:Fallback>
        </mc:AlternateContent>
      </w:r>
    </w:p>
    <w:p w:rsidR="00196C6E" w:rsidRPr="000B79B9" w:rsidRDefault="00B15061">
      <w:pPr>
        <w:pBdr>
          <w:top w:val="nil"/>
          <w:left w:val="nil"/>
          <w:bottom w:val="nil"/>
          <w:right w:val="nil"/>
          <w:between w:val="nil"/>
        </w:pBdr>
        <w:ind w:left="4096"/>
        <w:jc w:val="both"/>
        <w:rPr>
          <w:rFonts w:ascii="Times New Roman" w:eastAsia="Arial" w:hAnsi="Times New Roman" w:cs="Times New Roman"/>
          <w:color w:val="000000"/>
          <w:sz w:val="24"/>
          <w:szCs w:val="24"/>
        </w:rPr>
        <w:sectPr w:rsidR="00196C6E" w:rsidRPr="000B79B9">
          <w:type w:val="continuous"/>
          <w:pgSz w:w="11907" w:h="16840"/>
          <w:pgMar w:top="1701" w:right="1134" w:bottom="1134" w:left="1701" w:header="720" w:footer="720" w:gutter="0"/>
          <w:cols w:space="720"/>
        </w:sectPr>
      </w:pPr>
      <w:r w:rsidRPr="000B79B9">
        <w:rPr>
          <w:rFonts w:ascii="Times New Roman" w:eastAsia="Arial" w:hAnsi="Times New Roman" w:cs="Times New Roman"/>
          <w:color w:val="000000"/>
          <w:sz w:val="24"/>
          <w:szCs w:val="24"/>
        </w:rPr>
        <w:t xml:space="preserve">Prof.º da UniFacisa, Nome Completo do Terceiro Membro, Titulação. </w:t>
      </w:r>
    </w:p>
    <w:p w:rsidR="00196C6E" w:rsidRPr="000B79B9" w:rsidRDefault="00B15061">
      <w:pPr>
        <w:pStyle w:val="Ttulo1"/>
        <w:spacing w:before="101"/>
        <w:ind w:left="3001"/>
        <w:rPr>
          <w:rFonts w:ascii="Times New Roman" w:hAnsi="Times New Roman" w:cs="Times New Roman"/>
        </w:rPr>
      </w:pPr>
      <w:r w:rsidRPr="000B79B9">
        <w:rPr>
          <w:rFonts w:ascii="Times New Roman" w:hAnsi="Times New Roman" w:cs="Times New Roman"/>
        </w:rPr>
        <w:lastRenderedPageBreak/>
        <w:t>AGRADECIMENTOS</w:t>
      </w:r>
    </w:p>
    <w:p w:rsidR="00196C6E" w:rsidRPr="000B79B9" w:rsidRDefault="00196C6E" w:rsidP="000B79B9">
      <w:pPr>
        <w:pStyle w:val="Corpodetexto"/>
      </w:pPr>
    </w:p>
    <w:p w:rsidR="0070203A" w:rsidRPr="000B79B9" w:rsidRDefault="0070203A" w:rsidP="0070203A">
      <w:pPr>
        <w:spacing w:line="360" w:lineRule="auto"/>
        <w:ind w:firstLine="720"/>
        <w:jc w:val="both"/>
        <w:rPr>
          <w:rFonts w:ascii="Times New Roman" w:hAnsi="Times New Roman" w:cs="Times New Roman"/>
          <w:sz w:val="24"/>
        </w:rPr>
      </w:pPr>
      <w:r w:rsidRPr="000B79B9">
        <w:rPr>
          <w:rFonts w:ascii="Times New Roman" w:hAnsi="Times New Roman" w:cs="Times New Roman"/>
          <w:sz w:val="24"/>
        </w:rPr>
        <w:t>Aos meus pais, Saulo e Cláudia,</w:t>
      </w:r>
      <w:r w:rsidR="004A39F2" w:rsidRPr="000B79B9">
        <w:rPr>
          <w:rFonts w:ascii="Times New Roman" w:hAnsi="Times New Roman" w:cs="Times New Roman"/>
          <w:sz w:val="24"/>
        </w:rPr>
        <w:t xml:space="preserve"> por todo o amor, dedicação e sacrifícios que fizeram para me proporcionar uma educação de qualidade. Vocês são minha base e minha inspiração, e não teria chegado até aqui sem o apoio incondicional de vocês.</w:t>
      </w:r>
    </w:p>
    <w:p w:rsidR="0070203A" w:rsidRPr="000B79B9" w:rsidRDefault="0070203A" w:rsidP="0070203A">
      <w:pPr>
        <w:spacing w:line="360" w:lineRule="auto"/>
        <w:ind w:firstLine="720"/>
        <w:jc w:val="both"/>
        <w:rPr>
          <w:rFonts w:ascii="Times New Roman" w:hAnsi="Times New Roman" w:cs="Times New Roman"/>
          <w:sz w:val="24"/>
        </w:rPr>
      </w:pPr>
      <w:r w:rsidRPr="000B79B9">
        <w:rPr>
          <w:rFonts w:ascii="Times New Roman" w:hAnsi="Times New Roman" w:cs="Times New Roman"/>
          <w:sz w:val="24"/>
        </w:rPr>
        <w:t xml:space="preserve">Ao meu orientador, </w:t>
      </w:r>
      <w:r w:rsidR="00060487" w:rsidRPr="000B79B9">
        <w:rPr>
          <w:rFonts w:ascii="Times New Roman" w:eastAsia="Arial" w:hAnsi="Times New Roman" w:cs="Times New Roman"/>
          <w:color w:val="000000"/>
          <w:sz w:val="24"/>
          <w:szCs w:val="24"/>
        </w:rPr>
        <w:t xml:space="preserve">Prof.º </w:t>
      </w:r>
      <w:r w:rsidR="00C53EB2" w:rsidRPr="000B79B9">
        <w:rPr>
          <w:rFonts w:ascii="Times New Roman" w:hAnsi="Times New Roman" w:cs="Times New Roman"/>
          <w:sz w:val="24"/>
        </w:rPr>
        <w:t>Antô</w:t>
      </w:r>
      <w:r w:rsidRPr="000B79B9">
        <w:rPr>
          <w:rFonts w:ascii="Times New Roman" w:hAnsi="Times New Roman" w:cs="Times New Roman"/>
          <w:sz w:val="24"/>
        </w:rPr>
        <w:t>nio Pedro de Mélo Netto, por toda a sua dedicação e orientação ao longo desse processo. Seu</w:t>
      </w:r>
      <w:r w:rsidR="004A39F2" w:rsidRPr="000B79B9">
        <w:rPr>
          <w:rFonts w:ascii="Times New Roman" w:hAnsi="Times New Roman" w:cs="Times New Roman"/>
          <w:sz w:val="24"/>
        </w:rPr>
        <w:t xml:space="preserve"> conhecimento e comprometimento foram fundamentais para o desenvolvimento e a conclusão deste trabalho.</w:t>
      </w:r>
    </w:p>
    <w:p w:rsidR="0070203A" w:rsidRPr="000B79B9" w:rsidRDefault="0070203A" w:rsidP="00422767">
      <w:pPr>
        <w:spacing w:line="360" w:lineRule="auto"/>
        <w:ind w:firstLine="720"/>
        <w:jc w:val="both"/>
        <w:rPr>
          <w:rFonts w:ascii="Times New Roman" w:hAnsi="Times New Roman" w:cs="Times New Roman"/>
          <w:sz w:val="24"/>
        </w:rPr>
      </w:pPr>
      <w:r w:rsidRPr="000B79B9">
        <w:rPr>
          <w:rFonts w:ascii="Times New Roman" w:hAnsi="Times New Roman" w:cs="Times New Roman"/>
          <w:sz w:val="24"/>
        </w:rPr>
        <w:t>Ao meu irmão</w:t>
      </w:r>
      <w:r w:rsidR="001242F0" w:rsidRPr="000B79B9">
        <w:rPr>
          <w:rFonts w:ascii="Times New Roman" w:hAnsi="Times New Roman" w:cs="Times New Roman"/>
          <w:sz w:val="24"/>
        </w:rPr>
        <w:t>,</w:t>
      </w:r>
      <w:r w:rsidRPr="000B79B9">
        <w:rPr>
          <w:rFonts w:ascii="Times New Roman" w:hAnsi="Times New Roman" w:cs="Times New Roman"/>
          <w:sz w:val="24"/>
        </w:rPr>
        <w:t xml:space="preserve"> Francisco, </w:t>
      </w:r>
      <w:r w:rsidR="00422767" w:rsidRPr="000B79B9">
        <w:rPr>
          <w:rFonts w:ascii="Times New Roman" w:hAnsi="Times New Roman" w:cs="Times New Roman"/>
          <w:sz w:val="24"/>
        </w:rPr>
        <w:t>que desde</w:t>
      </w:r>
      <w:r w:rsidRPr="000B79B9">
        <w:rPr>
          <w:rFonts w:ascii="Times New Roman" w:hAnsi="Times New Roman" w:cs="Times New Roman"/>
          <w:sz w:val="24"/>
        </w:rPr>
        <w:t xml:space="preserve"> o começo esteve ao meu lado, compartilhando das minhas alegrias e desafios. Sua presença </w:t>
      </w:r>
      <w:r w:rsidR="00F21D62" w:rsidRPr="000B79B9">
        <w:rPr>
          <w:rFonts w:ascii="Times New Roman" w:hAnsi="Times New Roman" w:cs="Times New Roman"/>
          <w:sz w:val="24"/>
        </w:rPr>
        <w:t>na minha vida é um</w:t>
      </w:r>
      <w:r w:rsidRPr="000B79B9">
        <w:rPr>
          <w:rFonts w:ascii="Times New Roman" w:hAnsi="Times New Roman" w:cs="Times New Roman"/>
          <w:sz w:val="24"/>
        </w:rPr>
        <w:t xml:space="preserve"> verdadeiro presente.</w:t>
      </w:r>
      <w:r w:rsidR="00AD24ED" w:rsidRPr="000B79B9">
        <w:rPr>
          <w:rFonts w:ascii="Times New Roman" w:hAnsi="Times New Roman" w:cs="Times New Roman"/>
          <w:sz w:val="24"/>
        </w:rPr>
        <w:t xml:space="preserve"> Agradeço por sempre acreditar em mim.</w:t>
      </w:r>
    </w:p>
    <w:p w:rsidR="0070203A" w:rsidRPr="000B79B9" w:rsidRDefault="00F21D62" w:rsidP="00F21D62">
      <w:pPr>
        <w:spacing w:line="360" w:lineRule="auto"/>
        <w:ind w:firstLine="720"/>
        <w:jc w:val="both"/>
        <w:rPr>
          <w:rFonts w:ascii="Times New Roman" w:hAnsi="Times New Roman" w:cs="Times New Roman"/>
          <w:sz w:val="24"/>
        </w:rPr>
      </w:pPr>
      <w:r w:rsidRPr="000B79B9">
        <w:rPr>
          <w:rFonts w:ascii="Times New Roman" w:hAnsi="Times New Roman" w:cs="Times New Roman"/>
          <w:sz w:val="24"/>
        </w:rPr>
        <w:t>À minha companheira de vida,</w:t>
      </w:r>
      <w:r w:rsidR="0070203A" w:rsidRPr="000B79B9">
        <w:rPr>
          <w:rFonts w:ascii="Times New Roman" w:hAnsi="Times New Roman" w:cs="Times New Roman"/>
          <w:sz w:val="24"/>
        </w:rPr>
        <w:t xml:space="preserve"> Maysa, palavras não são suficientes para expre</w:t>
      </w:r>
      <w:r w:rsidRPr="000B79B9">
        <w:rPr>
          <w:rFonts w:ascii="Times New Roman" w:hAnsi="Times New Roman" w:cs="Times New Roman"/>
          <w:sz w:val="24"/>
        </w:rPr>
        <w:t>ssar o quanto sou grata</w:t>
      </w:r>
      <w:r w:rsidR="0070203A" w:rsidRPr="000B79B9">
        <w:rPr>
          <w:rFonts w:ascii="Times New Roman" w:hAnsi="Times New Roman" w:cs="Times New Roman"/>
          <w:sz w:val="24"/>
        </w:rPr>
        <w:t xml:space="preserve"> por ter você ao meu lado. Seu amor, compreensão e incentivo foram essenciais para que eu mantivesse o foco e a determinação </w:t>
      </w:r>
      <w:r w:rsidR="00FA0F67" w:rsidRPr="000B79B9">
        <w:rPr>
          <w:rFonts w:ascii="Times New Roman" w:hAnsi="Times New Roman" w:cs="Times New Roman"/>
          <w:sz w:val="24"/>
        </w:rPr>
        <w:t>durante esse processo.</w:t>
      </w:r>
      <w:r w:rsidR="00A05916" w:rsidRPr="000B79B9">
        <w:rPr>
          <w:rFonts w:ascii="Times New Roman" w:hAnsi="Times New Roman" w:cs="Times New Roman"/>
          <w:sz w:val="24"/>
        </w:rPr>
        <w:t xml:space="preserve"> </w:t>
      </w:r>
    </w:p>
    <w:p w:rsidR="0070203A" w:rsidRPr="000B79B9" w:rsidRDefault="0070203A" w:rsidP="00F21D62">
      <w:pPr>
        <w:spacing w:line="360" w:lineRule="auto"/>
        <w:ind w:firstLine="720"/>
        <w:jc w:val="both"/>
        <w:rPr>
          <w:rFonts w:ascii="Times New Roman" w:hAnsi="Times New Roman" w:cs="Times New Roman"/>
          <w:sz w:val="24"/>
        </w:rPr>
      </w:pPr>
      <w:r w:rsidRPr="000B79B9">
        <w:rPr>
          <w:rFonts w:ascii="Times New Roman" w:hAnsi="Times New Roman" w:cs="Times New Roman"/>
          <w:sz w:val="24"/>
        </w:rPr>
        <w:t>Aos meus amigos</w:t>
      </w:r>
      <w:r w:rsidR="00F21D62" w:rsidRPr="000B79B9">
        <w:rPr>
          <w:rFonts w:ascii="Times New Roman" w:hAnsi="Times New Roman" w:cs="Times New Roman"/>
          <w:sz w:val="24"/>
        </w:rPr>
        <w:t>,</w:t>
      </w:r>
      <w:r w:rsidRPr="000B79B9">
        <w:rPr>
          <w:rFonts w:ascii="Times New Roman" w:hAnsi="Times New Roman" w:cs="Times New Roman"/>
          <w:sz w:val="24"/>
        </w:rPr>
        <w:t xml:space="preserve"> Andrey, Mariana, Maria Eduar</w:t>
      </w:r>
      <w:r w:rsidR="00C53EB2" w:rsidRPr="000B79B9">
        <w:rPr>
          <w:rFonts w:ascii="Times New Roman" w:hAnsi="Times New Roman" w:cs="Times New Roman"/>
          <w:sz w:val="24"/>
        </w:rPr>
        <w:t>da, Laila, Beatriz, Carla, André</w:t>
      </w:r>
      <w:r w:rsidRPr="000B79B9">
        <w:rPr>
          <w:rFonts w:ascii="Times New Roman" w:hAnsi="Times New Roman" w:cs="Times New Roman"/>
          <w:sz w:val="24"/>
        </w:rPr>
        <w:t xml:space="preserve">ia e Letícia, vocês são minha segunda família. O apoio mútuo que nos dedicamos </w:t>
      </w:r>
      <w:r w:rsidR="00BF5E5F" w:rsidRPr="000B79B9">
        <w:rPr>
          <w:rFonts w:ascii="Times New Roman" w:hAnsi="Times New Roman" w:cs="Times New Roman"/>
          <w:sz w:val="24"/>
        </w:rPr>
        <w:t>desde</w:t>
      </w:r>
      <w:r w:rsidR="00A05916" w:rsidRPr="000B79B9">
        <w:rPr>
          <w:rFonts w:ascii="Times New Roman" w:hAnsi="Times New Roman" w:cs="Times New Roman"/>
          <w:sz w:val="24"/>
        </w:rPr>
        <w:t xml:space="preserve"> infância </w:t>
      </w:r>
      <w:r w:rsidRPr="000B79B9">
        <w:rPr>
          <w:rFonts w:ascii="Times New Roman" w:hAnsi="Times New Roman" w:cs="Times New Roman"/>
          <w:sz w:val="24"/>
        </w:rPr>
        <w:t>é algo que valorizo profundamente. Vocês foram minha fonte de força e motivação nos momentos mais difíceis.</w:t>
      </w:r>
    </w:p>
    <w:p w:rsidR="0070203A" w:rsidRPr="000B79B9" w:rsidRDefault="008E63CB" w:rsidP="008E63CB">
      <w:pPr>
        <w:spacing w:line="360" w:lineRule="auto"/>
        <w:ind w:firstLine="720"/>
        <w:jc w:val="both"/>
        <w:rPr>
          <w:rFonts w:ascii="Times New Roman" w:hAnsi="Times New Roman" w:cs="Times New Roman"/>
          <w:sz w:val="24"/>
        </w:rPr>
      </w:pPr>
      <w:r w:rsidRPr="000B79B9">
        <w:rPr>
          <w:rFonts w:ascii="Times New Roman" w:hAnsi="Times New Roman" w:cs="Times New Roman"/>
          <w:sz w:val="24"/>
        </w:rPr>
        <w:t>À</w:t>
      </w:r>
      <w:r w:rsidR="0070203A" w:rsidRPr="000B79B9">
        <w:rPr>
          <w:rFonts w:ascii="Times New Roman" w:hAnsi="Times New Roman" w:cs="Times New Roman"/>
          <w:sz w:val="24"/>
        </w:rPr>
        <w:t xml:space="preserve"> minha psicóloga, </w:t>
      </w:r>
      <w:r w:rsidR="00AD24ED" w:rsidRPr="000B79B9">
        <w:rPr>
          <w:rFonts w:ascii="Times New Roman" w:hAnsi="Times New Roman" w:cs="Times New Roman"/>
          <w:sz w:val="24"/>
        </w:rPr>
        <w:t xml:space="preserve">Dra. </w:t>
      </w:r>
      <w:r w:rsidR="009C44C4" w:rsidRPr="000B79B9">
        <w:rPr>
          <w:rFonts w:ascii="Times New Roman" w:hAnsi="Times New Roman" w:cs="Times New Roman"/>
          <w:sz w:val="24"/>
        </w:rPr>
        <w:t xml:space="preserve">Joseilma Ramalho, </w:t>
      </w:r>
      <w:r w:rsidR="00AD2F44" w:rsidRPr="000B79B9">
        <w:rPr>
          <w:rFonts w:ascii="Times New Roman" w:hAnsi="Times New Roman" w:cs="Times New Roman"/>
          <w:sz w:val="24"/>
        </w:rPr>
        <w:t>por seu apoio inestimável ao longo deste processo. Suas palavras de sabedoria, orientação e aconselhamento foram fundamentais para o meu crescimento pessoal e acadêmico.</w:t>
      </w:r>
    </w:p>
    <w:p w:rsidR="0070203A" w:rsidRPr="000B79B9" w:rsidRDefault="004B2D76" w:rsidP="00EB0EEC">
      <w:pPr>
        <w:spacing w:line="360" w:lineRule="auto"/>
        <w:ind w:firstLine="720"/>
        <w:jc w:val="both"/>
        <w:rPr>
          <w:rFonts w:ascii="Times New Roman" w:hAnsi="Times New Roman" w:cs="Times New Roman"/>
          <w:sz w:val="24"/>
        </w:rPr>
      </w:pPr>
      <w:r w:rsidRPr="000B79B9">
        <w:rPr>
          <w:rFonts w:ascii="Times New Roman" w:hAnsi="Times New Roman" w:cs="Times New Roman"/>
          <w:sz w:val="24"/>
        </w:rPr>
        <w:t>À todos vocês, meu muito obrigada</w:t>
      </w:r>
      <w:r w:rsidR="0070203A" w:rsidRPr="000B79B9">
        <w:rPr>
          <w:rFonts w:ascii="Times New Roman" w:hAnsi="Times New Roman" w:cs="Times New Roman"/>
          <w:sz w:val="24"/>
        </w:rPr>
        <w:t>. Sei que sem cada um de vocês, essa conqui</w:t>
      </w:r>
      <w:r w:rsidR="009C44C4" w:rsidRPr="000B79B9">
        <w:rPr>
          <w:rFonts w:ascii="Times New Roman" w:hAnsi="Times New Roman" w:cs="Times New Roman"/>
          <w:sz w:val="24"/>
        </w:rPr>
        <w:t>sta não seria possível. Obrigada</w:t>
      </w:r>
      <w:r w:rsidR="0070203A" w:rsidRPr="000B79B9">
        <w:rPr>
          <w:rFonts w:ascii="Times New Roman" w:hAnsi="Times New Roman" w:cs="Times New Roman"/>
          <w:sz w:val="24"/>
        </w:rPr>
        <w:t xml:space="preserve"> por estarem presentes, por acreditarem em mim e por me apoiarem </w:t>
      </w:r>
      <w:r w:rsidR="000D1E27" w:rsidRPr="000B79B9">
        <w:rPr>
          <w:rFonts w:ascii="Times New Roman" w:hAnsi="Times New Roman" w:cs="Times New Roman"/>
          <w:sz w:val="24"/>
        </w:rPr>
        <w:t>durante essa etapa</w:t>
      </w:r>
      <w:r w:rsidR="0070203A" w:rsidRPr="000B79B9">
        <w:rPr>
          <w:rFonts w:ascii="Times New Roman" w:hAnsi="Times New Roman" w:cs="Times New Roman"/>
          <w:sz w:val="24"/>
        </w:rPr>
        <w:t xml:space="preserve"> da minha vida.</w:t>
      </w:r>
    </w:p>
    <w:p w:rsidR="00196C6E" w:rsidRPr="000B79B9" w:rsidRDefault="00196C6E">
      <w:pPr>
        <w:spacing w:line="360" w:lineRule="auto"/>
        <w:jc w:val="both"/>
        <w:rPr>
          <w:rFonts w:ascii="Times New Roman" w:hAnsi="Times New Roman" w:cs="Times New Roman"/>
        </w:rPr>
      </w:pPr>
    </w:p>
    <w:p w:rsidR="004B2D76" w:rsidRPr="000B79B9" w:rsidRDefault="004B2D76">
      <w:pPr>
        <w:spacing w:line="360" w:lineRule="auto"/>
        <w:jc w:val="both"/>
        <w:rPr>
          <w:rFonts w:ascii="Times New Roman" w:hAnsi="Times New Roman" w:cs="Times New Roman"/>
        </w:rPr>
      </w:pPr>
      <w:bookmarkStart w:id="0" w:name="_GoBack"/>
      <w:bookmarkEnd w:id="0"/>
    </w:p>
    <w:p w:rsidR="0078739D" w:rsidRPr="000B79B9" w:rsidRDefault="0078739D">
      <w:pPr>
        <w:spacing w:line="360" w:lineRule="auto"/>
        <w:jc w:val="both"/>
        <w:rPr>
          <w:rFonts w:ascii="Times New Roman" w:hAnsi="Times New Roman" w:cs="Times New Roman"/>
        </w:rPr>
      </w:pPr>
    </w:p>
    <w:p w:rsidR="004B2D76" w:rsidRPr="000B79B9" w:rsidRDefault="004B2D76">
      <w:pPr>
        <w:spacing w:line="360" w:lineRule="auto"/>
        <w:jc w:val="both"/>
        <w:rPr>
          <w:rFonts w:ascii="Times New Roman" w:hAnsi="Times New Roman" w:cs="Times New Roman"/>
        </w:rPr>
      </w:pPr>
    </w:p>
    <w:p w:rsidR="004B2D76" w:rsidRDefault="004B2D76">
      <w:pPr>
        <w:spacing w:line="360" w:lineRule="auto"/>
        <w:jc w:val="both"/>
        <w:rPr>
          <w:rFonts w:ascii="Times New Roman" w:hAnsi="Times New Roman" w:cs="Times New Roman"/>
        </w:rPr>
      </w:pPr>
    </w:p>
    <w:p w:rsidR="000B79B9" w:rsidRDefault="000B79B9">
      <w:pPr>
        <w:spacing w:line="360" w:lineRule="auto"/>
        <w:jc w:val="both"/>
        <w:rPr>
          <w:rFonts w:ascii="Times New Roman" w:hAnsi="Times New Roman" w:cs="Times New Roman"/>
        </w:rPr>
      </w:pPr>
    </w:p>
    <w:p w:rsidR="000B79B9" w:rsidRDefault="000B79B9">
      <w:pPr>
        <w:spacing w:line="360" w:lineRule="auto"/>
        <w:jc w:val="both"/>
        <w:rPr>
          <w:rFonts w:ascii="Times New Roman" w:hAnsi="Times New Roman" w:cs="Times New Roman"/>
        </w:rPr>
      </w:pPr>
    </w:p>
    <w:p w:rsidR="000B79B9" w:rsidRPr="000B79B9" w:rsidRDefault="000B79B9">
      <w:pPr>
        <w:spacing w:line="360" w:lineRule="auto"/>
        <w:jc w:val="both"/>
        <w:rPr>
          <w:rFonts w:ascii="Times New Roman" w:hAnsi="Times New Roman" w:cs="Times New Roman"/>
        </w:rPr>
      </w:pPr>
    </w:p>
    <w:p w:rsidR="004B2D76" w:rsidRPr="000B79B9" w:rsidRDefault="004B2D76">
      <w:pPr>
        <w:spacing w:line="360" w:lineRule="auto"/>
        <w:jc w:val="both"/>
        <w:rPr>
          <w:rFonts w:ascii="Times New Roman" w:hAnsi="Times New Roman" w:cs="Times New Roman"/>
        </w:rPr>
      </w:pPr>
    </w:p>
    <w:p w:rsidR="004B2D76" w:rsidRPr="000B79B9" w:rsidRDefault="004B2D76">
      <w:pPr>
        <w:spacing w:line="360" w:lineRule="auto"/>
        <w:jc w:val="both"/>
        <w:rPr>
          <w:rFonts w:ascii="Times New Roman" w:hAnsi="Times New Roman" w:cs="Times New Roman"/>
        </w:rPr>
      </w:pPr>
    </w:p>
    <w:p w:rsidR="004B2D76" w:rsidRPr="000B79B9" w:rsidRDefault="004B2D76">
      <w:pPr>
        <w:spacing w:line="360" w:lineRule="auto"/>
        <w:jc w:val="both"/>
        <w:rPr>
          <w:rFonts w:ascii="Times New Roman" w:hAnsi="Times New Roman" w:cs="Times New Roman"/>
        </w:rPr>
        <w:sectPr w:rsidR="004B2D76" w:rsidRPr="000B79B9">
          <w:type w:val="continuous"/>
          <w:pgSz w:w="11907" w:h="16840"/>
          <w:pgMar w:top="1701" w:right="1134" w:bottom="1134" w:left="1701" w:header="720" w:footer="720" w:gutter="0"/>
          <w:cols w:space="720"/>
        </w:sectPr>
      </w:pPr>
    </w:p>
    <w:p w:rsidR="00196C6E" w:rsidRPr="000B79B9" w:rsidRDefault="00B15061">
      <w:pPr>
        <w:widowControl/>
        <w:pBdr>
          <w:top w:val="nil"/>
          <w:left w:val="nil"/>
          <w:bottom w:val="nil"/>
          <w:right w:val="nil"/>
          <w:between w:val="nil"/>
        </w:pBdr>
        <w:tabs>
          <w:tab w:val="left" w:pos="708"/>
        </w:tabs>
        <w:spacing w:line="360" w:lineRule="auto"/>
        <w:jc w:val="center"/>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lastRenderedPageBreak/>
        <w:t>O DIREITO AO ESQUECIMENTO E A EXCLUSÃO DE DADOS PESSOAIS NA LGPD: ANÁLISE À LUZ DO TEMA N.º 786 DO STF</w:t>
      </w:r>
    </w:p>
    <w:p w:rsidR="00196C6E" w:rsidRPr="000B79B9" w:rsidRDefault="00196C6E">
      <w:pPr>
        <w:widowControl/>
        <w:pBdr>
          <w:top w:val="nil"/>
          <w:left w:val="nil"/>
          <w:bottom w:val="nil"/>
          <w:right w:val="nil"/>
          <w:between w:val="nil"/>
        </w:pBdr>
        <w:tabs>
          <w:tab w:val="left" w:pos="708"/>
        </w:tabs>
        <w:spacing w:line="360" w:lineRule="auto"/>
        <w:jc w:val="center"/>
        <w:rPr>
          <w:rFonts w:ascii="Times New Roman" w:eastAsia="Arial" w:hAnsi="Times New Roman" w:cs="Times New Roman"/>
          <w:color w:val="000000"/>
          <w:sz w:val="24"/>
          <w:szCs w:val="24"/>
        </w:rPr>
      </w:pPr>
    </w:p>
    <w:p w:rsidR="00196C6E" w:rsidRPr="000B79B9" w:rsidRDefault="00B15061">
      <w:pPr>
        <w:pBdr>
          <w:top w:val="nil"/>
          <w:left w:val="nil"/>
          <w:bottom w:val="nil"/>
          <w:right w:val="nil"/>
          <w:between w:val="nil"/>
        </w:pBdr>
        <w:spacing w:line="360" w:lineRule="auto"/>
        <w:ind w:right="102"/>
        <w:jc w:val="right"/>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Flávia Teles Fernandes Costa</w:t>
      </w:r>
      <w:r w:rsidRPr="000B79B9">
        <w:rPr>
          <w:rFonts w:ascii="Times New Roman" w:eastAsia="Arial" w:hAnsi="Times New Roman" w:cs="Times New Roman"/>
          <w:color w:val="000000"/>
          <w:sz w:val="24"/>
          <w:szCs w:val="24"/>
          <w:vertAlign w:val="superscript"/>
        </w:rPr>
        <w:footnoteReference w:id="1"/>
      </w:r>
      <w:r w:rsidRPr="000B79B9">
        <w:rPr>
          <w:rFonts w:ascii="Times New Roman" w:eastAsia="Arial" w:hAnsi="Times New Roman" w:cs="Times New Roman"/>
          <w:color w:val="000000"/>
          <w:sz w:val="24"/>
          <w:szCs w:val="24"/>
          <w:vertAlign w:val="superscript"/>
        </w:rPr>
        <w:t>*</w:t>
      </w:r>
      <w:r w:rsidRPr="000B79B9">
        <w:rPr>
          <w:rFonts w:ascii="Times New Roman" w:eastAsia="Arial" w:hAnsi="Times New Roman" w:cs="Times New Roman"/>
          <w:color w:val="000000"/>
          <w:sz w:val="24"/>
          <w:szCs w:val="24"/>
        </w:rPr>
        <w:t xml:space="preserve"> </w:t>
      </w:r>
    </w:p>
    <w:p w:rsidR="00196C6E" w:rsidRPr="000B79B9" w:rsidRDefault="00B15061">
      <w:pPr>
        <w:pBdr>
          <w:top w:val="nil"/>
          <w:left w:val="nil"/>
          <w:bottom w:val="nil"/>
          <w:right w:val="nil"/>
          <w:between w:val="nil"/>
        </w:pBdr>
        <w:spacing w:line="360" w:lineRule="auto"/>
        <w:ind w:right="102"/>
        <w:jc w:val="right"/>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Antônio Pedro de Melo Netto</w:t>
      </w:r>
      <w:r w:rsidRPr="000B79B9">
        <w:rPr>
          <w:rFonts w:ascii="Times New Roman" w:eastAsia="Arial" w:hAnsi="Times New Roman" w:cs="Times New Roman"/>
          <w:color w:val="000000"/>
          <w:sz w:val="24"/>
          <w:szCs w:val="24"/>
          <w:vertAlign w:val="superscript"/>
        </w:rPr>
        <w:footnoteReference w:id="2"/>
      </w:r>
      <w:r w:rsidRPr="000B79B9">
        <w:rPr>
          <w:rFonts w:ascii="Times New Roman" w:eastAsia="Arial" w:hAnsi="Times New Roman" w:cs="Times New Roman"/>
          <w:color w:val="000000"/>
          <w:sz w:val="24"/>
          <w:szCs w:val="24"/>
          <w:vertAlign w:val="superscript"/>
        </w:rPr>
        <w:t>**</w:t>
      </w:r>
    </w:p>
    <w:p w:rsidR="00196C6E" w:rsidRPr="000B79B9" w:rsidRDefault="00196C6E">
      <w:pPr>
        <w:pBdr>
          <w:top w:val="nil"/>
          <w:left w:val="nil"/>
          <w:bottom w:val="nil"/>
          <w:right w:val="nil"/>
          <w:between w:val="nil"/>
        </w:pBdr>
        <w:rPr>
          <w:rFonts w:ascii="Times New Roman" w:eastAsia="Arial" w:hAnsi="Times New Roman" w:cs="Times New Roman"/>
          <w:color w:val="000000"/>
          <w:sz w:val="24"/>
          <w:szCs w:val="24"/>
        </w:rPr>
      </w:pPr>
    </w:p>
    <w:p w:rsidR="00196C6E" w:rsidRPr="000B79B9" w:rsidRDefault="00196C6E">
      <w:pPr>
        <w:pBdr>
          <w:top w:val="nil"/>
          <w:left w:val="nil"/>
          <w:bottom w:val="nil"/>
          <w:right w:val="nil"/>
          <w:between w:val="nil"/>
        </w:pBdr>
        <w:rPr>
          <w:rFonts w:ascii="Times New Roman" w:eastAsia="Arial" w:hAnsi="Times New Roman" w:cs="Times New Roman"/>
          <w:color w:val="000000"/>
          <w:sz w:val="24"/>
          <w:szCs w:val="24"/>
        </w:rPr>
      </w:pPr>
    </w:p>
    <w:p w:rsidR="00196C6E" w:rsidRPr="000B79B9" w:rsidRDefault="00B15061">
      <w:pPr>
        <w:pBdr>
          <w:top w:val="nil"/>
          <w:left w:val="nil"/>
          <w:bottom w:val="nil"/>
          <w:right w:val="nil"/>
          <w:between w:val="nil"/>
        </w:pBdr>
        <w:ind w:left="2268"/>
        <w:jc w:val="right"/>
        <w:rPr>
          <w:rFonts w:ascii="Times New Roman" w:eastAsia="Arial" w:hAnsi="Times New Roman" w:cs="Times New Roman"/>
          <w:i/>
          <w:color w:val="000000"/>
          <w:sz w:val="20"/>
          <w:szCs w:val="20"/>
        </w:rPr>
      </w:pPr>
      <w:r w:rsidRPr="000B79B9">
        <w:rPr>
          <w:rFonts w:ascii="Times New Roman" w:eastAsia="Arial" w:hAnsi="Times New Roman" w:cs="Times New Roman"/>
          <w:i/>
          <w:color w:val="000000"/>
        </w:rPr>
        <w:t xml:space="preserve">A </w:t>
      </w:r>
      <w:r w:rsidRPr="000B79B9">
        <w:rPr>
          <w:rFonts w:ascii="Times New Roman" w:eastAsia="Arial" w:hAnsi="Times New Roman" w:cs="Times New Roman"/>
          <w:i/>
          <w:color w:val="000000"/>
          <w:sz w:val="20"/>
          <w:szCs w:val="20"/>
        </w:rPr>
        <w:t xml:space="preserve">liberdade é a possibilidade do isolamento. </w:t>
      </w:r>
    </w:p>
    <w:p w:rsidR="00196C6E" w:rsidRPr="000B79B9" w:rsidRDefault="00B15061">
      <w:pPr>
        <w:pBdr>
          <w:top w:val="nil"/>
          <w:left w:val="nil"/>
          <w:bottom w:val="nil"/>
          <w:right w:val="nil"/>
          <w:between w:val="nil"/>
        </w:pBdr>
        <w:ind w:left="2268"/>
        <w:jc w:val="right"/>
        <w:rPr>
          <w:rFonts w:ascii="Times New Roman" w:eastAsia="Arial" w:hAnsi="Times New Roman" w:cs="Times New Roman"/>
          <w:i/>
          <w:color w:val="000000"/>
          <w:sz w:val="20"/>
          <w:szCs w:val="20"/>
        </w:rPr>
      </w:pPr>
      <w:r w:rsidRPr="000B79B9">
        <w:rPr>
          <w:rFonts w:ascii="Times New Roman" w:eastAsia="Arial" w:hAnsi="Times New Roman" w:cs="Times New Roman"/>
          <w:i/>
          <w:color w:val="000000"/>
          <w:sz w:val="20"/>
          <w:szCs w:val="20"/>
        </w:rPr>
        <w:t>Se te é impossível viver só, nasceste escravo.</w:t>
      </w:r>
    </w:p>
    <w:p w:rsidR="00196C6E" w:rsidRPr="000B79B9" w:rsidRDefault="00B15061">
      <w:pPr>
        <w:pBdr>
          <w:top w:val="nil"/>
          <w:left w:val="nil"/>
          <w:bottom w:val="nil"/>
          <w:right w:val="nil"/>
          <w:between w:val="nil"/>
        </w:pBdr>
        <w:ind w:left="2268"/>
        <w:jc w:val="right"/>
        <w:rPr>
          <w:rFonts w:ascii="Times New Roman" w:eastAsia="Arial" w:hAnsi="Times New Roman" w:cs="Times New Roman"/>
          <w:color w:val="000000"/>
          <w:sz w:val="20"/>
          <w:szCs w:val="20"/>
        </w:rPr>
      </w:pPr>
      <w:r w:rsidRPr="000B79B9">
        <w:rPr>
          <w:rFonts w:ascii="Times New Roman" w:eastAsia="Arial" w:hAnsi="Times New Roman" w:cs="Times New Roman"/>
          <w:color w:val="000000"/>
          <w:sz w:val="20"/>
          <w:szCs w:val="20"/>
        </w:rPr>
        <w:t>(Fernando Pessoa)</w:t>
      </w:r>
    </w:p>
    <w:p w:rsidR="00196C6E" w:rsidRPr="000B79B9" w:rsidRDefault="00196C6E">
      <w:pPr>
        <w:pBdr>
          <w:top w:val="nil"/>
          <w:left w:val="nil"/>
          <w:bottom w:val="nil"/>
          <w:right w:val="nil"/>
          <w:between w:val="nil"/>
        </w:pBdr>
        <w:rPr>
          <w:rFonts w:ascii="Times New Roman" w:eastAsia="Arial" w:hAnsi="Times New Roman" w:cs="Times New Roman"/>
          <w:color w:val="000000"/>
        </w:rPr>
      </w:pPr>
    </w:p>
    <w:p w:rsidR="00196C6E" w:rsidRPr="000B79B9" w:rsidRDefault="00196C6E">
      <w:pPr>
        <w:pBdr>
          <w:top w:val="nil"/>
          <w:left w:val="nil"/>
          <w:bottom w:val="nil"/>
          <w:right w:val="nil"/>
          <w:between w:val="nil"/>
        </w:pBdr>
        <w:rPr>
          <w:rFonts w:ascii="Times New Roman" w:eastAsia="Arial" w:hAnsi="Times New Roman" w:cs="Times New Roman"/>
          <w:color w:val="000000"/>
        </w:rPr>
      </w:pPr>
    </w:p>
    <w:p w:rsidR="00196C6E" w:rsidRPr="000B79B9" w:rsidRDefault="00196C6E">
      <w:pPr>
        <w:pBdr>
          <w:top w:val="nil"/>
          <w:left w:val="nil"/>
          <w:bottom w:val="nil"/>
          <w:right w:val="nil"/>
          <w:between w:val="nil"/>
        </w:pBdr>
        <w:rPr>
          <w:rFonts w:ascii="Times New Roman" w:eastAsia="Arial" w:hAnsi="Times New Roman" w:cs="Times New Roman"/>
          <w:color w:val="000000"/>
        </w:rPr>
      </w:pPr>
    </w:p>
    <w:p w:rsidR="00196C6E" w:rsidRPr="000B79B9" w:rsidRDefault="00B15061">
      <w:pPr>
        <w:pStyle w:val="Ttulo1"/>
        <w:ind w:left="220" w:right="208"/>
        <w:jc w:val="center"/>
        <w:rPr>
          <w:rFonts w:ascii="Times New Roman" w:hAnsi="Times New Roman" w:cs="Times New Roman"/>
        </w:rPr>
      </w:pPr>
      <w:r w:rsidRPr="000B79B9">
        <w:rPr>
          <w:rFonts w:ascii="Times New Roman" w:hAnsi="Times New Roman" w:cs="Times New Roman"/>
        </w:rPr>
        <w:t>RESUMO</w:t>
      </w:r>
    </w:p>
    <w:p w:rsidR="00196C6E" w:rsidRPr="000B79B9" w:rsidRDefault="00196C6E">
      <w:pPr>
        <w:pBdr>
          <w:top w:val="nil"/>
          <w:left w:val="nil"/>
          <w:bottom w:val="nil"/>
          <w:right w:val="nil"/>
          <w:between w:val="nil"/>
        </w:pBdr>
        <w:ind w:right="107"/>
        <w:jc w:val="both"/>
        <w:rPr>
          <w:rFonts w:ascii="Times New Roman" w:eastAsia="Arial" w:hAnsi="Times New Roman" w:cs="Times New Roman"/>
          <w:color w:val="000000"/>
          <w:sz w:val="24"/>
          <w:szCs w:val="24"/>
        </w:rPr>
      </w:pPr>
    </w:p>
    <w:p w:rsidR="007A118E" w:rsidRPr="000B79B9" w:rsidRDefault="00173C88" w:rsidP="000B79B9">
      <w:pPr>
        <w:pBdr>
          <w:top w:val="nil"/>
          <w:left w:val="nil"/>
          <w:bottom w:val="nil"/>
          <w:right w:val="nil"/>
          <w:between w:val="nil"/>
        </w:pBdr>
        <w:spacing w:line="360" w:lineRule="auto"/>
        <w:ind w:left="121" w:right="107"/>
        <w:jc w:val="both"/>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O presente artigo busca analisar os limites e desafios da aplicação do direito ao esquecimento e da exclusão de dados pessoais na Lei Geral de Proteção de Dados (LGPD), considerando o Tema n.º 786 do Supremo Tribunal Federal (STF). O artigo expõe as origens e a evolução do direito ao esquecimento, seus fundamentos teóricos e doutrinários, a evolução normativa da proteção de dados pessoais no Brasil, as similaridades entre a exclusão de dados pessoais e o direito ao esquecimento, e a relevância deles na sociedade digital atual. O artigo também discute a conciliação do direito ao esquecimento e exclusão de dados pessoais com outros direitos fundamentais previstos na Constituição Federal de 1988, como o direito à intimidade e à vida privada, à liberdade de expressão e informação, à memória e à verdade. Essa conciliação se torna mais complexa após o julgamento do Recurso Especial 1010606/RJ, Tema n.º 786 de repercussão geral do STF, que declarou a incompatibilidade do direito ao esquecimento com a Constituição Federal. O artigo conclui que não há critérios definitivos para a aplicação equilibrada e proporcional desses direitos na LGPD, mas sugere algumas ferramentas da LGPD que podem auxiliar na tutela do direito ao esquecimento, bem como possibilidades de critérios para a ponderação caso a caso, em que se verifiquem conflitos entre liberdade de expressão, informação e direitos de personalidade. O artigo utiliza o estudo exploratório como método de pesquisa, com abordagem dedutiva e técnica bibliográfica, baseando-se em doutrina, legislação e jurisprudência pertinentes ao tema.</w:t>
      </w:r>
    </w:p>
    <w:p w:rsidR="00D21997" w:rsidRPr="000B79B9" w:rsidRDefault="00B15061" w:rsidP="000B79B9">
      <w:pPr>
        <w:pBdr>
          <w:top w:val="nil"/>
          <w:left w:val="nil"/>
          <w:bottom w:val="nil"/>
          <w:right w:val="nil"/>
          <w:between w:val="nil"/>
        </w:pBdr>
        <w:spacing w:line="360" w:lineRule="auto"/>
        <w:ind w:left="121" w:right="107"/>
        <w:jc w:val="both"/>
        <w:rPr>
          <w:rFonts w:ascii="Times New Roman" w:eastAsia="Arial" w:hAnsi="Times New Roman" w:cs="Times New Roman"/>
          <w:color w:val="000000"/>
          <w:sz w:val="24"/>
          <w:szCs w:val="24"/>
        </w:rPr>
      </w:pPr>
      <w:r w:rsidRPr="000B79B9">
        <w:rPr>
          <w:rFonts w:ascii="Times New Roman" w:eastAsia="Arial" w:hAnsi="Times New Roman" w:cs="Times New Roman"/>
          <w:b/>
          <w:color w:val="000000"/>
          <w:sz w:val="24"/>
          <w:szCs w:val="24"/>
        </w:rPr>
        <w:lastRenderedPageBreak/>
        <w:t>PALAVRAS-CHAVE</w:t>
      </w:r>
      <w:r w:rsidRPr="000B79B9">
        <w:rPr>
          <w:rFonts w:ascii="Times New Roman" w:eastAsia="Arial" w:hAnsi="Times New Roman" w:cs="Times New Roman"/>
          <w:color w:val="000000"/>
          <w:sz w:val="24"/>
          <w:szCs w:val="24"/>
        </w:rPr>
        <w:t>: Direito ao esquecimento. Exclusão de dados pessoais. Lei Geral de Proteção de Dados Pessoais (LGPD). Tema n.º 786. Supremo Tribunal Federal (STF).</w:t>
      </w:r>
    </w:p>
    <w:p w:rsidR="00196C6E" w:rsidRPr="000B79B9" w:rsidRDefault="00196C6E">
      <w:pPr>
        <w:pBdr>
          <w:top w:val="nil"/>
          <w:left w:val="nil"/>
          <w:bottom w:val="nil"/>
          <w:right w:val="nil"/>
          <w:between w:val="nil"/>
        </w:pBdr>
        <w:rPr>
          <w:rFonts w:ascii="Times New Roman" w:eastAsia="Arial" w:hAnsi="Times New Roman" w:cs="Times New Roman"/>
          <w:color w:val="000000"/>
          <w:sz w:val="24"/>
          <w:szCs w:val="24"/>
        </w:rPr>
      </w:pPr>
    </w:p>
    <w:p w:rsidR="00196C6E" w:rsidRPr="000B79B9" w:rsidRDefault="00B15061" w:rsidP="00D21997">
      <w:pPr>
        <w:pStyle w:val="Ttulo1"/>
        <w:ind w:left="220" w:right="208"/>
        <w:jc w:val="center"/>
        <w:rPr>
          <w:rFonts w:ascii="Times New Roman" w:hAnsi="Times New Roman" w:cs="Times New Roman"/>
        </w:rPr>
      </w:pPr>
      <w:r w:rsidRPr="000B79B9">
        <w:rPr>
          <w:rFonts w:ascii="Times New Roman" w:hAnsi="Times New Roman" w:cs="Times New Roman"/>
        </w:rPr>
        <w:t>ABSTRACT</w:t>
      </w:r>
    </w:p>
    <w:p w:rsidR="00D21997" w:rsidRPr="000B79B9" w:rsidRDefault="00D21997" w:rsidP="00D21997">
      <w:pPr>
        <w:pBdr>
          <w:top w:val="nil"/>
          <w:left w:val="nil"/>
          <w:bottom w:val="nil"/>
          <w:right w:val="nil"/>
          <w:between w:val="nil"/>
        </w:pBdr>
        <w:ind w:left="121"/>
        <w:jc w:val="both"/>
        <w:rPr>
          <w:rFonts w:ascii="Times New Roman" w:eastAsia="Arial" w:hAnsi="Times New Roman" w:cs="Times New Roman"/>
          <w:color w:val="000000"/>
          <w:sz w:val="24"/>
          <w:szCs w:val="24"/>
        </w:rPr>
      </w:pPr>
    </w:p>
    <w:p w:rsidR="00D21997" w:rsidRPr="000B79B9" w:rsidRDefault="00D21997" w:rsidP="000B79B9">
      <w:pPr>
        <w:pBdr>
          <w:top w:val="nil"/>
          <w:left w:val="nil"/>
          <w:bottom w:val="nil"/>
          <w:right w:val="nil"/>
          <w:between w:val="nil"/>
        </w:pBdr>
        <w:spacing w:line="360" w:lineRule="auto"/>
        <w:ind w:left="121"/>
        <w:jc w:val="both"/>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This article aims to analyze the limits and challenges of applying the right to be forgotten and the deletion of personal data in the General Data Protection Law (LGPD), considering the Theme n.º 786 of the Federal Supreme Court (STF). The article exposes the origins and evolution of the right to be forgotten, its theoretical and doctrinal foundations, the normative evolution of personal data protection in Brazil, the similarities between the deletion of personal data and the right to be forgotten, and their relevance in today's digital society. The article also discusses the reconciliation of the right to be forgotten and deletion of personal data with other fundamental rights provided for in the Federal Constitution of 1988, such as the right to intimacy and private life, freedom of expression and information, memory and truth. This reconciliation becomes more complex after the judgment of Special Appeal 1010606 / RJ, Theme n.º 786 of general repercussion of the STF, which declared the incompatibility of the right to be forgotten with the Federal Constitution. The article concludes that there are no definitive criteria for the balanced and proportional application of these rights in the LGPD, but suggests some tools from the LGPD that can assist in the protection of the right to be forgotten, as well as possibilities of criteria for case-by-case weighing, where conflicts between freedom of expression, information and personality rights are verified. The article uses exploratory study as a research method, with a deductive approach and bibliographic technique, based on doctrine, legislation and jurisprudence relevant to the topic.</w:t>
      </w:r>
    </w:p>
    <w:p w:rsidR="000B79B9" w:rsidRPr="000B79B9" w:rsidRDefault="00B15061" w:rsidP="00E07E99">
      <w:pPr>
        <w:pBdr>
          <w:top w:val="nil"/>
          <w:left w:val="nil"/>
          <w:bottom w:val="nil"/>
          <w:right w:val="nil"/>
          <w:between w:val="nil"/>
        </w:pBdr>
        <w:spacing w:line="360" w:lineRule="auto"/>
        <w:ind w:left="121"/>
        <w:jc w:val="both"/>
        <w:rPr>
          <w:rFonts w:ascii="Times New Roman" w:eastAsia="Arial" w:hAnsi="Times New Roman" w:cs="Times New Roman"/>
          <w:color w:val="000000"/>
          <w:sz w:val="24"/>
          <w:szCs w:val="24"/>
        </w:rPr>
      </w:pPr>
      <w:r w:rsidRPr="000B79B9">
        <w:rPr>
          <w:rFonts w:ascii="Times New Roman" w:eastAsia="Arial" w:hAnsi="Times New Roman" w:cs="Times New Roman"/>
          <w:b/>
          <w:color w:val="000000"/>
          <w:sz w:val="24"/>
          <w:szCs w:val="24"/>
        </w:rPr>
        <w:t xml:space="preserve">Keywords: </w:t>
      </w:r>
      <w:r w:rsidRPr="000B79B9">
        <w:rPr>
          <w:rFonts w:ascii="Times New Roman" w:eastAsia="Arial" w:hAnsi="Times New Roman" w:cs="Times New Roman"/>
          <w:color w:val="000000"/>
          <w:sz w:val="24"/>
          <w:szCs w:val="24"/>
        </w:rPr>
        <w:t>Right to be forgotten. Deletion of personal data. Brazilian General Data Protection Law (LGPD). Theme n.º 786. Federal Supreme Court (STF).</w:t>
      </w:r>
    </w:p>
    <w:p w:rsidR="00196C6E" w:rsidRPr="000B79B9" w:rsidRDefault="00B15061" w:rsidP="00E07E99">
      <w:pPr>
        <w:pStyle w:val="Corpodetexto"/>
        <w:rPr>
          <w:rFonts w:eastAsia="Arial"/>
          <w:color w:val="000000"/>
          <w:sz w:val="10"/>
          <w:szCs w:val="10"/>
        </w:rPr>
      </w:pPr>
      <w:r w:rsidRPr="000B79B9">
        <w:rPr>
          <w:noProof/>
          <w:lang w:val="pt-BR"/>
        </w:rPr>
        <mc:AlternateContent>
          <mc:Choice Requires="wps">
            <w:drawing>
              <wp:anchor distT="0" distB="0" distL="0" distR="0" simplePos="0" relativeHeight="251663360" behindDoc="0" locked="0" layoutInCell="1" hidden="0" allowOverlap="1">
                <wp:simplePos x="0" y="0"/>
                <wp:positionH relativeFrom="column">
                  <wp:posOffset>0</wp:posOffset>
                </wp:positionH>
                <wp:positionV relativeFrom="paragraph">
                  <wp:posOffset>88900</wp:posOffset>
                </wp:positionV>
                <wp:extent cx="1270" cy="12700"/>
                <wp:effectExtent l="0" t="0" r="0" b="0"/>
                <wp:wrapTopAndBottom distT="0" distB="0"/>
                <wp:docPr id="32" name="Forma Livre 32"/>
                <wp:cNvGraphicFramePr/>
                <a:graphic xmlns:a="http://schemas.openxmlformats.org/drawingml/2006/main">
                  <a:graphicData uri="http://schemas.microsoft.com/office/word/2010/wordprocessingShape">
                    <wps:wsp>
                      <wps:cNvSpPr/>
                      <wps:spPr>
                        <a:xfrm>
                          <a:off x="4431600" y="3779365"/>
                          <a:ext cx="1828800" cy="1270"/>
                        </a:xfrm>
                        <a:custGeom>
                          <a:avLst/>
                          <a:gdLst/>
                          <a:ahLst/>
                          <a:cxnLst/>
                          <a:rect l="l" t="t" r="r" b="b"/>
                          <a:pathLst>
                            <a:path w="2880" h="120000" extrusionOk="0">
                              <a:moveTo>
                                <a:pt x="0" y="0"/>
                              </a:moveTo>
                              <a:lnTo>
                                <a:pt x="288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0</wp:posOffset>
                </wp:positionH>
                <wp:positionV relativeFrom="paragraph">
                  <wp:posOffset>88900</wp:posOffset>
                </wp:positionV>
                <wp:extent cx="1270" cy="12700"/>
                <wp:effectExtent b="0" l="0" r="0" t="0"/>
                <wp:wrapTopAndBottom distB="0" distT="0"/>
                <wp:docPr id="32" name="image5.png"/>
                <a:graphic>
                  <a:graphicData uri="http://schemas.openxmlformats.org/drawingml/2006/picture">
                    <pic:pic>
                      <pic:nvPicPr>
                        <pic:cNvPr id="0" name="image5.png"/>
                        <pic:cNvPicPr preferRelativeResize="0"/>
                      </pic:nvPicPr>
                      <pic:blipFill>
                        <a:blip r:embed="rId13"/>
                        <a:srcRect/>
                        <a:stretch>
                          <a:fillRect/>
                        </a:stretch>
                      </pic:blipFill>
                      <pic:spPr>
                        <a:xfrm>
                          <a:off x="0" y="0"/>
                          <a:ext cx="1270" cy="12700"/>
                        </a:xfrm>
                        <a:prstGeom prst="rect"/>
                        <a:ln/>
                      </pic:spPr>
                    </pic:pic>
                  </a:graphicData>
                </a:graphic>
              </wp:anchor>
            </w:drawing>
          </mc:Fallback>
        </mc:AlternateContent>
      </w:r>
    </w:p>
    <w:p w:rsidR="00196C6E" w:rsidRPr="000B79B9" w:rsidRDefault="00B15061">
      <w:pPr>
        <w:pStyle w:val="Ttulo1"/>
        <w:numPr>
          <w:ilvl w:val="0"/>
          <w:numId w:val="1"/>
        </w:numPr>
        <w:tabs>
          <w:tab w:val="left" w:pos="322"/>
        </w:tabs>
        <w:spacing w:before="101"/>
        <w:rPr>
          <w:rFonts w:ascii="Times New Roman" w:hAnsi="Times New Roman" w:cs="Times New Roman"/>
        </w:rPr>
      </w:pPr>
      <w:r w:rsidRPr="000B79B9">
        <w:rPr>
          <w:rFonts w:ascii="Times New Roman" w:hAnsi="Times New Roman" w:cs="Times New Roman"/>
        </w:rPr>
        <w:t>INTRODUÇÃO</w:t>
      </w:r>
    </w:p>
    <w:p w:rsidR="00196C6E" w:rsidRPr="000B79B9" w:rsidRDefault="00196C6E" w:rsidP="00E07E99">
      <w:pPr>
        <w:pStyle w:val="Corpodetexto"/>
      </w:pPr>
    </w:p>
    <w:p w:rsidR="00196C6E" w:rsidRPr="000B79B9" w:rsidRDefault="00B15061">
      <w:pPr>
        <w:widowControl/>
        <w:pBdr>
          <w:top w:val="nil"/>
          <w:left w:val="nil"/>
          <w:bottom w:val="nil"/>
          <w:right w:val="nil"/>
          <w:between w:val="nil"/>
        </w:pBdr>
        <w:tabs>
          <w:tab w:val="left" w:pos="708"/>
        </w:tabs>
        <w:spacing w:line="360" w:lineRule="auto"/>
        <w:jc w:val="both"/>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ab/>
        <w:t>O presente artigo tem como objetivo analisar os limites e desafios da aplicação do direito ao esquecimento e da exclusão de dados pessoais na Lei Geral de Proteção de Dados (LGPD), após o julgamento do  RE 1010606/RJ, Tema n.º 786 de repercussão geral do Supremo Tribunal Federal (STF). Considerando a decisão predominante do STF, que declarou a incompatibilidade do direito ao esquecimento com a Constituição Federal, emergiram diversos questionamentos acerca da aplicabilidade desse direito na esfera civil, especialmente quando invocado pela vítima ou seus familiares.</w:t>
      </w:r>
    </w:p>
    <w:p w:rsidR="00196C6E" w:rsidRPr="000B79B9" w:rsidRDefault="00EB0EEC">
      <w:pPr>
        <w:widowControl/>
        <w:pBdr>
          <w:top w:val="nil"/>
          <w:left w:val="nil"/>
          <w:bottom w:val="nil"/>
          <w:right w:val="nil"/>
          <w:between w:val="nil"/>
        </w:pBdr>
        <w:tabs>
          <w:tab w:val="left" w:pos="708"/>
        </w:tabs>
        <w:spacing w:line="360" w:lineRule="auto"/>
        <w:jc w:val="both"/>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lastRenderedPageBreak/>
        <w:tab/>
      </w:r>
      <w:r w:rsidR="00B15061" w:rsidRPr="000B79B9">
        <w:rPr>
          <w:rFonts w:ascii="Times New Roman" w:eastAsia="Arial" w:hAnsi="Times New Roman" w:cs="Times New Roman"/>
          <w:color w:val="000000"/>
          <w:sz w:val="24"/>
          <w:szCs w:val="24"/>
        </w:rPr>
        <w:t xml:space="preserve">Nesse sentido, com o avanço tecnológico e o aumento do compartilhamento de informações pessoais na </w:t>
      </w:r>
      <w:r w:rsidR="00B15061" w:rsidRPr="000B79B9">
        <w:rPr>
          <w:rFonts w:ascii="Times New Roman" w:eastAsia="Arial" w:hAnsi="Times New Roman" w:cs="Times New Roman"/>
          <w:i/>
          <w:color w:val="000000"/>
          <w:sz w:val="24"/>
          <w:szCs w:val="24"/>
        </w:rPr>
        <w:t>internet</w:t>
      </w:r>
      <w:r w:rsidR="00B15061" w:rsidRPr="000B79B9">
        <w:rPr>
          <w:rFonts w:ascii="Times New Roman" w:eastAsia="Arial" w:hAnsi="Times New Roman" w:cs="Times New Roman"/>
          <w:color w:val="000000"/>
          <w:sz w:val="24"/>
          <w:szCs w:val="24"/>
        </w:rPr>
        <w:t>, o direito ao esquecimento passou a ser invocado na esfera civil por pessoas envolvidas em fatos verídicos que lhes causam constrangimento, sofrimento ou prejuízo à imagem, honra, privacidade ou intimidade.</w:t>
      </w:r>
    </w:p>
    <w:p w:rsidR="00196C6E" w:rsidRPr="000B79B9" w:rsidRDefault="00B15061">
      <w:pPr>
        <w:widowControl/>
        <w:pBdr>
          <w:top w:val="nil"/>
          <w:left w:val="nil"/>
          <w:bottom w:val="nil"/>
          <w:right w:val="nil"/>
          <w:between w:val="nil"/>
        </w:pBdr>
        <w:tabs>
          <w:tab w:val="left" w:pos="708"/>
        </w:tabs>
        <w:spacing w:line="360" w:lineRule="auto"/>
        <w:jc w:val="both"/>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Além disso, a exposição de dados pessoais na era digital tem impactado imensuravelmente na comunicação e na memória coletiva, permitindo que um evento ou fato pessoal permaneça exposto e acessível, independentemente do tempo decorrido.</w:t>
      </w:r>
    </w:p>
    <w:p w:rsidR="00196C6E" w:rsidRPr="000B79B9" w:rsidRDefault="00B15061">
      <w:pPr>
        <w:widowControl/>
        <w:pBdr>
          <w:top w:val="nil"/>
          <w:left w:val="nil"/>
          <w:bottom w:val="nil"/>
          <w:right w:val="nil"/>
          <w:between w:val="nil"/>
        </w:pBdr>
        <w:tabs>
          <w:tab w:val="left" w:pos="708"/>
        </w:tabs>
        <w:spacing w:line="360" w:lineRule="auto"/>
        <w:jc w:val="both"/>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ab/>
        <w:t>Nessa perspectiva, a proteção da privacidade e dos dados pessoais se tornou cada vez mais importante na era digital, sendo regulamentada pela Lei Geral de Proteção de Dados (LGPD) no Brasil,</w:t>
      </w:r>
      <w:r w:rsidR="00E946C2" w:rsidRPr="000B79B9">
        <w:rPr>
          <w:rFonts w:ascii="Times New Roman" w:eastAsia="Arial" w:hAnsi="Times New Roman" w:cs="Times New Roman"/>
          <w:color w:val="000000"/>
          <w:sz w:val="24"/>
          <w:szCs w:val="24"/>
        </w:rPr>
        <w:t xml:space="preserve"> em vigor desde setembro de 2020,</w:t>
      </w:r>
      <w:r w:rsidRPr="000B79B9">
        <w:rPr>
          <w:rFonts w:ascii="Times New Roman" w:eastAsia="Arial" w:hAnsi="Times New Roman" w:cs="Times New Roman"/>
          <w:color w:val="000000"/>
          <w:sz w:val="24"/>
          <w:szCs w:val="24"/>
        </w:rPr>
        <w:t xml:space="preserve"> buscando proteger os direitos fundamentais de liberdade, intimidade e privacidade dos titulares de dados, além de estabelecer princípios, hipóteses de tratamento, direitos dos titulares e sanções administrativas aplicáveis aos agentes de tratamento de dados pessoais. </w:t>
      </w:r>
    </w:p>
    <w:p w:rsidR="00196C6E" w:rsidRPr="000B79B9" w:rsidRDefault="00B15061">
      <w:pPr>
        <w:widowControl/>
        <w:pBdr>
          <w:top w:val="nil"/>
          <w:left w:val="nil"/>
          <w:bottom w:val="nil"/>
          <w:right w:val="nil"/>
          <w:between w:val="nil"/>
        </w:pBdr>
        <w:tabs>
          <w:tab w:val="left" w:pos="708"/>
        </w:tabs>
        <w:spacing w:line="360" w:lineRule="auto"/>
        <w:jc w:val="both"/>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ab/>
        <w:t xml:space="preserve">Por assim ser, o direito ao esquecimento e o direito à exclusão de dados pessoais, visam proteger a dignidade da pessoa humana em meios de comunicação e plataformas </w:t>
      </w:r>
      <w:r w:rsidRPr="000B79B9">
        <w:rPr>
          <w:rFonts w:ascii="Times New Roman" w:eastAsia="Arial" w:hAnsi="Times New Roman" w:cs="Times New Roman"/>
          <w:i/>
          <w:color w:val="000000"/>
          <w:sz w:val="24"/>
          <w:szCs w:val="24"/>
        </w:rPr>
        <w:t>online</w:t>
      </w:r>
      <w:r w:rsidRPr="000B79B9">
        <w:rPr>
          <w:rFonts w:ascii="Times New Roman" w:eastAsia="Arial" w:hAnsi="Times New Roman" w:cs="Times New Roman"/>
          <w:color w:val="000000"/>
          <w:sz w:val="24"/>
          <w:szCs w:val="24"/>
        </w:rPr>
        <w:t xml:space="preserve">. Assim, embora o direito ao esquecimento ainda não seja reconhecido expressamente pelo ordenamento jurídico brasileiro, </w:t>
      </w:r>
      <w:r w:rsidRPr="000B79B9">
        <w:rPr>
          <w:rFonts w:ascii="Times New Roman" w:eastAsia="Arial" w:hAnsi="Times New Roman" w:cs="Times New Roman"/>
          <w:sz w:val="24"/>
          <w:szCs w:val="24"/>
        </w:rPr>
        <w:t>a LGPD já faz menção ao direito de retirada de informações</w:t>
      </w:r>
      <w:r w:rsidRPr="000B79B9">
        <w:rPr>
          <w:rFonts w:ascii="Times New Roman" w:eastAsia="Arial" w:hAnsi="Times New Roman" w:cs="Times New Roman"/>
          <w:color w:val="000000"/>
          <w:sz w:val="24"/>
          <w:szCs w:val="24"/>
        </w:rPr>
        <w:t xml:space="preserve">, discutindo a remoção de informações pessoais irrelevantes, desatualizadas ou prejudiciais à reputação de indivíduos. </w:t>
      </w:r>
    </w:p>
    <w:p w:rsidR="00196C6E" w:rsidRPr="000B79B9" w:rsidRDefault="00B15061">
      <w:pPr>
        <w:widowControl/>
        <w:pBdr>
          <w:top w:val="nil"/>
          <w:left w:val="nil"/>
          <w:bottom w:val="nil"/>
          <w:right w:val="nil"/>
          <w:between w:val="nil"/>
        </w:pBdr>
        <w:tabs>
          <w:tab w:val="left" w:pos="708"/>
        </w:tabs>
        <w:spacing w:line="360" w:lineRule="auto"/>
        <w:jc w:val="both"/>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ab/>
        <w:t>Ocorre que, em 11 de fevereiro de 2021, o Supremo Tribunal Federal (STF) rejeitou a tese doutrinária do direito ao esquecimento no julgamento do Recurso Extraordinário (RE) n.º 1.010.606, relacionado ao caso “Aída Curi”, sendo decidido,  por maioria dos votos, que o direito ao esquecimento é incompatível com a Constituição Federal, por violar a liberdade de expressão e informação, a proibição de censura e o direito à memória coletiva.</w:t>
      </w:r>
    </w:p>
    <w:p w:rsidR="00196C6E" w:rsidRPr="000B79B9" w:rsidRDefault="00B15061">
      <w:pPr>
        <w:widowControl/>
        <w:pBdr>
          <w:top w:val="nil"/>
          <w:left w:val="nil"/>
          <w:bottom w:val="nil"/>
          <w:right w:val="nil"/>
          <w:between w:val="nil"/>
        </w:pBdr>
        <w:tabs>
          <w:tab w:val="left" w:pos="708"/>
        </w:tabs>
        <w:spacing w:line="360" w:lineRule="auto"/>
        <w:jc w:val="both"/>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ab/>
        <w:t>Nesse viés, é possível observar no Tema n.º 786 de repercussão geral do STF, que ocorre um conflito entre direitos fundamentais previstos na Constituição Federal de 1988, tais como o direito à intimidade e à vida privada, à proteção de dados pessoais, à liberdade de expressão e informação, bem como à memória e à verdade. Assim, na perspectiva majoritária do STF, o direito ao esquecimento deve ser analisado caso a caso, levando em consideração os princípios da dignidade da pessoa humana, da proporcionalidade e da razoabilidade, bem como as previsões legais nas esferas penal e cível.</w:t>
      </w:r>
    </w:p>
    <w:p w:rsidR="00196C6E" w:rsidRPr="000B79B9" w:rsidRDefault="00B15061">
      <w:pPr>
        <w:widowControl/>
        <w:pBdr>
          <w:top w:val="nil"/>
          <w:left w:val="nil"/>
          <w:bottom w:val="nil"/>
          <w:right w:val="nil"/>
          <w:between w:val="nil"/>
        </w:pBdr>
        <w:tabs>
          <w:tab w:val="left" w:pos="708"/>
        </w:tabs>
        <w:spacing w:line="360" w:lineRule="auto"/>
        <w:jc w:val="both"/>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ab/>
        <w:t xml:space="preserve">Portanto, o referido julgamento gerou opiniões divergentes na sociedade civil e entre juristas, razão pela qual alguns entendem que o STF negou a proteção aos direitos da personalidade, enquanto outros afirmam que o STF garantiu a liberdade de expressão e </w:t>
      </w:r>
      <w:r w:rsidRPr="000B79B9">
        <w:rPr>
          <w:rFonts w:ascii="Times New Roman" w:eastAsia="Arial" w:hAnsi="Times New Roman" w:cs="Times New Roman"/>
          <w:color w:val="000000"/>
          <w:sz w:val="24"/>
          <w:szCs w:val="24"/>
        </w:rPr>
        <w:lastRenderedPageBreak/>
        <w:t xml:space="preserve">democracia ao negar a </w:t>
      </w:r>
      <w:r w:rsidRPr="000B79B9">
        <w:rPr>
          <w:rFonts w:ascii="Times New Roman" w:eastAsia="Arial" w:hAnsi="Times New Roman" w:cs="Times New Roman"/>
          <w:sz w:val="24"/>
          <w:szCs w:val="24"/>
        </w:rPr>
        <w:t>existência</w:t>
      </w:r>
      <w:r w:rsidRPr="000B79B9">
        <w:rPr>
          <w:rFonts w:ascii="Times New Roman" w:eastAsia="Arial" w:hAnsi="Times New Roman" w:cs="Times New Roman"/>
          <w:color w:val="000000"/>
          <w:sz w:val="24"/>
          <w:szCs w:val="24"/>
        </w:rPr>
        <w:t xml:space="preserve"> do direito ao esquecimento. Por isso, o Tema n.º 786 do STF não resolve totalmente a questão dos limites e desafios da aplicação do direito ao esquecimento e a exclusão de dados pessoais da LGPD, e ainda suscita debates jurídicos e sociais.</w:t>
      </w:r>
    </w:p>
    <w:p w:rsidR="00196C6E" w:rsidRPr="000B79B9" w:rsidRDefault="00B15061">
      <w:pPr>
        <w:widowControl/>
        <w:pBdr>
          <w:top w:val="nil"/>
          <w:left w:val="nil"/>
          <w:bottom w:val="nil"/>
          <w:right w:val="nil"/>
          <w:between w:val="nil"/>
        </w:pBdr>
        <w:tabs>
          <w:tab w:val="left" w:pos="708"/>
        </w:tabs>
        <w:spacing w:line="360" w:lineRule="auto"/>
        <w:jc w:val="both"/>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ab/>
        <w:t>Logo, como podem ser definidos critérios para uma aplicação equilibrada e proporcional desses direitos é questão que se impõe para obter uma solução justa, razão pela qual o artigo utiliza o estudo exploratório como método de pesquisa, pois tem como objetivo analisar os limites e desafios da aplicação do direito ao esquecimento e da exclusão de dados pessoais na LGPD, após o julgamento do RE 1010606/RJ.</w:t>
      </w:r>
    </w:p>
    <w:p w:rsidR="00196C6E" w:rsidRPr="000B79B9" w:rsidRDefault="00B15061">
      <w:pPr>
        <w:widowControl/>
        <w:pBdr>
          <w:top w:val="nil"/>
          <w:left w:val="nil"/>
          <w:bottom w:val="nil"/>
          <w:right w:val="nil"/>
          <w:between w:val="nil"/>
        </w:pBdr>
        <w:tabs>
          <w:tab w:val="left" w:pos="708"/>
        </w:tabs>
        <w:spacing w:line="360" w:lineRule="auto"/>
        <w:jc w:val="both"/>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ab/>
        <w:t>Para isso, realizou-se uma  revisão bibliográfica fundamentada em fontes como artigos científicos, livros e legislação pertinente, utilizando uma pesquisa de tipo qualitativa, baseada na análise de conteúdo das informações coletadas na revisão bibliográfica e nas hipóteses levantadas. Ademais, o método dedutivo é empregado para abordar o tema, partindo de princípios e teorias gerais para alcançar conclusões específicas.</w:t>
      </w:r>
    </w:p>
    <w:p w:rsidR="00196C6E" w:rsidRPr="000B79B9" w:rsidRDefault="00B15061">
      <w:pPr>
        <w:widowControl/>
        <w:pBdr>
          <w:top w:val="nil"/>
          <w:left w:val="nil"/>
          <w:bottom w:val="nil"/>
          <w:right w:val="nil"/>
          <w:between w:val="nil"/>
        </w:pBdr>
        <w:tabs>
          <w:tab w:val="left" w:pos="708"/>
        </w:tabs>
        <w:spacing w:line="360" w:lineRule="auto"/>
        <w:jc w:val="both"/>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ab/>
        <w:t>A presente pesquisa se justifica pela relevância e atualidade do tema do direito ao esquecimento e da exclusão de dados pessoais na Lei Geral de Proteção de Dados (LGPD), especialmente após o julgamento do RE 1010606/RJ, Tema n.º 786 de repercussão geral do Supremo Tribunal Federal (STF). Diante disso, há lacunas e debates que demandam ser preenchidos e realizados para se obter uma aplicação equilibrada e proporcional do direito ao esquecimento e da exclusão de dados pessoais na LGPD. Nesse sentido, o presente artigo busca contribuir para o preenchimento dessa lacuna à partir dos resultados obtidos, buscando fornecer subsídios para a interpretação e aplicação adequada desses direitos.</w:t>
      </w:r>
    </w:p>
    <w:p w:rsidR="00196C6E" w:rsidRPr="000B79B9" w:rsidRDefault="00B15061">
      <w:pPr>
        <w:widowControl/>
        <w:pBdr>
          <w:top w:val="nil"/>
          <w:left w:val="nil"/>
          <w:bottom w:val="nil"/>
          <w:right w:val="nil"/>
          <w:between w:val="nil"/>
        </w:pBdr>
        <w:tabs>
          <w:tab w:val="left" w:pos="708"/>
        </w:tabs>
        <w:spacing w:line="360" w:lineRule="auto"/>
        <w:jc w:val="both"/>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ab/>
        <w:t xml:space="preserve">O presente artigo se divide em duas seções principais, a primeira das quais é destinada a apresentar as origens e o desenvolvimento do direito ao esquecimento, bem como os seus fundamentos teóricos e doutrinários. A segunda seção aborda </w:t>
      </w:r>
      <w:r w:rsidR="008D3E74" w:rsidRPr="000B79B9">
        <w:rPr>
          <w:rFonts w:ascii="Times New Roman" w:eastAsia="Arial" w:hAnsi="Times New Roman" w:cs="Times New Roman"/>
          <w:color w:val="000000"/>
          <w:sz w:val="24"/>
          <w:szCs w:val="24"/>
        </w:rPr>
        <w:t>a evolução</w:t>
      </w:r>
      <w:r w:rsidRPr="000B79B9">
        <w:rPr>
          <w:rFonts w:ascii="Times New Roman" w:eastAsia="Arial" w:hAnsi="Times New Roman" w:cs="Times New Roman"/>
          <w:color w:val="000000"/>
          <w:sz w:val="24"/>
          <w:szCs w:val="24"/>
        </w:rPr>
        <w:t xml:space="preserve"> normativ</w:t>
      </w:r>
      <w:r w:rsidR="008D3E74" w:rsidRPr="000B79B9">
        <w:rPr>
          <w:rFonts w:ascii="Times New Roman" w:eastAsia="Arial" w:hAnsi="Times New Roman" w:cs="Times New Roman"/>
          <w:color w:val="000000"/>
          <w:sz w:val="24"/>
          <w:szCs w:val="24"/>
        </w:rPr>
        <w:t>a</w:t>
      </w:r>
      <w:r w:rsidRPr="000B79B9">
        <w:rPr>
          <w:rFonts w:ascii="Times New Roman" w:eastAsia="Arial" w:hAnsi="Times New Roman" w:cs="Times New Roman"/>
          <w:color w:val="000000"/>
          <w:sz w:val="24"/>
          <w:szCs w:val="24"/>
        </w:rPr>
        <w:t xml:space="preserve"> da proteção de dados pessoais</w:t>
      </w:r>
      <w:r w:rsidR="007D6AD0" w:rsidRPr="000B79B9">
        <w:rPr>
          <w:rFonts w:ascii="Times New Roman" w:eastAsia="Arial" w:hAnsi="Times New Roman" w:cs="Times New Roman"/>
          <w:color w:val="000000"/>
          <w:sz w:val="24"/>
          <w:szCs w:val="24"/>
        </w:rPr>
        <w:t xml:space="preserve"> no</w:t>
      </w:r>
      <w:r w:rsidR="00742DF6" w:rsidRPr="000B79B9">
        <w:rPr>
          <w:rFonts w:ascii="Times New Roman" w:eastAsia="Arial" w:hAnsi="Times New Roman" w:cs="Times New Roman"/>
          <w:color w:val="000000"/>
          <w:sz w:val="24"/>
          <w:szCs w:val="24"/>
        </w:rPr>
        <w:t xml:space="preserve"> Brasil</w:t>
      </w:r>
      <w:r w:rsidRPr="000B79B9">
        <w:rPr>
          <w:rFonts w:ascii="Times New Roman" w:eastAsia="Arial" w:hAnsi="Times New Roman" w:cs="Times New Roman"/>
          <w:color w:val="000000"/>
          <w:sz w:val="24"/>
          <w:szCs w:val="24"/>
        </w:rPr>
        <w:t xml:space="preserve">, enfatizando as similaridades entre a exclusão de dados pessoais e o direito ao esquecimento, além da importância deles na sociedade digital atual. </w:t>
      </w:r>
    </w:p>
    <w:p w:rsidR="00196C6E" w:rsidRPr="000B79B9" w:rsidRDefault="00B15061">
      <w:pPr>
        <w:widowControl/>
        <w:pBdr>
          <w:top w:val="nil"/>
          <w:left w:val="nil"/>
          <w:bottom w:val="nil"/>
          <w:right w:val="nil"/>
          <w:between w:val="nil"/>
        </w:pBdr>
        <w:tabs>
          <w:tab w:val="left" w:pos="708"/>
        </w:tabs>
        <w:spacing w:line="360" w:lineRule="auto"/>
        <w:jc w:val="both"/>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ab/>
        <w:t>Em seguida, o artigo analisa a recente decisão do Supremo Tribunal Federal (STF) no Recurso Especial 1010606/RJ, Tema n.º 786 de repercussão geral, conhecido como o caso “Aída Curi”. Nessa decisão, o STF reconheceu a inconstitucionalidade do direito ao esquecimento, que é por sua vez examinada na última seção do artigo, na qual se busca avaliar os conflitos de direitos envolvidos mediante a técnica de ponderação.</w:t>
      </w:r>
    </w:p>
    <w:p w:rsidR="00196C6E" w:rsidRPr="000B79B9" w:rsidRDefault="00196C6E" w:rsidP="0004392C">
      <w:pPr>
        <w:rPr>
          <w:rFonts w:ascii="Times New Roman" w:hAnsi="Times New Roman" w:cs="Times New Roman"/>
        </w:rPr>
      </w:pPr>
    </w:p>
    <w:p w:rsidR="0004392C" w:rsidRDefault="00B15061" w:rsidP="00E07E99">
      <w:pPr>
        <w:pStyle w:val="Ttulo1"/>
        <w:keepNext/>
        <w:widowControl/>
        <w:numPr>
          <w:ilvl w:val="0"/>
          <w:numId w:val="1"/>
        </w:numPr>
        <w:tabs>
          <w:tab w:val="left" w:pos="284"/>
        </w:tabs>
        <w:spacing w:before="30" w:after="30"/>
        <w:ind w:left="0" w:firstLine="0"/>
        <w:contextualSpacing/>
        <w:jc w:val="both"/>
        <w:rPr>
          <w:rFonts w:ascii="Times New Roman" w:hAnsi="Times New Roman" w:cs="Times New Roman"/>
        </w:rPr>
      </w:pPr>
      <w:r w:rsidRPr="000B79B9">
        <w:rPr>
          <w:rFonts w:ascii="Times New Roman" w:hAnsi="Times New Roman" w:cs="Times New Roman"/>
        </w:rPr>
        <w:t>CONCEITO E EVOLUÇÃO DO DIREITO AO ESQUECIMENTO</w:t>
      </w:r>
    </w:p>
    <w:p w:rsidR="00E07E99" w:rsidRPr="000B79B9" w:rsidRDefault="00E07E99" w:rsidP="00E07E99">
      <w:pPr>
        <w:pStyle w:val="Corpodetexto"/>
      </w:pPr>
    </w:p>
    <w:p w:rsidR="00196C6E" w:rsidRPr="000B79B9" w:rsidRDefault="00B15061">
      <w:pPr>
        <w:widowControl/>
        <w:pBdr>
          <w:top w:val="nil"/>
          <w:left w:val="nil"/>
          <w:bottom w:val="nil"/>
          <w:right w:val="nil"/>
          <w:between w:val="nil"/>
        </w:pBdr>
        <w:tabs>
          <w:tab w:val="left" w:pos="708"/>
        </w:tabs>
        <w:spacing w:line="360" w:lineRule="auto"/>
        <w:ind w:firstLine="709"/>
        <w:jc w:val="both"/>
        <w:rPr>
          <w:rFonts w:ascii="Times New Roman" w:eastAsia="Arial" w:hAnsi="Times New Roman" w:cs="Times New Roman"/>
          <w:color w:val="000000"/>
          <w:sz w:val="24"/>
          <w:szCs w:val="24"/>
        </w:rPr>
      </w:pPr>
      <w:bookmarkStart w:id="1" w:name="_heading=h.1fob9te" w:colFirst="0" w:colLast="0"/>
      <w:bookmarkEnd w:id="1"/>
      <w:r w:rsidRPr="000B79B9">
        <w:rPr>
          <w:rFonts w:ascii="Times New Roman" w:eastAsia="Arial" w:hAnsi="Times New Roman" w:cs="Times New Roman"/>
          <w:color w:val="000000"/>
          <w:sz w:val="24"/>
          <w:szCs w:val="24"/>
        </w:rPr>
        <w:lastRenderedPageBreak/>
        <w:t xml:space="preserve">Uma questão controversa no âmbito do direito ao esquecimento é a sua classificação jurídica. Há, na doutrina, três linhas de entendimento sobre a natureza do direito ao esquecimento: a primeira considera sua existência como um direito explícito; a segunda o enxerga como um direito fundamental implícito, derivado da dignidade humana e da privacidade (FERREIRA NETO; SARLET, 2009, p. 209); enquanto a terceira corrente argumenta que o direito ao esquecimento não existe como um direito autônomo, no que diz respeito à proteção de um direito fundamental. </w:t>
      </w:r>
    </w:p>
    <w:p w:rsidR="00196C6E" w:rsidRPr="000B79B9" w:rsidRDefault="00B15061">
      <w:pPr>
        <w:widowControl/>
        <w:pBdr>
          <w:top w:val="nil"/>
          <w:left w:val="nil"/>
          <w:bottom w:val="nil"/>
          <w:right w:val="nil"/>
          <w:between w:val="nil"/>
        </w:pBdr>
        <w:tabs>
          <w:tab w:val="left" w:pos="708"/>
        </w:tabs>
        <w:spacing w:line="360" w:lineRule="auto"/>
        <w:jc w:val="both"/>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ab/>
        <w:t>Nesse contexto, a presente pesquisa objetiva debater a segunda corrente, que, embora não seja admitida pelo direito brasileiro, é compreendida internacionalmente como o melhor entendimento do instituto. Tal corrente de pensamento, dispõe que o direito ao esquecimento é uma expressão dos direitos à dignidade da pessoa humana e da personalidade, protegendo os aspectos essenciais da identidade e da reputação de cada indivíduo.</w:t>
      </w:r>
      <w:r w:rsidRPr="000B79B9">
        <w:rPr>
          <w:rFonts w:ascii="Times New Roman" w:eastAsia="Arial" w:hAnsi="Times New Roman" w:cs="Times New Roman"/>
          <w:color w:val="000000"/>
          <w:sz w:val="24"/>
          <w:szCs w:val="24"/>
        </w:rPr>
        <w:tab/>
      </w:r>
    </w:p>
    <w:p w:rsidR="00196C6E" w:rsidRPr="000B79B9" w:rsidRDefault="00B15061">
      <w:pPr>
        <w:widowControl/>
        <w:pBdr>
          <w:top w:val="nil"/>
          <w:left w:val="nil"/>
          <w:bottom w:val="nil"/>
          <w:right w:val="nil"/>
          <w:between w:val="nil"/>
        </w:pBdr>
        <w:tabs>
          <w:tab w:val="left" w:pos="708"/>
        </w:tabs>
        <w:spacing w:line="360" w:lineRule="auto"/>
        <w:jc w:val="both"/>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ab/>
        <w:t xml:space="preserve">Ocorre que esse direito não é absoluto e pode entrar em conflito com outros direitos fundamentais, como a liberdade de expressão, a informação e a memória coletiva, essenciais para a democracia e para o exercício da cidadania. Assim, prossegue-se o estudo com interesse sobre o conteúdo das colisões entre os direitos fundamentais, a fim de encontrar subsídios para a interpretação e aplicação adequada desses direitos, incluindo o direito ao esquecimento. </w:t>
      </w:r>
      <w:r w:rsidRPr="000B79B9">
        <w:rPr>
          <w:rFonts w:ascii="Times New Roman" w:eastAsia="Arial" w:hAnsi="Times New Roman" w:cs="Times New Roman"/>
          <w:color w:val="000000"/>
          <w:sz w:val="24"/>
          <w:szCs w:val="24"/>
        </w:rPr>
        <w:tab/>
      </w:r>
    </w:p>
    <w:p w:rsidR="00D36A7D" w:rsidRPr="000B79B9" w:rsidRDefault="00B15061">
      <w:pPr>
        <w:widowControl/>
        <w:pBdr>
          <w:top w:val="nil"/>
          <w:left w:val="nil"/>
          <w:bottom w:val="nil"/>
          <w:right w:val="nil"/>
          <w:between w:val="nil"/>
        </w:pBdr>
        <w:tabs>
          <w:tab w:val="left" w:pos="708"/>
        </w:tabs>
        <w:spacing w:line="360" w:lineRule="auto"/>
        <w:jc w:val="both"/>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ab/>
        <w:t xml:space="preserve">Dessa forma, o conceito de direito ao esquecimento, apesar de ter sido objeto de inúmeros debates na atualidade, possui suas raízes históricas no que tange à reputação, memória e identidade. No decorrer da história, o direito ao esquecimento se apresenta como uma ideia de esquecer fatos ou demais eventos passados que remontam, de certa maneira, uma doutrina do perdão, da possível reabilitação e o direito ao reinvento, presente em diversas culturas. </w:t>
      </w:r>
    </w:p>
    <w:p w:rsidR="00196C6E" w:rsidRPr="000B79B9" w:rsidRDefault="00D36A7D">
      <w:pPr>
        <w:widowControl/>
        <w:pBdr>
          <w:top w:val="nil"/>
          <w:left w:val="nil"/>
          <w:bottom w:val="nil"/>
          <w:right w:val="nil"/>
          <w:between w:val="nil"/>
        </w:pBdr>
        <w:tabs>
          <w:tab w:val="left" w:pos="708"/>
        </w:tabs>
        <w:spacing w:line="360" w:lineRule="auto"/>
        <w:jc w:val="both"/>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ab/>
      </w:r>
      <w:r w:rsidR="00B15061" w:rsidRPr="000B79B9">
        <w:rPr>
          <w:rFonts w:ascii="Times New Roman" w:eastAsia="Arial" w:hAnsi="Times New Roman" w:cs="Times New Roman"/>
          <w:color w:val="000000"/>
          <w:sz w:val="24"/>
          <w:szCs w:val="24"/>
        </w:rPr>
        <w:t>Logo, é possível observar que as boas recordações podem, com o tempo, ser comunitárias, ao passo que as lembranças ruins ou constrangedoras, ao serem propagadas à comunidade, podem ser interpretadas como uma violação aos direitos de personalidade, uma vez que fazem parte do caráter personalíssimo do indivíduo.</w:t>
      </w:r>
    </w:p>
    <w:p w:rsidR="00D36A7D" w:rsidRPr="000B79B9" w:rsidRDefault="00B15061">
      <w:pPr>
        <w:widowControl/>
        <w:pBdr>
          <w:top w:val="nil"/>
          <w:left w:val="nil"/>
          <w:bottom w:val="nil"/>
          <w:right w:val="nil"/>
          <w:between w:val="nil"/>
        </w:pBdr>
        <w:tabs>
          <w:tab w:val="left" w:pos="708"/>
        </w:tabs>
        <w:spacing w:line="360" w:lineRule="auto"/>
        <w:jc w:val="both"/>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ab/>
        <w:t xml:space="preserve">Nesse sentido, o direito ao esquecimento, originalmente concebido no contexto das condenações criminais, visando proteger a ressocialização dos ex-detentos que já cumpriram suas penas e não desejavam ter seus antecedentes expostos, tendo em vista que, numa sociedade democrática, o reconhecimento da individualidade dos seres sociais é um fato, claramente protegido pelas constituições. </w:t>
      </w:r>
    </w:p>
    <w:p w:rsidR="00196C6E" w:rsidRPr="000B79B9" w:rsidRDefault="00D36A7D">
      <w:pPr>
        <w:widowControl/>
        <w:pBdr>
          <w:top w:val="nil"/>
          <w:left w:val="nil"/>
          <w:bottom w:val="nil"/>
          <w:right w:val="nil"/>
          <w:between w:val="nil"/>
        </w:pBdr>
        <w:tabs>
          <w:tab w:val="left" w:pos="708"/>
        </w:tabs>
        <w:spacing w:line="360" w:lineRule="auto"/>
        <w:jc w:val="both"/>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ab/>
      </w:r>
      <w:r w:rsidR="00B15061" w:rsidRPr="000B79B9">
        <w:rPr>
          <w:rFonts w:ascii="Times New Roman" w:eastAsia="Arial" w:hAnsi="Times New Roman" w:cs="Times New Roman"/>
          <w:color w:val="000000"/>
          <w:sz w:val="24"/>
          <w:szCs w:val="24"/>
        </w:rPr>
        <w:t xml:space="preserve">Ocorre que, o avanço tecnológico e o aumento do acesso e compartilhamento de informações pessoais na internet, trouxe consigo o desafio da permanência e disseminação </w:t>
      </w:r>
      <w:r w:rsidR="00B15061" w:rsidRPr="000B79B9">
        <w:rPr>
          <w:rFonts w:ascii="Times New Roman" w:eastAsia="Arial" w:hAnsi="Times New Roman" w:cs="Times New Roman"/>
          <w:color w:val="000000"/>
          <w:sz w:val="24"/>
          <w:szCs w:val="24"/>
        </w:rPr>
        <w:lastRenderedPageBreak/>
        <w:t xml:space="preserve">perpétua dessas informações, razão pela qual o direito ao esquecimento ganhou uma nova proporção. </w:t>
      </w:r>
    </w:p>
    <w:p w:rsidR="00196C6E" w:rsidRPr="000B79B9" w:rsidRDefault="00B15061">
      <w:pPr>
        <w:widowControl/>
        <w:pBdr>
          <w:top w:val="nil"/>
          <w:left w:val="nil"/>
          <w:bottom w:val="nil"/>
          <w:right w:val="nil"/>
          <w:between w:val="nil"/>
        </w:pBdr>
        <w:tabs>
          <w:tab w:val="left" w:pos="708"/>
        </w:tabs>
        <w:spacing w:line="360" w:lineRule="auto"/>
        <w:jc w:val="both"/>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ab/>
        <w:t xml:space="preserve">Atualmente, o direito ao esquecimento é entendido como a legitimidade dos indivíduos para retirar de circulação informações pessoais que causam constrangimento, sofrimento ou prejuízo à imagem, honra, privacidade ou intimidade, ainda que verídicas. Cabe salientar que, a proliferação da internet e das redes sociais se tornou também o centro primevo de informações inverídicas, que visam tão somente abalar a moral, a reputação e os demais direitos de personalidade dos indivíduos, através de calúnias e difamações. </w:t>
      </w:r>
    </w:p>
    <w:p w:rsidR="00196C6E" w:rsidRPr="000B79B9" w:rsidRDefault="00B15061">
      <w:pPr>
        <w:widowControl/>
        <w:pBdr>
          <w:top w:val="nil"/>
          <w:left w:val="nil"/>
          <w:bottom w:val="nil"/>
          <w:right w:val="nil"/>
          <w:between w:val="nil"/>
        </w:pBdr>
        <w:tabs>
          <w:tab w:val="left" w:pos="708"/>
        </w:tabs>
        <w:spacing w:line="360" w:lineRule="auto"/>
        <w:jc w:val="both"/>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ab/>
        <w:t xml:space="preserve">Nesse contexto, Voss e Castets-Renard declaram que o direito ao esquecimento abarca cinco categorias, as quais podem se diferenciar pela dimensão da proteção ou campo de aplicação, quais sejam: 1. Direito de reabilitação, entendido como o direito ao esquecimento do passado judicial; 2. Direito de apagamento, que consiste na possibilidade de excluir dados, conforme a previsão das legislações de proteção de dados, o qual será abordado mais adiante; 3. Direito à desindexação, a qual é a exclusão dos resultados de buscas dos provedores de pesquisa de </w:t>
      </w:r>
      <w:r w:rsidRPr="000B79B9">
        <w:rPr>
          <w:rFonts w:ascii="Times New Roman" w:eastAsia="Arial" w:hAnsi="Times New Roman" w:cs="Times New Roman"/>
          <w:i/>
          <w:color w:val="000000"/>
          <w:sz w:val="24"/>
          <w:szCs w:val="24"/>
        </w:rPr>
        <w:t>hyperlinks</w:t>
      </w:r>
      <w:r w:rsidRPr="000B79B9">
        <w:rPr>
          <w:rFonts w:ascii="Times New Roman" w:eastAsia="Arial" w:hAnsi="Times New Roman" w:cs="Times New Roman"/>
          <w:color w:val="000000"/>
          <w:sz w:val="24"/>
          <w:szCs w:val="24"/>
        </w:rPr>
        <w:t xml:space="preserve"> que levam os usuários da internet, às páginas que apresentam conteúdos irrelevantes ou desatualizados sobre o indivíduo; 4. Direito à obscuridade, que não consiste no apagamento ou desindexação de informações, mas sim na aplicação de técnicas que </w:t>
      </w:r>
      <w:r w:rsidRPr="000B79B9">
        <w:rPr>
          <w:rFonts w:ascii="Times New Roman" w:eastAsia="Arial" w:hAnsi="Times New Roman" w:cs="Times New Roman"/>
          <w:sz w:val="24"/>
          <w:szCs w:val="24"/>
        </w:rPr>
        <w:t>dificultam</w:t>
      </w:r>
      <w:r w:rsidRPr="000B79B9">
        <w:rPr>
          <w:rFonts w:ascii="Times New Roman" w:eastAsia="Arial" w:hAnsi="Times New Roman" w:cs="Times New Roman"/>
          <w:color w:val="000000"/>
          <w:sz w:val="24"/>
          <w:szCs w:val="24"/>
        </w:rPr>
        <w:t xml:space="preserve"> que os dados pessoais sejam encontrados na rede, ficando os dados obscuros e; 5. Direito ao esquecimento dos dados recolhidos na sociedade da informação, pelo qual as informações compartilhadas teriam uma data de expiração (CASTETS-RENARD; VOSS, 2016, p. 298).</w:t>
      </w:r>
    </w:p>
    <w:p w:rsidR="00196C6E" w:rsidRPr="000B79B9" w:rsidRDefault="00B15061">
      <w:pPr>
        <w:widowControl/>
        <w:pBdr>
          <w:top w:val="nil"/>
          <w:left w:val="nil"/>
          <w:bottom w:val="nil"/>
          <w:right w:val="nil"/>
          <w:between w:val="nil"/>
        </w:pBdr>
        <w:tabs>
          <w:tab w:val="left" w:pos="708"/>
        </w:tabs>
        <w:spacing w:line="360" w:lineRule="auto"/>
        <w:jc w:val="both"/>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ab/>
        <w:t xml:space="preserve">Ademais, o termo específico referente ao direito de ser esquecido advém do ano de 2007, quando Viktor Mayer-Schönberger, acadêmico especializado em governança e regulação da internet na Instituição de Ensino de Oxford, expressou-se com o intuito de revelar a falsa crença de que deletar dados pessoais da internet garantiria uma exclusão definitiva, razão pela qual se criou o termo </w:t>
      </w:r>
      <w:r w:rsidRPr="000B79B9">
        <w:rPr>
          <w:rFonts w:ascii="Times New Roman" w:eastAsia="Arial" w:hAnsi="Times New Roman" w:cs="Times New Roman"/>
          <w:i/>
          <w:color w:val="000000"/>
          <w:sz w:val="24"/>
          <w:szCs w:val="24"/>
        </w:rPr>
        <w:t>the right to be forgotten</w:t>
      </w:r>
      <w:r w:rsidRPr="000B79B9">
        <w:rPr>
          <w:rFonts w:ascii="Times New Roman" w:eastAsia="Arial" w:hAnsi="Times New Roman" w:cs="Times New Roman"/>
          <w:color w:val="000000"/>
          <w:sz w:val="24"/>
          <w:szCs w:val="24"/>
        </w:rPr>
        <w:t>, o direito de ser esquecido em tradução livre (LIMA, 2013)</w:t>
      </w:r>
      <w:r w:rsidRPr="000B79B9">
        <w:rPr>
          <w:rFonts w:ascii="Times New Roman" w:eastAsia="Arial" w:hAnsi="Times New Roman" w:cs="Times New Roman"/>
          <w:sz w:val="24"/>
          <w:szCs w:val="24"/>
        </w:rPr>
        <w:t>.</w:t>
      </w:r>
    </w:p>
    <w:p w:rsidR="001139A3" w:rsidRPr="000B79B9" w:rsidRDefault="00B15061">
      <w:pPr>
        <w:widowControl/>
        <w:pBdr>
          <w:top w:val="nil"/>
          <w:left w:val="nil"/>
          <w:bottom w:val="nil"/>
          <w:right w:val="nil"/>
          <w:between w:val="nil"/>
        </w:pBdr>
        <w:tabs>
          <w:tab w:val="left" w:pos="708"/>
        </w:tabs>
        <w:spacing w:line="360" w:lineRule="auto"/>
        <w:jc w:val="both"/>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ab/>
        <w:t>Assim, Viktor Mayer-Schönberger abordou um caso específico em que a disseminação excessiva de informações na rede manchou a reputação de um indivíduo e causou danos de proporções incalculáveis. Tal ocorrido, proporcionou uma série de reflexões sobre a exposição ocasionada pelo meio virtual, que anteriormente era vista de forma ingênua, levando à busca por fundamentos jurídicos possíveis para atender os indivíduos que se sentiram violados em sua privacidade na internet.</w:t>
      </w:r>
    </w:p>
    <w:p w:rsidR="00196C6E" w:rsidRPr="000B79B9" w:rsidRDefault="001139A3">
      <w:pPr>
        <w:widowControl/>
        <w:pBdr>
          <w:top w:val="nil"/>
          <w:left w:val="nil"/>
          <w:bottom w:val="nil"/>
          <w:right w:val="nil"/>
          <w:between w:val="nil"/>
        </w:pBdr>
        <w:tabs>
          <w:tab w:val="left" w:pos="708"/>
        </w:tabs>
        <w:spacing w:line="360" w:lineRule="auto"/>
        <w:jc w:val="both"/>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lastRenderedPageBreak/>
        <w:tab/>
      </w:r>
      <w:r w:rsidR="00B15061" w:rsidRPr="000B79B9">
        <w:rPr>
          <w:rFonts w:ascii="Times New Roman" w:eastAsia="Arial" w:hAnsi="Times New Roman" w:cs="Times New Roman"/>
          <w:color w:val="000000"/>
          <w:sz w:val="24"/>
          <w:szCs w:val="24"/>
        </w:rPr>
        <w:t>À vista disso, observa-se que a proposta do direito ao esquecimento, trata excepcionalmente em relação à proteção da vida privada, sempre respeitando o princípio da dignidade da pessoa humana (MAYER-SCHÖNBERGER, 2009, p.1).</w:t>
      </w:r>
    </w:p>
    <w:p w:rsidR="00196C6E" w:rsidRPr="000B79B9" w:rsidRDefault="00B15061">
      <w:pPr>
        <w:widowControl/>
        <w:pBdr>
          <w:top w:val="nil"/>
          <w:left w:val="nil"/>
          <w:bottom w:val="nil"/>
          <w:right w:val="nil"/>
          <w:between w:val="nil"/>
        </w:pBdr>
        <w:tabs>
          <w:tab w:val="left" w:pos="708"/>
        </w:tabs>
        <w:spacing w:line="360" w:lineRule="auto"/>
        <w:jc w:val="both"/>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ab/>
        <w:t xml:space="preserve">Nesse contexto, o direito ao esquecimento surge como um instrumento de proteção, visando mitigar os efeitos negativos da permanência indiscriminada de informações que podem ser prejudiciais à reputação e ao bem-estar dos indivíduos. Ocorre que, sem uma legislação que reconheça esse direito no sistema jurídico brasileiro, ele se torna objeto de controvérsia. Conforme explicitado por Anderson Schreiber, a própria terminologia pode induzir ao equívoco, uma vez que não se trata de promover a qualquer custo o esquecimento de fatos passados nem de alterar ou apagar a história. </w:t>
      </w:r>
    </w:p>
    <w:p w:rsidR="00196C6E" w:rsidRPr="000B79B9" w:rsidRDefault="00B15061">
      <w:pPr>
        <w:widowControl/>
        <w:pBdr>
          <w:top w:val="nil"/>
          <w:left w:val="nil"/>
          <w:bottom w:val="nil"/>
          <w:right w:val="nil"/>
          <w:between w:val="nil"/>
        </w:pBdr>
        <w:tabs>
          <w:tab w:val="left" w:pos="708"/>
        </w:tabs>
        <w:spacing w:line="360" w:lineRule="auto"/>
        <w:jc w:val="both"/>
        <w:rPr>
          <w:rFonts w:ascii="Times New Roman" w:eastAsia="Arial" w:hAnsi="Times New Roman" w:cs="Times New Roman"/>
          <w:i/>
          <w:color w:val="000000"/>
          <w:sz w:val="24"/>
          <w:szCs w:val="24"/>
        </w:rPr>
      </w:pPr>
      <w:r w:rsidRPr="000B79B9">
        <w:rPr>
          <w:rFonts w:ascii="Times New Roman" w:eastAsia="Arial" w:hAnsi="Times New Roman" w:cs="Times New Roman"/>
          <w:color w:val="000000"/>
          <w:sz w:val="24"/>
          <w:szCs w:val="24"/>
        </w:rPr>
        <w:tab/>
        <w:t>Nesta senda, Anderson Schreiber estabelece que o direito ao esquecimento é:</w:t>
      </w:r>
    </w:p>
    <w:p w:rsidR="00196C6E" w:rsidRPr="000B79B9" w:rsidRDefault="00B15061">
      <w:pPr>
        <w:widowControl/>
        <w:pBdr>
          <w:top w:val="nil"/>
          <w:left w:val="nil"/>
          <w:bottom w:val="nil"/>
          <w:right w:val="nil"/>
          <w:between w:val="nil"/>
        </w:pBdr>
        <w:tabs>
          <w:tab w:val="left" w:pos="708"/>
        </w:tabs>
        <w:spacing w:after="300"/>
        <w:ind w:left="2268"/>
        <w:jc w:val="both"/>
        <w:rPr>
          <w:rFonts w:ascii="Times New Roman" w:eastAsia="Arial" w:hAnsi="Times New Roman" w:cs="Times New Roman"/>
          <w:color w:val="000000"/>
        </w:rPr>
      </w:pPr>
      <w:r w:rsidRPr="000B79B9">
        <w:rPr>
          <w:rFonts w:ascii="Times New Roman" w:eastAsia="Arial" w:hAnsi="Times New Roman" w:cs="Times New Roman"/>
          <w:color w:val="000000"/>
          <w:sz w:val="20"/>
          <w:szCs w:val="20"/>
        </w:rPr>
        <w:t>[...] o direito da pessoa humana de se defender contra uma recordação opressiva de fatos pretéritos que podem minar a construção e reconstrução de sua identidade pessoal, apresentando-a à sociedade sob falsas luzes, de modo a fornecer ao público uma projeção do ser humano que não corresponde à sua realidade atual (SCHREIBER, 2020, p. 227</w:t>
      </w:r>
      <w:r w:rsidRPr="000B79B9">
        <w:rPr>
          <w:rFonts w:ascii="Times New Roman" w:eastAsia="Arial" w:hAnsi="Times New Roman" w:cs="Times New Roman"/>
          <w:color w:val="000000"/>
        </w:rPr>
        <w:t>).</w:t>
      </w:r>
    </w:p>
    <w:p w:rsidR="00E05B5F" w:rsidRPr="000B79B9" w:rsidRDefault="00B15061" w:rsidP="00E05B5F">
      <w:pPr>
        <w:widowControl/>
        <w:pBdr>
          <w:top w:val="nil"/>
          <w:left w:val="nil"/>
          <w:bottom w:val="nil"/>
          <w:right w:val="nil"/>
          <w:between w:val="nil"/>
        </w:pBdr>
        <w:tabs>
          <w:tab w:val="left" w:pos="708"/>
        </w:tabs>
        <w:spacing w:line="360" w:lineRule="auto"/>
        <w:jc w:val="both"/>
        <w:rPr>
          <w:rFonts w:ascii="Times New Roman" w:eastAsia="Arial" w:hAnsi="Times New Roman" w:cs="Times New Roman"/>
          <w:color w:val="000000"/>
          <w:sz w:val="24"/>
          <w:szCs w:val="24"/>
        </w:rPr>
      </w:pPr>
      <w:r w:rsidRPr="000B79B9">
        <w:rPr>
          <w:rFonts w:ascii="Times New Roman" w:eastAsia="Arial" w:hAnsi="Times New Roman" w:cs="Times New Roman"/>
          <w:color w:val="000000"/>
        </w:rPr>
        <w:tab/>
      </w:r>
      <w:r w:rsidRPr="000B79B9">
        <w:rPr>
          <w:rFonts w:ascii="Times New Roman" w:eastAsia="Arial" w:hAnsi="Times New Roman" w:cs="Times New Roman"/>
          <w:color w:val="000000"/>
          <w:sz w:val="24"/>
          <w:szCs w:val="24"/>
        </w:rPr>
        <w:t xml:space="preserve">No contexto digital, a concepção da privacidade adquiriu características distintas, uma </w:t>
      </w:r>
    </w:p>
    <w:p w:rsidR="00196C6E" w:rsidRPr="000B79B9" w:rsidRDefault="00B15061" w:rsidP="00E05B5F">
      <w:pPr>
        <w:widowControl/>
        <w:pBdr>
          <w:top w:val="nil"/>
          <w:left w:val="nil"/>
          <w:bottom w:val="nil"/>
          <w:right w:val="nil"/>
          <w:between w:val="nil"/>
        </w:pBdr>
        <w:tabs>
          <w:tab w:val="left" w:pos="708"/>
        </w:tabs>
        <w:spacing w:line="360" w:lineRule="auto"/>
        <w:jc w:val="both"/>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informações divulgadas pelos veículos tradicionais da mídia, como jornais e revistas.</w:t>
      </w:r>
    </w:p>
    <w:p w:rsidR="00196C6E" w:rsidRPr="000B79B9" w:rsidRDefault="00B15061">
      <w:pPr>
        <w:widowControl/>
        <w:pBdr>
          <w:top w:val="nil"/>
          <w:left w:val="nil"/>
          <w:bottom w:val="nil"/>
          <w:right w:val="nil"/>
          <w:between w:val="nil"/>
        </w:pBdr>
        <w:tabs>
          <w:tab w:val="left" w:pos="708"/>
        </w:tabs>
        <w:spacing w:line="360" w:lineRule="auto"/>
        <w:jc w:val="both"/>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ab/>
      </w:r>
      <w:r w:rsidRPr="000B79B9">
        <w:rPr>
          <w:rFonts w:ascii="Times New Roman" w:eastAsia="Arial" w:hAnsi="Times New Roman" w:cs="Times New Roman"/>
          <w:color w:val="000000"/>
          <w:sz w:val="24"/>
          <w:szCs w:val="24"/>
        </w:rPr>
        <w:tab/>
        <w:t>Em vista disso, afirma Dupas (2000, p. 56.) “As tecnologias da informação encolhem o espaço. As diversas ‘teles’ anulam distâncias, desmaterializando os encontros.” Mas representam, por outro lado, também grandes riscos. Lado a lado, caminham a informação e a desinformação (BENJAMIN, 1994, p. 25 – 57).</w:t>
      </w:r>
    </w:p>
    <w:p w:rsidR="00196C6E" w:rsidRPr="000B79B9" w:rsidRDefault="00B15061">
      <w:pPr>
        <w:widowControl/>
        <w:pBdr>
          <w:top w:val="nil"/>
          <w:left w:val="nil"/>
          <w:bottom w:val="nil"/>
          <w:right w:val="nil"/>
          <w:between w:val="nil"/>
        </w:pBdr>
        <w:tabs>
          <w:tab w:val="left" w:pos="708"/>
        </w:tabs>
        <w:spacing w:line="360" w:lineRule="auto"/>
        <w:jc w:val="both"/>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ab/>
        <w:t xml:space="preserve">Nesse sentido, a exposição de dados pessoais impacta também na comunicação e na memória coletiva, permitindo que um evento ou fato pessoal permaneça exposto e acessível, independentemente do tempo decorrido. </w:t>
      </w:r>
      <w:r w:rsidR="006E1C0B" w:rsidRPr="000B79B9">
        <w:rPr>
          <w:rFonts w:ascii="Times New Roman" w:eastAsia="Arial" w:hAnsi="Times New Roman" w:cs="Times New Roman"/>
          <w:color w:val="000000"/>
          <w:sz w:val="24"/>
          <w:szCs w:val="24"/>
        </w:rPr>
        <w:t>Logo, a proteção da privacidade e dos dados pessoais tem se tornado cada vez mais importante na era digital. Ela é regulamentada no Brasil pela Lei Geral de Proteção de Dados (Lei 13.709/2018), que entrou em vigor em agosto de 2020, buscando proteger os direitos fundamentais de liberdade, intimidade e privacidade dos titulares de dados. Além disso, estabelece princípios, hipóteses de tratamento, direitos dos titulares e sanções administrativas aplicáveis aos agentes de tratamento de dados pessoais.</w:t>
      </w:r>
    </w:p>
    <w:p w:rsidR="00196C6E" w:rsidRPr="000B79B9" w:rsidRDefault="00B15061">
      <w:pPr>
        <w:widowControl/>
        <w:pBdr>
          <w:top w:val="nil"/>
          <w:left w:val="nil"/>
          <w:bottom w:val="nil"/>
          <w:right w:val="nil"/>
          <w:between w:val="nil"/>
        </w:pBdr>
        <w:tabs>
          <w:tab w:val="left" w:pos="708"/>
        </w:tabs>
        <w:spacing w:line="360" w:lineRule="auto"/>
        <w:jc w:val="both"/>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ab/>
        <w:t xml:space="preserve">Nesse contexto, Martini, em uma breve análise sobre tal legislação, dispõe que: </w:t>
      </w:r>
    </w:p>
    <w:p w:rsidR="00196C6E" w:rsidRPr="000B79B9" w:rsidRDefault="00B15061">
      <w:pPr>
        <w:widowControl/>
        <w:pBdr>
          <w:top w:val="nil"/>
          <w:left w:val="nil"/>
          <w:bottom w:val="nil"/>
          <w:right w:val="nil"/>
          <w:between w:val="nil"/>
        </w:pBdr>
        <w:tabs>
          <w:tab w:val="left" w:pos="708"/>
        </w:tabs>
        <w:spacing w:after="300"/>
        <w:ind w:left="2268"/>
        <w:jc w:val="both"/>
        <w:rPr>
          <w:rFonts w:ascii="Times New Roman" w:eastAsia="Arial" w:hAnsi="Times New Roman" w:cs="Times New Roman"/>
          <w:color w:val="000000"/>
          <w:sz w:val="20"/>
          <w:szCs w:val="20"/>
        </w:rPr>
      </w:pPr>
      <w:r w:rsidRPr="000B79B9">
        <w:rPr>
          <w:rFonts w:ascii="Times New Roman" w:eastAsia="Arial" w:hAnsi="Times New Roman" w:cs="Times New Roman"/>
          <w:color w:val="000000"/>
          <w:sz w:val="20"/>
          <w:szCs w:val="20"/>
        </w:rPr>
        <w:t>Toda informação relacionada à pessoa natural, identificada ou identificável, é denominada na nova legislação de dado pessoal. A sua gestão deverá ser realizada de maneira precisa e segura, pautada no consentimento prévio, na manifestação livre, informada e inequívoca do titular dos dados coletados e tratados pela qual concorda com o tratamento de seus dados pessoais para uma finalidade determinada (MARTINI, 2019, p. 169)</w:t>
      </w:r>
      <w:r w:rsidRPr="000B79B9">
        <w:rPr>
          <w:rFonts w:ascii="Times New Roman" w:eastAsia="Arial" w:hAnsi="Times New Roman" w:cs="Times New Roman"/>
          <w:sz w:val="20"/>
          <w:szCs w:val="20"/>
        </w:rPr>
        <w:t>.</w:t>
      </w:r>
    </w:p>
    <w:p w:rsidR="009758E0" w:rsidRPr="000B79B9" w:rsidRDefault="00B15061">
      <w:pPr>
        <w:widowControl/>
        <w:pBdr>
          <w:top w:val="nil"/>
          <w:left w:val="nil"/>
          <w:bottom w:val="nil"/>
          <w:right w:val="nil"/>
          <w:between w:val="nil"/>
        </w:pBdr>
        <w:tabs>
          <w:tab w:val="left" w:pos="708"/>
        </w:tabs>
        <w:spacing w:line="360" w:lineRule="auto"/>
        <w:jc w:val="both"/>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lastRenderedPageBreak/>
        <w:tab/>
        <w:t>Em suma, observa-se que os conceitos como o direito ao esquecimento e à exclusão de dados visam proteger a dignidade da pessoa humana em meios de comunicação e plataformas online. Ademais, embora a LGPD reconheça expressamente o direito à exclusão de dados pessoais, o direito ao esquecimento ainda não possui uma lei específica que o regulamente no ordenamento jurídico brasileiro</w:t>
      </w:r>
    </w:p>
    <w:p w:rsidR="00196C6E" w:rsidRPr="000B79B9" w:rsidRDefault="009758E0" w:rsidP="00E07E99">
      <w:pPr>
        <w:pStyle w:val="Corpodetexto"/>
        <w:spacing w:line="360" w:lineRule="auto"/>
        <w:jc w:val="both"/>
      </w:pPr>
      <w:r w:rsidRPr="000B79B9">
        <w:tab/>
      </w:r>
      <w:r w:rsidR="00B15061" w:rsidRPr="000B79B9">
        <w:t xml:space="preserve">No entanto, a LGPD já faz menção ao direito de retirada de informações, discutindo a remoção de informações pessoais irrelevantes, desatualizadas ou prejudiciais à reputação de indivíduos. Assim, fica evidente a importância do direito ao esquecimento no contexto da proteção de dados pessoais e da privacidade na era digital. </w:t>
      </w:r>
    </w:p>
    <w:p w:rsidR="00196C6E" w:rsidRPr="00E07E99" w:rsidRDefault="00196C6E" w:rsidP="00E07E99">
      <w:pPr>
        <w:pStyle w:val="Corpodetexto"/>
      </w:pPr>
    </w:p>
    <w:p w:rsidR="00196C6E" w:rsidRPr="000B79B9" w:rsidRDefault="00B15061" w:rsidP="00E07E99">
      <w:pPr>
        <w:pStyle w:val="Ttulo1"/>
        <w:tabs>
          <w:tab w:val="left" w:pos="284"/>
        </w:tabs>
        <w:spacing w:before="30" w:after="30"/>
        <w:ind w:left="0"/>
        <w:contextualSpacing/>
        <w:jc w:val="both"/>
        <w:rPr>
          <w:rFonts w:ascii="Times New Roman" w:hAnsi="Times New Roman" w:cs="Times New Roman"/>
        </w:rPr>
      </w:pPr>
      <w:r w:rsidRPr="000B79B9">
        <w:rPr>
          <w:rFonts w:ascii="Times New Roman" w:hAnsi="Times New Roman" w:cs="Times New Roman"/>
        </w:rPr>
        <w:t xml:space="preserve">3.1 A EVOLUÇÃO DA PROTEÇÃO DE DADOS NO BRASIL </w:t>
      </w:r>
    </w:p>
    <w:p w:rsidR="003112B3" w:rsidRPr="000B79B9" w:rsidRDefault="003112B3" w:rsidP="00E07E99">
      <w:pPr>
        <w:pStyle w:val="Corpodetexto"/>
      </w:pPr>
    </w:p>
    <w:p w:rsidR="00196C6E" w:rsidRPr="000B79B9" w:rsidRDefault="00B15061">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 xml:space="preserve">No Brasil, antes mesmo da promulgação da Lei Geral de Proteção de Dados de 2018 (LGPD) inspirada no Regulamento europeu, o legislador brasileiro buscou, de forma gradativa, um enquadramento do tema no ordenamento nacional, objetivando ampliar e atualizar os direitos fundamentais constitucionais em razão da exposição gradual de notícias e dados nas mídias, sobretudo na internet. </w:t>
      </w:r>
    </w:p>
    <w:p w:rsidR="00196C6E" w:rsidRPr="000B79B9" w:rsidRDefault="00B15061">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 xml:space="preserve">Nesse sentido, uma das preocupações da Constituição Federal do Brasil de 1988 foi regular o fenômeno da informação, assegurando em diversos dispositivos legais, a tutela da intimidade e da vida privada, previstos em seu Artigo 5º, inciso X, assim como o sigilo das comunicações, de dados, previstos em seu Artigo 5º, inciso XII, além do sigilo da fonte consagrado em seu artigo 5º, inciso XIV. </w:t>
      </w:r>
    </w:p>
    <w:p w:rsidR="00196C6E" w:rsidRPr="000B79B9" w:rsidRDefault="00B15061">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Esses princípios nortearam a elaboração da legislação infraconstitucional, que passou a abordar situações específicas, entre as quais se sobressai a necessidade de resguardar a proteção de dados pessoais, visto que o contexto atual revela a crescente vulnerabilidade dos dados pessoais dos usuários na internet, o que demanda uma adequada normatização dessa matéria.</w:t>
      </w:r>
    </w:p>
    <w:p w:rsidR="00196C6E" w:rsidRPr="000B79B9" w:rsidRDefault="00B15061">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Entretanto, embora o ordenamento jurídico brasileiro já contasse com algumas normas que conferiam alguma proteção ao usuário, como o Marco Civil da Internet (MCI), Lei nº 12.965 de 2014; o Código de Defesa do Consumidor, Lei nº 8.078 de 1990; a Lei de Acesso à Informação, Lei nº 12.527 de 2011 e a Lei do Habeas Data, Lei nº 9.507 de 1997, por exemplo, o legislador nacional buscou regulamentar essa realidade de exposição de dados de forma mais específica e abrangente.</w:t>
      </w:r>
    </w:p>
    <w:p w:rsidR="00196C6E" w:rsidRPr="000B79B9" w:rsidRDefault="00B15061">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Nesta senda</w:t>
      </w:r>
      <w:r w:rsidRPr="000B79B9">
        <w:rPr>
          <w:rFonts w:ascii="Times New Roman" w:eastAsia="Arial" w:hAnsi="Times New Roman" w:cs="Times New Roman"/>
          <w:color w:val="000000"/>
          <w:sz w:val="24"/>
          <w:szCs w:val="24"/>
        </w:rPr>
        <w:t xml:space="preserve">, Danilo Doneda ressalta a importância </w:t>
      </w:r>
      <w:r w:rsidRPr="000B79B9">
        <w:rPr>
          <w:rFonts w:ascii="Times New Roman" w:eastAsia="Arial" w:hAnsi="Times New Roman" w:cs="Times New Roman"/>
          <w:sz w:val="24"/>
          <w:szCs w:val="24"/>
        </w:rPr>
        <w:t xml:space="preserve">da legislação infraconstitucional, da seguinte forma: </w:t>
      </w:r>
    </w:p>
    <w:p w:rsidR="00196C6E" w:rsidRPr="000B79B9" w:rsidRDefault="00B15061">
      <w:pPr>
        <w:spacing w:after="300"/>
        <w:ind w:left="2268"/>
        <w:jc w:val="both"/>
        <w:rPr>
          <w:rFonts w:ascii="Times New Roman" w:eastAsia="Arial" w:hAnsi="Times New Roman" w:cs="Times New Roman"/>
          <w:color w:val="000000"/>
          <w:sz w:val="20"/>
          <w:szCs w:val="20"/>
        </w:rPr>
      </w:pPr>
      <w:r w:rsidRPr="000B79B9">
        <w:rPr>
          <w:rFonts w:ascii="Times New Roman" w:eastAsia="Arial" w:hAnsi="Times New Roman" w:cs="Times New Roman"/>
          <w:color w:val="000000"/>
          <w:sz w:val="20"/>
          <w:szCs w:val="20"/>
        </w:rPr>
        <w:t xml:space="preserve">A proteção de dados pessoais no ordenamento brasileiro não se estrutura a partir de </w:t>
      </w:r>
      <w:r w:rsidRPr="000B79B9">
        <w:rPr>
          <w:rFonts w:ascii="Times New Roman" w:eastAsia="Arial" w:hAnsi="Times New Roman" w:cs="Times New Roman"/>
          <w:color w:val="000000"/>
          <w:sz w:val="20"/>
          <w:szCs w:val="20"/>
        </w:rPr>
        <w:lastRenderedPageBreak/>
        <w:t>um complexo normativo unitário. A Constituição Brasileira contempla o problema da informação inicialmente por meio das garantias à liberdade de expressão e do direito à informação, que deverão eventualmente ser confrontados com a proteção da personalidade e, em especial, com o direito à privacidade. Além disso, a Constituição considera invioláveis a vida privada e a intimidade (art. 5º, X), veja-se especificamente a interceptação de comunicações telefônicas, telegráficas ou de dados (artigo 5º, XII), bem como instituiu a ação de habeas data (art. 5º, LXXII), que basicamente estabelece uma modalidade de direito de acesso e retificação dos dados pessoais. Na legislação infraconstitucional, destaque-se o Código de Defesa do Consumidor, Lei 8.078/90, cujo artigo 43 estabelece uma série de direitos e garantias para o consumidor em relação às suas informações pessoais presentes em “bancos de dados e cadastros”, implementando uma sistemática baseada nos Fair Information Principles à matéria de concessão de crédito e possibilitando que parte da doutrina verifique neste texto legal o marco normativo dos princípios de proteção de dados pessoais no direito brasileiro (DONEDA, 2021).</w:t>
      </w:r>
    </w:p>
    <w:p w:rsidR="00196C6E" w:rsidRPr="000B79B9" w:rsidRDefault="00B15061">
      <w:pPr>
        <w:widowControl/>
        <w:pBdr>
          <w:top w:val="nil"/>
          <w:left w:val="nil"/>
          <w:bottom w:val="nil"/>
          <w:right w:val="nil"/>
          <w:between w:val="nil"/>
        </w:pBdr>
        <w:tabs>
          <w:tab w:val="left" w:pos="708"/>
        </w:tabs>
        <w:spacing w:line="360" w:lineRule="auto"/>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ab/>
        <w:t>Além disso, é importante ressaltar o papel do Marco Civil da Internet (MCI), como a norma mais específica sobre o assunto, com aspectos que buscavam assegurar uma proteção jurídica para todos os usuários. Nesse sentido, Teixeira, em uma breve análise sobre essa norma, afirma que:</w:t>
      </w:r>
    </w:p>
    <w:p w:rsidR="00196C6E" w:rsidRPr="000B79B9" w:rsidRDefault="00B15061">
      <w:pPr>
        <w:spacing w:after="300"/>
        <w:ind w:left="2268"/>
        <w:jc w:val="both"/>
        <w:rPr>
          <w:rFonts w:ascii="Times New Roman" w:eastAsia="Arial" w:hAnsi="Times New Roman" w:cs="Times New Roman"/>
          <w:sz w:val="20"/>
          <w:szCs w:val="20"/>
        </w:rPr>
      </w:pPr>
      <w:r w:rsidRPr="000B79B9">
        <w:rPr>
          <w:rFonts w:ascii="Times New Roman" w:eastAsia="Arial" w:hAnsi="Times New Roman" w:cs="Times New Roman"/>
          <w:sz w:val="20"/>
          <w:szCs w:val="20"/>
        </w:rPr>
        <w:t>Trata-se de uma lei principiológica, pois estabelece parâmetros gerais acerca de princípios, garantias, direitos e deveres para o uso da internet no Brasil, além de determinar algumas diretrizes a serem seguidas pelo Poder Público sobre o assunto (Lei n. 12.965/2014 –Marco Civil da Internet –MCI, art. 1o). Em seu texto também há regras específicas a serem cumpridas por agentes que operam na internet, especialmente as dirigidas aos provedores de acesso e de conteúdo (TEIXEIRA, 2015, p. 94).</w:t>
      </w:r>
    </w:p>
    <w:p w:rsidR="00196C6E" w:rsidRPr="000B79B9" w:rsidRDefault="00B15061">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 xml:space="preserve">Em virtude do progresso tecnológico, a LGPD foi sancionada em 2018, definindo os princípios e normas a serem observados para o tratamento de dados nas redes, estimulando que as empresas ou mesmo pessoas físicas, desenvolvessem estruturas eficientes para maior segurança dos dados pessoais dos usuários. </w:t>
      </w:r>
    </w:p>
    <w:p w:rsidR="00196C6E" w:rsidRPr="000B79B9" w:rsidRDefault="00B15061">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Assim sendo, de acordo com a LGPD, em seu artigo 2º, estão definidos os fundamentos que norteiam a proteção dos dados pessoais dos titulares:</w:t>
      </w:r>
    </w:p>
    <w:p w:rsidR="00196C6E" w:rsidRPr="000B79B9" w:rsidRDefault="00B15061">
      <w:pPr>
        <w:spacing w:after="300"/>
        <w:ind w:left="2268"/>
        <w:jc w:val="both"/>
        <w:rPr>
          <w:rFonts w:ascii="Times New Roman" w:eastAsia="Arial" w:hAnsi="Times New Roman" w:cs="Times New Roman"/>
          <w:sz w:val="20"/>
          <w:szCs w:val="20"/>
        </w:rPr>
      </w:pPr>
      <w:r w:rsidRPr="000B79B9">
        <w:rPr>
          <w:rFonts w:ascii="Times New Roman" w:eastAsia="Arial" w:hAnsi="Times New Roman" w:cs="Times New Roman"/>
          <w:sz w:val="20"/>
          <w:szCs w:val="20"/>
        </w:rPr>
        <w:t>Artigo 2º A disciplina da proteção de dados pessoais tem como fundamentos: I - o respeito à privacidade; II - a autodeterminação informativa; III - a liberdade de expressão, de informação, de comunicação e de opinião; IV - a inviolabilidade da intimidade, da honra e da imagem; V - o desenvolvimento econômico e tecnológico e a inovação; VI - a livre iniciativa, a livre concorrência e a defesa do consumidor; e VII - os direitos humanos, o livre desenvolvimento da personalidade, a dignidade e o exercício da cidadania pelas pessoas naturais (BRASIL, 2018).</w:t>
      </w:r>
    </w:p>
    <w:p w:rsidR="00196C6E" w:rsidRPr="000B79B9" w:rsidRDefault="00B15061">
      <w:pPr>
        <w:spacing w:line="360" w:lineRule="auto"/>
        <w:jc w:val="both"/>
        <w:rPr>
          <w:rFonts w:ascii="Times New Roman" w:eastAsia="Arial" w:hAnsi="Times New Roman" w:cs="Times New Roman"/>
          <w:color w:val="000000"/>
          <w:sz w:val="24"/>
          <w:szCs w:val="24"/>
        </w:rPr>
      </w:pPr>
      <w:r w:rsidRPr="000B79B9">
        <w:rPr>
          <w:rFonts w:ascii="Times New Roman" w:eastAsia="Arial" w:hAnsi="Times New Roman" w:cs="Times New Roman"/>
          <w:sz w:val="24"/>
          <w:szCs w:val="24"/>
        </w:rPr>
        <w:tab/>
      </w:r>
      <w:r w:rsidRPr="000B79B9">
        <w:rPr>
          <w:rFonts w:ascii="Times New Roman" w:eastAsia="Arial" w:hAnsi="Times New Roman" w:cs="Times New Roman"/>
          <w:color w:val="000000"/>
          <w:sz w:val="24"/>
          <w:szCs w:val="24"/>
        </w:rPr>
        <w:t xml:space="preserve">Na visão de </w:t>
      </w:r>
      <w:r w:rsidRPr="000B79B9">
        <w:rPr>
          <w:rFonts w:ascii="Times New Roman" w:eastAsia="Arial" w:hAnsi="Times New Roman" w:cs="Times New Roman"/>
          <w:sz w:val="24"/>
          <w:szCs w:val="24"/>
        </w:rPr>
        <w:t xml:space="preserve">Pinheiro (2021), a </w:t>
      </w:r>
      <w:r w:rsidRPr="000B79B9">
        <w:rPr>
          <w:rFonts w:ascii="Times New Roman" w:eastAsia="Arial" w:hAnsi="Times New Roman" w:cs="Times New Roman"/>
          <w:color w:val="000000"/>
          <w:sz w:val="24"/>
          <w:szCs w:val="24"/>
        </w:rPr>
        <w:t xml:space="preserve">LGPD visa proteger os direitos fundamentais: </w:t>
      </w:r>
    </w:p>
    <w:p w:rsidR="00196C6E" w:rsidRPr="000B79B9" w:rsidRDefault="00B15061">
      <w:pPr>
        <w:spacing w:after="300"/>
        <w:ind w:left="2268"/>
        <w:jc w:val="both"/>
        <w:rPr>
          <w:rFonts w:ascii="Times New Roman" w:eastAsia="Arial" w:hAnsi="Times New Roman" w:cs="Times New Roman"/>
          <w:color w:val="000000"/>
          <w:sz w:val="20"/>
          <w:szCs w:val="20"/>
        </w:rPr>
      </w:pPr>
      <w:r w:rsidRPr="000B79B9">
        <w:rPr>
          <w:rFonts w:ascii="Times New Roman" w:eastAsia="Arial" w:hAnsi="Times New Roman" w:cs="Times New Roman"/>
          <w:color w:val="000000"/>
          <w:sz w:val="20"/>
          <w:szCs w:val="20"/>
        </w:rPr>
        <w:t>Criada como meio de fortalecer a proteção da privacidade dos usuários e de seus dados pessoais, a lei dispõe sobre o tratamento de dados pessoais, inclusive nos meios digitais, por pessoa natural ou por pessoa jurídica de direito público ou privado. Um dos grandes destaques trazidos com a novidade é que, a partir das novas regras, os cidadãos poderão ter acesso a informações de como seus dados são coletados, processados e armazenados. Ou seja, o objetivo é proteger os direitos fundamentais de liberdade, de privacidade e o livre desenvolvimento da personalidade da pessoa natural (PINHEIRO, 2021, p. 76).</w:t>
      </w:r>
    </w:p>
    <w:p w:rsidR="00196C6E" w:rsidRPr="000B79B9" w:rsidRDefault="00B15061">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lastRenderedPageBreak/>
        <w:t xml:space="preserve">Portanto, uma das principais contribuições da LGPD foi consolidar o que já estava previsto em normas jurídicas anteriores, conferindo maior consistência e harmonia ao sistema de proteção de dados, regulando as atividades de tratamento de dados pessoais, além de abordar diversas atualizações capazes de acompanhar o desenvolvimento digital crescente. </w:t>
      </w:r>
    </w:p>
    <w:p w:rsidR="00606491" w:rsidRPr="000B79B9" w:rsidRDefault="00606491" w:rsidP="00606491">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Embora a LGPD seja inspirada no Regulamento Geral de Proteção de Dados (RGPD) da União Europeia, o qual reconhece o direito ao esquecimento como equivalente ao direito de apagamento dos dados, conforme estabelecido no artigo 17º do RGPD (UNIÃO EUROPEIA, 2016), a LGPD não aborda de maneira explícita o direito ao esquecimento.</w:t>
      </w:r>
    </w:p>
    <w:p w:rsidR="00196C6E" w:rsidRPr="000B79B9" w:rsidRDefault="00606491" w:rsidP="00606491">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Isso motiva a reflexão sobre a possibilidade do reconhecimento do chamado direito de ser esquecido de forma implícita, mediante a interpretação de outros dispositivos presentes na LGPD, principalmente do artigo 18, inciso IV e VI. Nesse artigo, é determinado que o titular dos dados pessoais tem o direito à anonimização, bloqueio ou eliminação de dados desnecessários, excessivos ou tratados em desconformidade com o disposto na lei, a qualquer momento e mediante requisição (BRASIL, 2018).</w:t>
      </w:r>
    </w:p>
    <w:p w:rsidR="009758E0" w:rsidRPr="000B79B9" w:rsidRDefault="009758E0" w:rsidP="00BD72A5">
      <w:pPr>
        <w:pStyle w:val="Corpodetexto"/>
      </w:pPr>
    </w:p>
    <w:p w:rsidR="00196C6E" w:rsidRPr="000B79B9" w:rsidRDefault="00B15061" w:rsidP="00BD72A5">
      <w:pPr>
        <w:pStyle w:val="Ttulo1"/>
        <w:tabs>
          <w:tab w:val="left" w:pos="284"/>
        </w:tabs>
        <w:spacing w:before="40" w:after="40" w:line="360" w:lineRule="auto"/>
        <w:ind w:left="0" w:right="408"/>
        <w:contextualSpacing/>
        <w:jc w:val="both"/>
        <w:rPr>
          <w:rFonts w:ascii="Times New Roman" w:hAnsi="Times New Roman" w:cs="Times New Roman"/>
        </w:rPr>
      </w:pPr>
      <w:r w:rsidRPr="000B79B9">
        <w:rPr>
          <w:rFonts w:ascii="Times New Roman" w:hAnsi="Times New Roman" w:cs="Times New Roman"/>
        </w:rPr>
        <w:t>3.2 O DIREITO AO ESQUECIMENTO E A EXCLUSÃO DE DADOS PESSOAIS NA LGPD</w:t>
      </w:r>
    </w:p>
    <w:p w:rsidR="00196C6E" w:rsidRPr="000B79B9" w:rsidRDefault="00196C6E" w:rsidP="00BD72A5">
      <w:pPr>
        <w:pStyle w:val="Corpodetexto"/>
      </w:pPr>
    </w:p>
    <w:p w:rsidR="00196C6E" w:rsidRPr="000B79B9" w:rsidRDefault="00B15061">
      <w:pPr>
        <w:spacing w:line="360" w:lineRule="auto"/>
        <w:ind w:firstLine="720"/>
        <w:contextualSpacing/>
        <w:jc w:val="both"/>
        <w:rPr>
          <w:rFonts w:ascii="Times New Roman" w:eastAsia="Arial" w:hAnsi="Times New Roman" w:cs="Times New Roman"/>
          <w:color w:val="000000"/>
          <w:sz w:val="24"/>
          <w:szCs w:val="24"/>
        </w:rPr>
      </w:pPr>
      <w:bookmarkStart w:id="2" w:name="_heading=h.30j0zll" w:colFirst="0" w:colLast="0"/>
      <w:bookmarkEnd w:id="2"/>
      <w:r w:rsidRPr="000B79B9">
        <w:rPr>
          <w:rFonts w:ascii="Times New Roman" w:eastAsia="Arial" w:hAnsi="Times New Roman" w:cs="Times New Roman"/>
          <w:sz w:val="24"/>
          <w:szCs w:val="24"/>
        </w:rPr>
        <w:t xml:space="preserve">Como visto inicialmente, </w:t>
      </w:r>
      <w:r w:rsidRPr="000B79B9">
        <w:rPr>
          <w:rFonts w:ascii="Times New Roman" w:eastAsia="Arial" w:hAnsi="Times New Roman" w:cs="Times New Roman"/>
          <w:color w:val="000000"/>
          <w:sz w:val="24"/>
          <w:szCs w:val="24"/>
        </w:rPr>
        <w:t>o direito ao esquecimento consiste na legitimidade dos indivíduos para retirar de circulação informações pessoais que lhes acarretem constrangimento, sofrimento ou prejuízo à imagem, honra, privacidade ou intimidade, independentemente da veracidade das mesmas.</w:t>
      </w:r>
    </w:p>
    <w:p w:rsidR="00196C6E" w:rsidRPr="000B79B9" w:rsidRDefault="00B15061">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color w:val="000000"/>
          <w:sz w:val="24"/>
          <w:szCs w:val="24"/>
        </w:rPr>
        <w:t xml:space="preserve">Assim, este direito é entendido </w:t>
      </w:r>
      <w:r w:rsidRPr="000B79B9">
        <w:rPr>
          <w:rFonts w:ascii="Times New Roman" w:eastAsia="Arial" w:hAnsi="Times New Roman" w:cs="Times New Roman"/>
          <w:sz w:val="24"/>
          <w:szCs w:val="24"/>
        </w:rPr>
        <w:t>“como uma garantia de não ser recordada em comunicação atual ou passada, divulgada pela internet ou pela mídia, sobre um fato passado, mesmo que verdadeiro e público por meios lícitos, pelo potencial prejuízo à vida do indivíduo” (PINHEIRO, 2016, p. 37 apud TORRES, 2021).</w:t>
      </w:r>
    </w:p>
    <w:p w:rsidR="00196C6E" w:rsidRPr="000B79B9" w:rsidRDefault="00B15061">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 xml:space="preserve">Uma análise atual do direito ao esquecimento no Brasil revela a complexidade e a diversidade de significados que envolvem o tema, conforme demonstram Voss e Castets-Renard, que propuseram cinco definições distintas para o conceito, conforme citado inicialmente: direito à reabilitação; direito à eliminação; direito à desindexação; direito à obscuridade; direito ao esquecimento digital </w:t>
      </w:r>
      <w:r w:rsidRPr="000B79B9">
        <w:rPr>
          <w:rFonts w:ascii="Times New Roman" w:eastAsia="Arial" w:hAnsi="Times New Roman" w:cs="Times New Roman"/>
          <w:color w:val="000000"/>
          <w:sz w:val="24"/>
          <w:szCs w:val="24"/>
        </w:rPr>
        <w:t>(CASTETS-RENARD; VOSS, 2016, p. 298).</w:t>
      </w:r>
    </w:p>
    <w:p w:rsidR="00196C6E" w:rsidRPr="000B79B9" w:rsidRDefault="00B15061">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O direito à eliminação (</w:t>
      </w:r>
      <w:r w:rsidRPr="000B79B9">
        <w:rPr>
          <w:rFonts w:ascii="Times New Roman" w:eastAsia="Arial" w:hAnsi="Times New Roman" w:cs="Times New Roman"/>
          <w:i/>
          <w:sz w:val="24"/>
          <w:szCs w:val="24"/>
        </w:rPr>
        <w:t>right to deletion</w:t>
      </w:r>
      <w:r w:rsidRPr="000B79B9">
        <w:rPr>
          <w:rFonts w:ascii="Times New Roman" w:eastAsia="Arial" w:hAnsi="Times New Roman" w:cs="Times New Roman"/>
          <w:sz w:val="24"/>
          <w:szCs w:val="24"/>
        </w:rPr>
        <w:t xml:space="preserve">) é, certamente, o mais controverso, pois pressupõe a destruição do dado obtido, podendo afetar a liberdade de expressão. No entanto, os casos relatados pelos autores supracitados restringem-se às informações coletadas de forma </w:t>
      </w:r>
      <w:r w:rsidRPr="000B79B9">
        <w:rPr>
          <w:rFonts w:ascii="Times New Roman" w:eastAsia="Arial" w:hAnsi="Times New Roman" w:cs="Times New Roman"/>
          <w:sz w:val="24"/>
          <w:szCs w:val="24"/>
        </w:rPr>
        <w:lastRenderedPageBreak/>
        <w:t>incompleta ou inexata ou às situações em que o vínculo entre o usuário e o responsável pelo tratamento dos dados foi encerrado, o que permitiria inferir pela falta de interesse legítimo na sua conservação.</w:t>
      </w:r>
    </w:p>
    <w:p w:rsidR="00196C6E" w:rsidRPr="000B79B9" w:rsidRDefault="00B15061">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 xml:space="preserve">Seguindo a mesma lógica, a Lei Geral de Proteção de Dados (LGPD) estabelece que os agentes que tratam dados, têm o dever de mantê-los atualizados, de modo que reflitam a situação atual do ser humano, evitando que sejam usados para fins diversos daqueles para os quais foram coletados originalmente. </w:t>
      </w:r>
      <w:r w:rsidR="00742DF6" w:rsidRPr="000B79B9">
        <w:rPr>
          <w:rFonts w:ascii="Times New Roman" w:eastAsia="Arial" w:hAnsi="Times New Roman" w:cs="Times New Roman"/>
          <w:sz w:val="24"/>
          <w:szCs w:val="24"/>
        </w:rPr>
        <w:t>Portanto</w:t>
      </w:r>
      <w:r w:rsidRPr="000B79B9">
        <w:rPr>
          <w:rFonts w:ascii="Times New Roman" w:eastAsia="Arial" w:hAnsi="Times New Roman" w:cs="Times New Roman"/>
          <w:sz w:val="24"/>
          <w:szCs w:val="24"/>
        </w:rPr>
        <w:t>, merecem destaque alguns de seus fundamentos, como a autodeterminação informativa e a privacidade, que evidenciam a preocupação com direitos inerentes aos titulares de dados.</w:t>
      </w:r>
    </w:p>
    <w:p w:rsidR="00196C6E" w:rsidRPr="000B79B9" w:rsidRDefault="00B15061">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Nesse sentido, importante destacar que uma das principais consequências pela promulgação da LGPD, foram os diversos debates provocados acerca da possível aplicação do direito ao esquecimento no ordenamento jurídico brasileiro, com base em alguns dispositivos legais, como o artigo 5°, inciso XIV, que define a eliminação de dados como “exclusão de dado ou de conjunto de dados armazenados em banco de dados, independentemente do procedimento empregado” (BRASIL, 2018), assegurando ao titular o direito de requerer, a qualquer momento, a exclusão dos seus dados pessoais que foram coletados.</w:t>
      </w:r>
    </w:p>
    <w:p w:rsidR="00196C6E" w:rsidRPr="000B79B9" w:rsidRDefault="00B15061">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À vista disso, o Art. 16 da LGPD determina que os dados pessoais devem ser excluídos após o fim do seu tratamento, dentro do escopo e dos limites técnicos das atividades realizadas. No entanto, esse direito à eliminação dos dados pessoais não é absoluto e deve observar as situações de manutenção do tratamento previstas na lei:</w:t>
      </w:r>
    </w:p>
    <w:p w:rsidR="00196C6E" w:rsidRPr="000B79B9" w:rsidRDefault="00B15061">
      <w:pPr>
        <w:ind w:left="2268"/>
        <w:jc w:val="both"/>
        <w:rPr>
          <w:rFonts w:ascii="Times New Roman" w:eastAsia="Arial" w:hAnsi="Times New Roman" w:cs="Times New Roman"/>
          <w:sz w:val="20"/>
          <w:szCs w:val="20"/>
        </w:rPr>
      </w:pPr>
      <w:r w:rsidRPr="000B79B9">
        <w:rPr>
          <w:rFonts w:ascii="Times New Roman" w:eastAsia="Arial" w:hAnsi="Times New Roman" w:cs="Times New Roman"/>
          <w:sz w:val="20"/>
          <w:szCs w:val="20"/>
        </w:rPr>
        <w:t>Art. 16 - Os dados pessoais serão eliminados após o término de seu tratamento, no âmbito e nos limites técnicos das atividades, autorizada a conservação para as seguintes finalidades:</w:t>
      </w:r>
    </w:p>
    <w:p w:rsidR="00196C6E" w:rsidRPr="000B79B9" w:rsidRDefault="00B15061">
      <w:pPr>
        <w:ind w:left="2268"/>
        <w:jc w:val="both"/>
        <w:rPr>
          <w:rFonts w:ascii="Times New Roman" w:eastAsia="Arial" w:hAnsi="Times New Roman" w:cs="Times New Roman"/>
          <w:sz w:val="20"/>
          <w:szCs w:val="20"/>
        </w:rPr>
      </w:pPr>
      <w:r w:rsidRPr="000B79B9">
        <w:rPr>
          <w:rFonts w:ascii="Times New Roman" w:eastAsia="Arial" w:hAnsi="Times New Roman" w:cs="Times New Roman"/>
          <w:sz w:val="20"/>
          <w:szCs w:val="20"/>
        </w:rPr>
        <w:t>I - cumprimento de obrigação legal ou regulatória pelo controlador;</w:t>
      </w:r>
    </w:p>
    <w:p w:rsidR="00196C6E" w:rsidRPr="000B79B9" w:rsidRDefault="00B15061">
      <w:pPr>
        <w:ind w:left="2268"/>
        <w:jc w:val="both"/>
        <w:rPr>
          <w:rFonts w:ascii="Times New Roman" w:eastAsia="Arial" w:hAnsi="Times New Roman" w:cs="Times New Roman"/>
          <w:sz w:val="20"/>
          <w:szCs w:val="20"/>
        </w:rPr>
      </w:pPr>
      <w:r w:rsidRPr="000B79B9">
        <w:rPr>
          <w:rFonts w:ascii="Times New Roman" w:eastAsia="Arial" w:hAnsi="Times New Roman" w:cs="Times New Roman"/>
          <w:sz w:val="20"/>
          <w:szCs w:val="20"/>
        </w:rPr>
        <w:t>II - estudo por órgão de pesquisa, garantida, sempre que possível, a anonimização dos dados pessoais;</w:t>
      </w:r>
    </w:p>
    <w:p w:rsidR="00196C6E" w:rsidRPr="000B79B9" w:rsidRDefault="00B15061">
      <w:pPr>
        <w:ind w:left="2268"/>
        <w:jc w:val="both"/>
        <w:rPr>
          <w:rFonts w:ascii="Times New Roman" w:eastAsia="Arial" w:hAnsi="Times New Roman" w:cs="Times New Roman"/>
          <w:sz w:val="20"/>
          <w:szCs w:val="20"/>
        </w:rPr>
      </w:pPr>
      <w:r w:rsidRPr="000B79B9">
        <w:rPr>
          <w:rFonts w:ascii="Times New Roman" w:eastAsia="Arial" w:hAnsi="Times New Roman" w:cs="Times New Roman"/>
          <w:sz w:val="20"/>
          <w:szCs w:val="20"/>
        </w:rPr>
        <w:t>III - transferência a terceiro, desde que respeitados os requisitos de tratamento de dados dispostos nesta Lei;</w:t>
      </w:r>
    </w:p>
    <w:p w:rsidR="00196C6E" w:rsidRPr="000B79B9" w:rsidRDefault="00B15061">
      <w:pPr>
        <w:ind w:left="2268"/>
        <w:jc w:val="both"/>
        <w:rPr>
          <w:rFonts w:ascii="Times New Roman" w:eastAsia="Arial" w:hAnsi="Times New Roman" w:cs="Times New Roman"/>
          <w:sz w:val="20"/>
          <w:szCs w:val="20"/>
        </w:rPr>
      </w:pPr>
      <w:r w:rsidRPr="000B79B9">
        <w:rPr>
          <w:rFonts w:ascii="Times New Roman" w:eastAsia="Arial" w:hAnsi="Times New Roman" w:cs="Times New Roman"/>
          <w:sz w:val="20"/>
          <w:szCs w:val="20"/>
        </w:rPr>
        <w:t>ou</w:t>
      </w:r>
    </w:p>
    <w:p w:rsidR="00196C6E" w:rsidRPr="000B79B9" w:rsidRDefault="00B15061">
      <w:pPr>
        <w:spacing w:after="300"/>
        <w:ind w:left="2268"/>
        <w:jc w:val="both"/>
        <w:rPr>
          <w:rFonts w:ascii="Times New Roman" w:eastAsia="Arial" w:hAnsi="Times New Roman" w:cs="Times New Roman"/>
          <w:sz w:val="20"/>
          <w:szCs w:val="20"/>
        </w:rPr>
      </w:pPr>
      <w:r w:rsidRPr="000B79B9">
        <w:rPr>
          <w:rFonts w:ascii="Times New Roman" w:eastAsia="Arial" w:hAnsi="Times New Roman" w:cs="Times New Roman"/>
          <w:sz w:val="20"/>
          <w:szCs w:val="20"/>
        </w:rPr>
        <w:t>IV - uso exclusivo do controlador, vedado seu acesso por terceiro, e desde que anonimizados os dados (BRASIL, 2018).</w:t>
      </w:r>
    </w:p>
    <w:p w:rsidR="00196C6E" w:rsidRPr="000B79B9" w:rsidRDefault="00B15061">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Ademais, a referida Lei abarca ainda a existência de alguns dispositivos normativos que implicam o reconhecimento do direito ao esquecimento, como a possibilidade de o titular solicitar a exclusão de dados desnecessários (LGPD, art. 18, IV); a revogação do consentimento (LGPD, art. 18, VI); e a exclusão de dados tratados em violação à lei (LGPD, art. 18, IV) (BRASIL, 2018). Dessa forma, evidente que, embora o legislador não tenha expressamente previsto na norma o direito ao esquecimento, ele também não demonstra nenhuma contrariedade à sua afirmação.</w:t>
      </w:r>
    </w:p>
    <w:p w:rsidR="00196C6E" w:rsidRPr="000B79B9" w:rsidRDefault="00B15061">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lastRenderedPageBreak/>
        <w:t>Não obstante, segundo o Art. 15 da LGPD, o tratamento de dados pessoais deve ser encerrado nas seguintes situações: I) quando se constatar que a finalidade foi atingida ou que os dados deixaram de ser necessários ou pertinentes, II) quando expirar o prazo de tratamento, III) quando houver manifestação de vontade do titular em retirar o consentimento ou IV) quando houver descumprimento do disposto na Lei (BRASIL, 2018).</w:t>
      </w:r>
    </w:p>
    <w:p w:rsidR="00196C6E" w:rsidRPr="000B79B9" w:rsidRDefault="00B15061">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Nesta senda, segundo Feliciano e Ribeiro (2021), existe a possibilidade de exclusão de conteúdo on-line, em casos nos quais o titular comprove a ocorrência de prejuízos significativos à sua privacidade, capazes de prevalecer, na situação específica, sobre os interesses relacionados à liberdade de expressão, desde que respeitado o devido processo legal (FELICIANO, 2021). Além disso, poderá solicitar o apagamento dos dados pessoais com base no art. 15, de forma que o simples término do período de tratamento poderá ser utilizado para requerer a remoção dessas informações em qualquer site, salvo as exceções do art. 16 da LGPD.</w:t>
      </w:r>
    </w:p>
    <w:p w:rsidR="00196C6E" w:rsidRPr="000B79B9" w:rsidRDefault="00742DF6">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Ainda</w:t>
      </w:r>
      <w:r w:rsidR="00B15061" w:rsidRPr="000B79B9">
        <w:rPr>
          <w:rFonts w:ascii="Times New Roman" w:eastAsia="Arial" w:hAnsi="Times New Roman" w:cs="Times New Roman"/>
          <w:sz w:val="24"/>
          <w:szCs w:val="24"/>
        </w:rPr>
        <w:t>, é imprescindível observar que o art. 2º, inciso VII, da LGPD estabelece como princípio para a proteção de dados pessoais “os direitos humanos, o livre desenvolvimento da personalidade, a dignidade e o exercício da cidadania pelas pessoas naturais”, o que favorece uma interpretação que reconhece o direito ao esquecimento com base na Lei Geral de Proteção de Dados.</w:t>
      </w:r>
    </w:p>
    <w:p w:rsidR="00196C6E" w:rsidRPr="000B79B9" w:rsidRDefault="00B15061">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 xml:space="preserve">Ocorre que, em fevereiro de 2021, o Supremo Tribunal Federal (STF) julgou o Recurso Extraordinário 1010606/RJ, que versa sobre o caso Aída Curi, no qual os familiares de uma vítima de crime ocorrido no Rio de Janeiro em 1958, ajuizaram ação indenizatória contra a TV Globo, por terem veiculado o caso em </w:t>
      </w:r>
      <w:r w:rsidRPr="000B79B9">
        <w:rPr>
          <w:rFonts w:ascii="Times New Roman" w:eastAsia="Arial" w:hAnsi="Times New Roman" w:cs="Times New Roman"/>
          <w:color w:val="000000"/>
          <w:sz w:val="24"/>
          <w:szCs w:val="24"/>
        </w:rPr>
        <w:t>um programa da emissora</w:t>
      </w:r>
      <w:r w:rsidRPr="000B79B9">
        <w:rPr>
          <w:rFonts w:ascii="Times New Roman" w:eastAsia="Arial" w:hAnsi="Times New Roman" w:cs="Times New Roman"/>
          <w:sz w:val="24"/>
          <w:szCs w:val="24"/>
        </w:rPr>
        <w:t xml:space="preserve">. Assim, por maioria dos votos, o STF decidiu que o direito ao esquecimento </w:t>
      </w:r>
      <w:r w:rsidRPr="000B79B9">
        <w:rPr>
          <w:rFonts w:ascii="Times New Roman" w:eastAsia="Arial" w:hAnsi="Times New Roman" w:cs="Times New Roman"/>
          <w:color w:val="000000"/>
          <w:sz w:val="24"/>
          <w:szCs w:val="24"/>
        </w:rPr>
        <w:t>é incompatível com a Constituição Federal</w:t>
      </w:r>
      <w:r w:rsidRPr="000B79B9">
        <w:rPr>
          <w:rFonts w:ascii="Times New Roman" w:eastAsia="Arial" w:hAnsi="Times New Roman" w:cs="Times New Roman"/>
          <w:sz w:val="24"/>
          <w:szCs w:val="24"/>
        </w:rPr>
        <w:t>, por afrontar a liberdade de expressão e informação, a vedação à censura e o direito à memória coletiva, tendo em vista que tal direito pretende obstar, em função do lapso temporal, a divulgação de fatos ou dados verídicos, obtidos de modo lícito e de relevância pública (BRASIL, RE 1.010.606, 2021).</w:t>
      </w:r>
    </w:p>
    <w:p w:rsidR="00196C6E" w:rsidRPr="000B79B9" w:rsidRDefault="00B15061">
      <w:pPr>
        <w:spacing w:line="360" w:lineRule="auto"/>
        <w:ind w:firstLine="720"/>
        <w:jc w:val="both"/>
        <w:rPr>
          <w:rFonts w:ascii="Times New Roman" w:eastAsia="Arial" w:hAnsi="Times New Roman" w:cs="Times New Roman"/>
          <w:color w:val="000000"/>
          <w:sz w:val="24"/>
          <w:szCs w:val="24"/>
        </w:rPr>
      </w:pPr>
      <w:r w:rsidRPr="000B79B9">
        <w:rPr>
          <w:rFonts w:ascii="Times New Roman" w:eastAsia="Arial" w:hAnsi="Times New Roman" w:cs="Times New Roman"/>
          <w:sz w:val="24"/>
          <w:szCs w:val="24"/>
        </w:rPr>
        <w:t>O</w:t>
      </w:r>
      <w:r w:rsidRPr="000B79B9">
        <w:rPr>
          <w:rFonts w:ascii="Times New Roman" w:eastAsia="Arial" w:hAnsi="Times New Roman" w:cs="Times New Roman"/>
          <w:color w:val="000000"/>
          <w:sz w:val="24"/>
          <w:szCs w:val="24"/>
        </w:rPr>
        <w:t xml:space="preserve"> julgamento do RE 1010606/RJ, Tema n.º 786 de repercussão geral do Supremo Tribunal Federal (STF)</w:t>
      </w:r>
      <w:r w:rsidRPr="000B79B9">
        <w:rPr>
          <w:rFonts w:ascii="Times New Roman" w:eastAsia="Arial" w:hAnsi="Times New Roman" w:cs="Times New Roman"/>
          <w:sz w:val="24"/>
          <w:szCs w:val="24"/>
        </w:rPr>
        <w:t>, evidencia uma colisão entre direitos fundamentais consagrados na Constituição Federal de 1988, como o direito à intimidade e à vida privada, à proteção de dados pessoais, o direito à autodeterminação informativa, à liberdade de expressão e informação, bem como à memória e à verdade, gerando</w:t>
      </w:r>
      <w:r w:rsidRPr="000B79B9">
        <w:rPr>
          <w:rFonts w:ascii="Times New Roman" w:eastAsia="Arial" w:hAnsi="Times New Roman" w:cs="Times New Roman"/>
          <w:color w:val="000000"/>
          <w:sz w:val="24"/>
          <w:szCs w:val="24"/>
        </w:rPr>
        <w:t xml:space="preserve"> opiniões divergentes na sociedade civil e entre juristas.</w:t>
      </w:r>
    </w:p>
    <w:p w:rsidR="00196C6E" w:rsidRPr="000B79B9" w:rsidRDefault="00196C6E" w:rsidP="0004392C">
      <w:pPr>
        <w:rPr>
          <w:rFonts w:ascii="Times New Roman" w:hAnsi="Times New Roman" w:cs="Times New Roman"/>
          <w:highlight w:val="yellow"/>
        </w:rPr>
      </w:pPr>
    </w:p>
    <w:p w:rsidR="00196C6E" w:rsidRPr="000B79B9" w:rsidRDefault="00B15061" w:rsidP="0004392C">
      <w:pPr>
        <w:pStyle w:val="Ttulo1"/>
        <w:numPr>
          <w:ilvl w:val="0"/>
          <w:numId w:val="2"/>
        </w:numPr>
        <w:tabs>
          <w:tab w:val="left" w:pos="284"/>
        </w:tabs>
        <w:spacing w:line="360" w:lineRule="auto"/>
        <w:ind w:left="0" w:firstLine="0"/>
        <w:jc w:val="both"/>
        <w:rPr>
          <w:rFonts w:ascii="Times New Roman" w:hAnsi="Times New Roman" w:cs="Times New Roman"/>
        </w:rPr>
      </w:pPr>
      <w:r w:rsidRPr="000B79B9">
        <w:rPr>
          <w:rFonts w:ascii="Times New Roman" w:hAnsi="Times New Roman" w:cs="Times New Roman"/>
        </w:rPr>
        <w:t>CRITÉRIOS PARA APLICAÇÃO EQUILIBRADA E PROPORCIONAL DOS DIREITOS CONFLITANTES EM FACE DO TEMA N. 786 DO STF.</w:t>
      </w:r>
    </w:p>
    <w:p w:rsidR="00196C6E" w:rsidRPr="000B79B9" w:rsidRDefault="00196C6E" w:rsidP="0004392C">
      <w:pPr>
        <w:rPr>
          <w:rFonts w:ascii="Times New Roman" w:hAnsi="Times New Roman" w:cs="Times New Roman"/>
        </w:rPr>
      </w:pPr>
    </w:p>
    <w:p w:rsidR="00196C6E" w:rsidRPr="000B79B9" w:rsidRDefault="00B15061">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 xml:space="preserve">No Brasil, o debate acerca do direito ao esquecimento, revela que a sua origem, além de implicitamente evidenciada nas normas jurídicas que compõem o ordenamento jurídico brasileiro, está vinculada também às decisões judiciais de tribunais estrangeiros e nacionais, reconhecendo a sua aplicabilidade em situações específicas. </w:t>
      </w:r>
    </w:p>
    <w:p w:rsidR="00196C6E" w:rsidRPr="000B79B9" w:rsidRDefault="00B15061">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Dessa forma, o Superior Tribunal de Justiça (STJ) abordou o direito ao esquecimento em diversos julgados que envolviam a exposição indevida pela mídia televisiva, como nos episódios da Chacina da Candelária (REsp 1.334.097-RJ) e Aída Curi (REsp 1.335.153-RJ), bem como o direito a desindexação em sites de buscas, discutida no caso da Xuxa Meneghel (MC Recl 15.955-RJ).</w:t>
      </w:r>
    </w:p>
    <w:p w:rsidR="00196C6E" w:rsidRPr="000B79B9" w:rsidRDefault="00B15061">
      <w:pPr>
        <w:spacing w:line="360" w:lineRule="auto"/>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ab/>
        <w:t>Ocorre que, em 11 de fevereiro de 2021, o Supremo Tribunal Federal (STF) rejeitou a tese doutrinária do direito ao esquecimento no julgamento do Recurso Extraordinário (RE) n.º 1.010.606, relacionado ao caso Aída Curi, que foi brutalmente estuprada, violentada e assassinada no ano de 1958, no Rio de Janeiro. Nesse caso, familiares da vítima buscaram indenização civil com base no direito ao esquecimento, contra a emissora TV Globo por ter exibido, no programa televisivo “Linha Direta – Justiça”, uma reconstituição do crime sem a prévia autorização da família, que havia sofrido intenso assédio dos meios de comunicação na época do crime, em virtude da cobertura intensa de cada etapa das investigações e do processo criminal subsequente.</w:t>
      </w:r>
    </w:p>
    <w:p w:rsidR="00196C6E" w:rsidRPr="000B79B9" w:rsidRDefault="00B15061">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À vista disso, o RE n.º 1.010.606 foi julgado com repercussão geral no Tema n.º 786, estabelecendo a seguinte questão: “Aplicabilidade do direito ao esquecimento na esfera civil quando for invocado pela própria vítima ou pelos seus familiares”. Contudo, a maioria dos 11 ministros do STF se posicionaram contrariamente ao direito ao esquecimento, sendo apenas um favorável, com o ministro Luís Roberto Barroso declarando suspeição e, assim, não integrando o julgamento que terminou, por decisão majoritária, fixando a seguinte tese:</w:t>
      </w:r>
    </w:p>
    <w:p w:rsidR="00196C6E" w:rsidRPr="000B79B9" w:rsidRDefault="00B15061">
      <w:pPr>
        <w:widowControl/>
        <w:spacing w:after="300"/>
        <w:ind w:left="2268"/>
        <w:jc w:val="both"/>
        <w:rPr>
          <w:rFonts w:ascii="Times New Roman" w:eastAsia="Arial" w:hAnsi="Times New Roman" w:cs="Times New Roman"/>
          <w:sz w:val="20"/>
          <w:szCs w:val="20"/>
        </w:rPr>
      </w:pPr>
      <w:r w:rsidRPr="000B79B9">
        <w:rPr>
          <w:rFonts w:ascii="Times New Roman" w:eastAsia="Arial" w:hAnsi="Times New Roman" w:cs="Times New Roman"/>
          <w:sz w:val="20"/>
          <w:szCs w:val="20"/>
        </w:rPr>
        <w:t>É incompatível com a Constituição a ideia de um direito ao esquecimento, assim entendido como o poder de obstar, em razão da passagem do tempo, a divulgação de fatos ou dados verídicos e licitamente obtidos e publicados em meios de comunicação social analógicos ou digitais. Eventuais excessos ou abusos no exercício da liberdade de expressão e de informação devem ser analisados caso a caso, a partir dos parâmetros constitucionais - especialmente os relativos à proteção da honra, da imagem, da privacidade e da personalidade em geral - e as expressas e específicas previsões legais nos âmbitos penal e cível. (BRASIL, RE 1.010.606, 2021).</w:t>
      </w:r>
    </w:p>
    <w:p w:rsidR="00196C6E" w:rsidRPr="000B79B9" w:rsidRDefault="00B15061">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 xml:space="preserve">Cabe destacar que, o Ministro Edson Fachin em seu voto no julgamento do RE n.º 1.010.606, considerou  que o direito ao esquecimento decorre de uma análise sistemática das liberdades fundamentais. Segundo ele, embora a liberdade de expressão tenha uma posição de destaque no ordenamento constitucional brasileiro, isso não implica em desconsiderar o núcleo </w:t>
      </w:r>
      <w:r w:rsidRPr="000B79B9">
        <w:rPr>
          <w:rFonts w:ascii="Times New Roman" w:eastAsia="Arial" w:hAnsi="Times New Roman" w:cs="Times New Roman"/>
          <w:sz w:val="24"/>
          <w:szCs w:val="24"/>
        </w:rPr>
        <w:lastRenderedPageBreak/>
        <w:t xml:space="preserve">essencial dos direitos da personalidade. </w:t>
      </w:r>
    </w:p>
    <w:p w:rsidR="00196C6E" w:rsidRPr="000B79B9" w:rsidRDefault="00B15061">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Entretanto, como se observa da leitura da Tese fixada, prevaleceu no Supremo Tribunal Federal, argumentos baseados na livre manifestação de pensamento, de criação, da expressão e da informação, assim como o direito à preservação da memória coletiva e à solidariedade entre gerações sobre a verdade histórica, o que resultou na rejeição do pedido de reparação civil formulado pela família.</w:t>
      </w:r>
    </w:p>
    <w:p w:rsidR="00196C6E" w:rsidRPr="000B79B9" w:rsidRDefault="00B15061">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De acordo com o voto do relator Dias Toffoli no RE n.º 1.010.606, o direito ao esquecimento pode ser conceituado como a reivindicação capaz de impedir a divulgação, em meios tradicionais ou virtuais, de fatos ou dados verídicos e legalmente obtidos, mas que, pelo transcurso do tempo, teriam perdido o contexto ou o interesse público relevante, não tendo mais respaldo jurídico, sendo que sua ocultação favorece os objetivos constitucionais, especialmente os direitos da personalidade.</w:t>
      </w:r>
    </w:p>
    <w:p w:rsidR="00196C6E" w:rsidRPr="000B79B9" w:rsidRDefault="00B15061">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Em seguida, o relator continuou seu voto negando a existência no direito brasileiro de um direito genérico com essa configuração, frisando que o legislador foi específico nos termos do tratamento de dados, mas foi intencionalmente omisso em não admitir o direito ao esquecimento na LGPD. Todavia, conforme extensamente exposto, são diversos os casos no ordenamento jurídico pátrio da presença implícita de institutos fundamentais para o reconhecimento do direito ao esquecimento que não estão expressos em normas, não sendo o silêncio do legislador o fator crucial para sua efetivação.</w:t>
      </w:r>
    </w:p>
    <w:p w:rsidR="00196C6E" w:rsidRPr="000B79B9" w:rsidRDefault="00B15061">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Na conclusão de seu voto, o relator Dias Toffoli destacou a importância da liberdade de expressão e do livre fluxo de informações no contexto do Estado Democrático de Direito, enfatizando a sua consolidação como um dos pilares fundamentais estabelecidos na Carta Magna de 1988. Não obstante, ressaltou ainda a necessidade de buscar a harmonização entre os princípios constitucionais que regem a liberdade de expressão, a proteção da personalidade, o direito à privacidade e a salvaguarda dos dados pessoais, particularmente em situações de elevada complexidade, como o notório caso “Aída Curi”. Segundo ele, nessas circunstâncias específicas, a ênfase deve ser colocada na retificação ou na complementação da informação, em detrimento da supressão da mesma.</w:t>
      </w:r>
    </w:p>
    <w:p w:rsidR="00196C6E" w:rsidRPr="000B79B9" w:rsidRDefault="00B15061">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Portanto, a partir da leitura da tese fixada pelo julgamento do RE n.º 1.010.606, com repercussão geral no Tema n.º 786, fica evidente a ocorrência de um conflito entre direitos fundamentais previstos na Constituição Federal de 1988, tais como o direito à intimidade e à vida privada, à proteção de dados pessoais, o direito à autodeterminação informativa, à liberdade de expressão e informação, bem como à memória e à verdade.</w:t>
      </w:r>
    </w:p>
    <w:p w:rsidR="00196C6E" w:rsidRPr="000B79B9" w:rsidRDefault="00B15061">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 xml:space="preserve">Cabe destacar que a tese do STF em análise, embora cite os meios de comunicação </w:t>
      </w:r>
      <w:r w:rsidRPr="000B79B9">
        <w:rPr>
          <w:rFonts w:ascii="Times New Roman" w:eastAsia="Arial" w:hAnsi="Times New Roman" w:cs="Times New Roman"/>
          <w:sz w:val="24"/>
          <w:szCs w:val="24"/>
        </w:rPr>
        <w:lastRenderedPageBreak/>
        <w:t>digital, não oferece subsídios adequados ao jurista para enfrentar as novas questões que emergem do tema, como a utilização de dados pessoais e sensíveis, sujeitos à LGPD, e a obrigação de eliminação definitiva de dados pessoais fornecidos a determinado serviço da internet quando solicitado pelo titular, conforme estabelecido no art. 7º, X, do Marco Civil da Internet.</w:t>
      </w:r>
    </w:p>
    <w:p w:rsidR="00196C6E" w:rsidRPr="000B79B9" w:rsidRDefault="00B15061">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Assim, embora o Supremo Tribunal Federal tenha declarado a incompatibilidade do um direito ao esquecimento com a Constituição Federal, existe uma dimensão desse direito no ordenamento jurídico brasileiro, relacionada à eliminação e à desindexação de dados pessoais tutelados pela Lei Geral de Proteção de Dados. Ademais, o Plenário do STF ressaltou que a incompatibilidade somente se verifica quando não houver abusos ou excessos no exercício da liberdade de expressão, em detrimento dos direitos fundamentais à honra, imagem e privacidade (MANSUR, 2021).</w:t>
      </w:r>
    </w:p>
    <w:p w:rsidR="00196C6E" w:rsidRPr="000B79B9" w:rsidRDefault="00B15061">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Nesse diapasão, se faz imperioso destacar que atualmente, o desenvolvimento tecnológico impõe constantes desafios ao ordenamento jurídico, que precisa se adaptar às novas formas de registro e transmissão da memória. A memória, que antes era apenas oral, evoluiu para formas gráficas, escritas, impressas, sonoras e, atualmente, também abrange a imagem física e o conjunto de dados e informações que compõem a identidade da pessoa.</w:t>
      </w:r>
    </w:p>
    <w:p w:rsidR="00196C6E" w:rsidRPr="000B79B9" w:rsidRDefault="00B15061">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 xml:space="preserve">Portanto, uma das características da contemporaneidade é a ampliação da memória por meio da internet, que armazena uma quantidade inestimável de dados pessoais. Nesse contexto, é necessário questionar se esse acervo pode ou deve ser inalterável, considerando que a própria mente humana não o é, e que outros suportes de memória, como os livros e outros mecanismos digitais, não têm a mesma proporção que a internet. </w:t>
      </w:r>
    </w:p>
    <w:p w:rsidR="00196C6E" w:rsidRPr="000B79B9" w:rsidRDefault="00B15061">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De acordo com François Ost "[...] temos o direito, após um certo tempo, de sermos deixados em paz e de voltarmos ao esquecimento e ao anonimato, de onde jamais desejávamos ter saído" (OST, 2015, p.16). Essa citação expressa o direito ao esquecimento, que se contrapõe à pretensão de imortalidade da memória na internet.</w:t>
      </w:r>
    </w:p>
    <w:p w:rsidR="00196C6E" w:rsidRPr="000B79B9" w:rsidRDefault="00B15061">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Ademais, o processo de lembrar e esquecer é inerente à condição humana e envolve uma dinâmica de tensão, na qual a História, a cultura e a tradição desempenham um papel de preservação da memória, enquanto o esquecimento - como efeito do tempo - opera, muitas vezes, contra a vontade humana. Neste cenário de tensão entre a memória e o esquecimento, o interesse público e o privado, a tutela dos direitos da personalidade e da privacidade, assume novos contornos jurídicos. Trata-se de um desafio complexo e multidimensional, que envolve questões éticas, políticas, sociais e jurídicas, na busca de um equilíbrio entre a preservação da dignidade humana e a garantia do acesso à informação.</w:t>
      </w:r>
    </w:p>
    <w:p w:rsidR="00196C6E" w:rsidRPr="000B79B9" w:rsidRDefault="00B15061">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lastRenderedPageBreak/>
        <w:t>Não obstante, uma das bases legais previstas no Art. 2º da LGPD é o direito à autodeterminação informativa, que se relaciona ao direito à privacidade e à intimidade. Esse direito consiste na capacidade que cada indivíduo possui de exercer, em certas situações, controle sobre seus dados pessoais, assegurando-lhe a possibilidade de escolher se a informação pode ser submetida a tratamento, desde a coleta, uso ou transferência por parte de terceiros, bem como acessar bancos de dados para requerer a correção ou exclusão de dados e informações.</w:t>
      </w:r>
    </w:p>
    <w:p w:rsidR="00196C6E" w:rsidRPr="000B79B9" w:rsidRDefault="00B15061">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Ocorre que o direito à autodeterminação informativa, embora reconhecido como um direito fundamental, não possui caráter absoluto e pode ser limitado diante de outros valores constitucionais, tais como a liberdade de expressão e informação, a memória e a verdade, conforme demonstrado no Tema n.º 768 do STF. Nessa perspectiva, o direito ao esquecimento também não se apresenta como um direito ilimitado, devendo ser sopesado e examinado em relação a outros direitos de forma sistêmica.</w:t>
      </w:r>
    </w:p>
    <w:p w:rsidR="00196C6E" w:rsidRPr="000B79B9" w:rsidRDefault="00B15061">
      <w:pPr>
        <w:spacing w:after="300"/>
        <w:ind w:left="3402"/>
        <w:jc w:val="both"/>
        <w:rPr>
          <w:rFonts w:ascii="Times New Roman" w:eastAsia="Arial" w:hAnsi="Times New Roman" w:cs="Times New Roman"/>
          <w:sz w:val="20"/>
          <w:szCs w:val="20"/>
        </w:rPr>
      </w:pPr>
      <w:r w:rsidRPr="000B79B9">
        <w:rPr>
          <w:rFonts w:ascii="Times New Roman" w:eastAsia="Arial" w:hAnsi="Times New Roman" w:cs="Times New Roman"/>
          <w:sz w:val="20"/>
          <w:szCs w:val="20"/>
        </w:rPr>
        <w:t>E não raro o exercício do direito de esquecimento impõe ponderação com o exercício de outros direitos, como a liberdade de informação, sendo certo que a ponderação nem sempre se resolverá em favor do direito ao esquecimento. O caso concreto deve ser analisado em suas peculiaridades, sopesando-se a utilidade informativa na continuada divulgação da notícia com os riscos trazidos pela recordação do fato à pessoa envolvida. Como em outros conflitos já analisados, não há aqui solução simples. Impõe-se, ao contrário, delicado balanceamento entre os interesses em jogo (SCHREIBER, 2011, p. 165-166).</w:t>
      </w:r>
    </w:p>
    <w:p w:rsidR="00196C6E" w:rsidRPr="000B79B9" w:rsidRDefault="00B15061">
      <w:pPr>
        <w:spacing w:line="360" w:lineRule="auto"/>
        <w:ind w:firstLine="720"/>
        <w:jc w:val="both"/>
        <w:rPr>
          <w:rFonts w:ascii="Times New Roman" w:eastAsia="Arial" w:hAnsi="Times New Roman" w:cs="Times New Roman"/>
          <w:sz w:val="24"/>
          <w:szCs w:val="24"/>
          <w:highlight w:val="cyan"/>
        </w:rPr>
      </w:pPr>
      <w:r w:rsidRPr="000B79B9">
        <w:rPr>
          <w:rFonts w:ascii="Times New Roman" w:eastAsia="Arial" w:hAnsi="Times New Roman" w:cs="Times New Roman"/>
          <w:sz w:val="24"/>
          <w:szCs w:val="24"/>
        </w:rPr>
        <w:t>Assim, uma abordagem mais apropriada e cautelosa para o direito ao esquecimento seria considerá-lo como uma prerrogativa de limitar ou restringir o acesso a determinadas informações pessoais, levando em conta os interesses legítimos dos envolvidos e os valores constitucionais em jogo. Não se trata, portanto, de simplesmente eliminar dados pelo transcurso temporal, mas de ponderar os efeitos da divulgação ou preservação desses dados sobre a identidade, a reputação e a dignidade dos sujeitos, bem como sobre o direito à informação e à memória coletiva.</w:t>
      </w:r>
    </w:p>
    <w:p w:rsidR="00196C6E" w:rsidRPr="000B79B9" w:rsidRDefault="00B15061">
      <w:pPr>
        <w:spacing w:line="360" w:lineRule="auto"/>
        <w:ind w:firstLine="720"/>
        <w:jc w:val="both"/>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Nesse sentido, o Conselho da Justiça Federal, por meio do enunciado 531, reconheceu que “A tutela da dignidade da pessoa humana na sociedade da informação inclui o direito ao esquecimento” (BRASIL, 2013), expressando a necessidade de garantir aos indivíduos o poder de decidir sobre a permanência ou a remoção de dados que lhes digam respeito.</w:t>
      </w:r>
    </w:p>
    <w:p w:rsidR="00196C6E" w:rsidRPr="000B79B9" w:rsidRDefault="00B15061">
      <w:pPr>
        <w:spacing w:line="360" w:lineRule="auto"/>
        <w:ind w:firstLine="720"/>
        <w:jc w:val="both"/>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Diante desse cenário, a ocorrência de conflitos entre direitos fundamentais demanda a adoção de critérios adequadamente fundamentados pelo intérprete, destacando-se aqui o emprego da técnica da ponderação com a finalidade de obter a harmonização prática entre os princípios em conflito</w:t>
      </w:r>
      <w:r w:rsidRPr="000B79B9">
        <w:rPr>
          <w:rFonts w:ascii="Times New Roman" w:eastAsia="Arial" w:hAnsi="Times New Roman" w:cs="Times New Roman"/>
          <w:sz w:val="24"/>
          <w:szCs w:val="24"/>
        </w:rPr>
        <w:t xml:space="preserve"> </w:t>
      </w:r>
      <w:r w:rsidRPr="000B79B9">
        <w:rPr>
          <w:rFonts w:ascii="Times New Roman" w:eastAsia="Arial" w:hAnsi="Times New Roman" w:cs="Times New Roman"/>
          <w:color w:val="000000"/>
          <w:sz w:val="24"/>
          <w:szCs w:val="24"/>
        </w:rPr>
        <w:t>(ÁVILA, 2003, p. 79-117).</w:t>
      </w:r>
    </w:p>
    <w:p w:rsidR="00196C6E" w:rsidRPr="000B79B9" w:rsidRDefault="00B15061">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color w:val="000000"/>
          <w:sz w:val="24"/>
          <w:szCs w:val="24"/>
        </w:rPr>
        <w:lastRenderedPageBreak/>
        <w:t xml:space="preserve">Logo, a aplicação dos limites ao direito ao esquecimento deve se dar </w:t>
      </w:r>
      <w:r w:rsidRPr="000B79B9">
        <w:rPr>
          <w:rFonts w:ascii="Times New Roman" w:eastAsia="Arial" w:hAnsi="Times New Roman" w:cs="Times New Roman"/>
          <w:sz w:val="24"/>
          <w:szCs w:val="24"/>
        </w:rPr>
        <w:t>de forma isolada, conforme os direitos e princípios constitucionais</w:t>
      </w:r>
      <w:r w:rsidRPr="000B79B9">
        <w:rPr>
          <w:rFonts w:ascii="Times New Roman" w:eastAsia="Arial" w:hAnsi="Times New Roman" w:cs="Times New Roman"/>
          <w:color w:val="000000"/>
          <w:sz w:val="24"/>
          <w:szCs w:val="24"/>
        </w:rPr>
        <w:t>, por meio de ponderação, razoabilidade e proporcionalidade, visando “</w:t>
      </w:r>
      <w:r w:rsidRPr="000B79B9">
        <w:rPr>
          <w:rFonts w:ascii="Times New Roman" w:eastAsia="Arial" w:hAnsi="Times New Roman" w:cs="Times New Roman"/>
          <w:sz w:val="24"/>
          <w:szCs w:val="24"/>
        </w:rPr>
        <w:t>determinar o alcance em cada caso dos direitos fundamentais ou princípios constitucionais que colidam entre si no caso concreto” (LARENZ, 1997, p. 575).</w:t>
      </w:r>
    </w:p>
    <w:p w:rsidR="00196C6E" w:rsidRPr="000B79B9" w:rsidRDefault="00B15061">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Segundo Flávio Martins, para que o direito ao esquecimento seja aplicado nesses casos, é necessário que se verifique os seguintes critérios: a) o fato ser verídico ou não; b) a veiculação da informação causa sofrimento ou transtorno a algum direito fundamental do indivíduo, como a honra, a intimidade, a imagem, entre outros; c) a ausência de interesse público na divulgação da informação, seja por sua natureza ou pelo decurso do tempo: d) existência de aparente conflito entre a liberdade de expressão e/ou informação e os atributos individuais da pessoa humana; e) análise ponderada dos princípios em conflito no caso concreto (MARTINS, 2021, p. 855).</w:t>
      </w:r>
    </w:p>
    <w:p w:rsidR="00196C6E" w:rsidRPr="000B79B9" w:rsidRDefault="00F61E17">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Para</w:t>
      </w:r>
      <w:r w:rsidR="00B15061" w:rsidRPr="000B79B9">
        <w:rPr>
          <w:rFonts w:ascii="Times New Roman" w:eastAsia="Arial" w:hAnsi="Times New Roman" w:cs="Times New Roman"/>
          <w:sz w:val="24"/>
          <w:szCs w:val="24"/>
        </w:rPr>
        <w:t xml:space="preserve"> Martinez, o direito ao esquecimento deve ser observado de acordo com cinco critérios: i) Inexistência de publicidade da informação: se a informação é pública, sua rememoração é legítima, caso contrário a privacidade estaria sendo invadida. ii) Preservação do contexto original da informação pretérita: a informação que é divulgada ou que permanece divulgada deve ser contextualizada para que o evento passado seja compreendido, uma vez que a ausência de contexto pode caracterizar abuso no direito de expressão, podendo gerar, em algumas situações, insinuações de fatos inverídicos. iii) Preservação e proteção aos direitos da personalidade na rememoração: o fato de se recordar do passado não autoriza ofensas a outros direitos envolvidos, razão pela qual, por mais grave que o fato tenha sido, sempre que possível, devem-se proteger os direitos fundamentais do indivíduo. iv) Utilidade da informação: a legitimidade da informação depende realmente da preservação de sua utilidade. Pode ocorrer que, no passado, a informação tenha desempenhado uma função relevante, mas que, no presente, revivê-la representa apenas curiosidade pública. v) Atualidade da informação: dados passados não precisam estar acessíveis a todo instante (MARTINEZ, 2014).</w:t>
      </w:r>
    </w:p>
    <w:p w:rsidR="00196C6E" w:rsidRPr="000B79B9" w:rsidRDefault="00B15061">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Em vista disso, é imperioso destacar que, quando uma pessoa invoca o instrumento do direito ao esquecimento, esta busca uma forma de proteção da pessoa humana frente à divulgação, repetição e rememoração de fatos passados que atentem contra a sua dignidade. Para tanto, parte-se do pressuposto de que esse direito não visa a apagar ou ocultar a história coletiva, mas sim a garantir o respeito à intimidade, à honra e à imagem dos indivíduos que foram vítimas ou protagonistas de acontecimentos lesivos.</w:t>
      </w:r>
    </w:p>
    <w:p w:rsidR="00196C6E" w:rsidRPr="000B79B9" w:rsidRDefault="00B15061">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 xml:space="preserve">Nesse sentido, recorre-se ao supracitado Enunciado 531 da VI Jornada de Direito Civil, que reconheceu o direito ao esquecimento como um desdobramento da proteção à dignidade da </w:t>
      </w:r>
      <w:r w:rsidRPr="000B79B9">
        <w:rPr>
          <w:rFonts w:ascii="Times New Roman" w:eastAsia="Arial" w:hAnsi="Times New Roman" w:cs="Times New Roman"/>
          <w:sz w:val="24"/>
          <w:szCs w:val="24"/>
        </w:rPr>
        <w:lastRenderedPageBreak/>
        <w:t>pessoa humana na sociedade da informação (BRASIL, 2013).</w:t>
      </w:r>
    </w:p>
    <w:p w:rsidR="00196C6E" w:rsidRPr="000B79B9" w:rsidRDefault="00B15061">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Partindo desse entendimento e visando a proteção da dignidade da pessoa humana, há a possibilidade de diferentes medidas para sua efetivação também na Lei Geral de Proteção de Dados, tais como a desindexação de resultados de pesquisa, a remoção parcial do conteúdo, sua complementação com dados atualizados, a simples indenização do dano moral experimentado, ou ainda, a exclusão definitiva da divulgação dos fatos, dados ou informações.</w:t>
      </w:r>
    </w:p>
    <w:p w:rsidR="00196C6E" w:rsidRPr="000B79B9" w:rsidRDefault="00B15061">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 xml:space="preserve">Diante desse contexto, o STF ao fixar a tese de Tema n.º 786, embora tenha compreendido o direito ao esquecimento como incompatível com a Constituição Federal, também reiterou a necessidade de se ponderar os princípios e direitos constitucionais quando evidente o conflito, de modo que, em caso de abuso no exercício da liberdade de expressão, a situação deverá ser examinada de forma específica. </w:t>
      </w:r>
    </w:p>
    <w:p w:rsidR="00196C6E" w:rsidRPr="000B79B9" w:rsidRDefault="00B15061">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 xml:space="preserve"> Logo, o Tema n.º 786 do STF revela que a posição adotada pela Suprema Corte, ao rejeitar o direito ao esquecimento, não contraria a visão predominante na doutrina civilista favorável à existência e a aplicabilidade desse direito em situações específicas. A doutrina civilista, que sempre defendeu o direito ao esquecimento, nunca propôs uma eliminação automática de notícias ou um direito irrestrito de exclusão de informações baseadas em vontades individuais, mas sim uma avaliação cuidadosa dos direitos em conflito, considerando os elementos do caso concreto e os critérios que indiquem a prevalência eventual de um dos princípios em confronto. </w:t>
      </w:r>
    </w:p>
    <w:p w:rsidR="00196C6E" w:rsidRPr="000B79B9" w:rsidRDefault="00B15061">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Assim, a tese consagrada pelo STF, embora não reconheça expressamente o direito ao esquecimento, acaba por corroborar, ainda que de maneira implícita, com o entendimento majoritário no âmbito da doutrina civilista, favorável ao direito ao esquecimento e à sua aplicação por meio de ponderação de interesses e valores envolvidos em cada caso concreto, levando em conta os critérios de necessidade, adequação e proporcionalidade.</w:t>
      </w:r>
    </w:p>
    <w:p w:rsidR="00196C6E" w:rsidRPr="000B79B9" w:rsidRDefault="00B15061">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 xml:space="preserve">Dessa forma, torna-se claro que, nas situações que demandam a remoção de conteúdo lícito do passado relacionado à dignidade (direito ao esquecimento) ou o requerimento para eliminação de dados pessoais, é imprescindível que se efetue a ponderação a partir dos critérios propostos para aplicação proporcional </w:t>
      </w:r>
      <w:r w:rsidR="00F046AD" w:rsidRPr="000B79B9">
        <w:rPr>
          <w:rFonts w:ascii="Times New Roman" w:eastAsia="Arial" w:hAnsi="Times New Roman" w:cs="Times New Roman"/>
          <w:sz w:val="24"/>
          <w:szCs w:val="24"/>
        </w:rPr>
        <w:t>desses direitos</w:t>
      </w:r>
      <w:r w:rsidRPr="000B79B9">
        <w:rPr>
          <w:rFonts w:ascii="Times New Roman" w:eastAsia="Arial" w:hAnsi="Times New Roman" w:cs="Times New Roman"/>
          <w:sz w:val="24"/>
          <w:szCs w:val="24"/>
        </w:rPr>
        <w:t>, com o objetivo de orientar o operador do direito na avaliação do caso concreto.</w:t>
      </w:r>
    </w:p>
    <w:p w:rsidR="00196C6E" w:rsidRPr="000B79B9" w:rsidRDefault="00B15061">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 xml:space="preserve">Outrossim, diante das limitações técnicas para a efetivação do direito ao esquecimento por meio da via judicial, a tutela inibitória se revela imprescindível, especialmente considerando a insuficiência da tutela reparatória, conforme demonstrado no julgamento do RE n.º 1.010.606 que indeferiu o pedido de indenização civil formulado pela família. </w:t>
      </w:r>
    </w:p>
    <w:p w:rsidR="00196C6E" w:rsidRPr="000B79B9" w:rsidRDefault="00B15061">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Portanto, o direito ao esquecimento</w:t>
      </w:r>
      <w:r w:rsidR="000C2E26" w:rsidRPr="000B79B9">
        <w:rPr>
          <w:rFonts w:ascii="Times New Roman" w:eastAsia="Arial" w:hAnsi="Times New Roman" w:cs="Times New Roman"/>
          <w:sz w:val="24"/>
          <w:szCs w:val="24"/>
        </w:rPr>
        <w:t xml:space="preserve"> também</w:t>
      </w:r>
      <w:r w:rsidRPr="000B79B9">
        <w:rPr>
          <w:rFonts w:ascii="Times New Roman" w:eastAsia="Arial" w:hAnsi="Times New Roman" w:cs="Times New Roman"/>
          <w:sz w:val="24"/>
          <w:szCs w:val="24"/>
        </w:rPr>
        <w:t xml:space="preserve"> pode ser garantido por meio de uma ação </w:t>
      </w:r>
      <w:r w:rsidRPr="000B79B9">
        <w:rPr>
          <w:rFonts w:ascii="Times New Roman" w:eastAsia="Arial" w:hAnsi="Times New Roman" w:cs="Times New Roman"/>
          <w:sz w:val="24"/>
          <w:szCs w:val="24"/>
        </w:rPr>
        <w:lastRenderedPageBreak/>
        <w:t xml:space="preserve">judicial inibitória, conforme o enunciado 576 do Conselho da Justiça Federal (CJF), que assim determina: “O direito ao esquecimento pode ser assegurado por tutela judicial inibitória” (BRASIL, 2015). Esse enunciado está de acordo com a necessidade de resguardar esse direito, pois se baseia no art. 21 do Código Civil, </w:t>
      </w:r>
      <w:r w:rsidR="000C2E26" w:rsidRPr="000B79B9">
        <w:rPr>
          <w:rFonts w:ascii="Times New Roman" w:eastAsia="Arial" w:hAnsi="Times New Roman" w:cs="Times New Roman"/>
          <w:sz w:val="24"/>
          <w:szCs w:val="24"/>
        </w:rPr>
        <w:t>dispondo que</w:t>
      </w:r>
      <w:r w:rsidRPr="000B79B9">
        <w:rPr>
          <w:rFonts w:ascii="Times New Roman" w:eastAsia="Arial" w:hAnsi="Times New Roman" w:cs="Times New Roman"/>
          <w:sz w:val="24"/>
          <w:szCs w:val="24"/>
        </w:rPr>
        <w:t xml:space="preserve"> “a vida privada da pessoa natural é inviolável, e o juiz, a requerimento do interessado, adotará as providências necessárias para impedir ou fazer cessar ato contrário a esta norma” (BRASIL, 2002).</w:t>
      </w:r>
    </w:p>
    <w:p w:rsidR="00196C6E" w:rsidRPr="000B79B9" w:rsidRDefault="00196C6E" w:rsidP="00FB3BFB">
      <w:pPr>
        <w:rPr>
          <w:rFonts w:ascii="Times New Roman" w:hAnsi="Times New Roman" w:cs="Times New Roman"/>
        </w:rPr>
      </w:pPr>
    </w:p>
    <w:p w:rsidR="00196C6E" w:rsidRPr="000B79B9" w:rsidRDefault="00B15061">
      <w:pPr>
        <w:pStyle w:val="Ttulo1"/>
        <w:numPr>
          <w:ilvl w:val="0"/>
          <w:numId w:val="2"/>
        </w:numPr>
        <w:tabs>
          <w:tab w:val="left" w:pos="284"/>
        </w:tabs>
        <w:ind w:left="0" w:firstLine="0"/>
        <w:rPr>
          <w:rFonts w:ascii="Times New Roman" w:hAnsi="Times New Roman" w:cs="Times New Roman"/>
        </w:rPr>
        <w:sectPr w:rsidR="00196C6E" w:rsidRPr="000B79B9">
          <w:type w:val="continuous"/>
          <w:pgSz w:w="11907" w:h="16840"/>
          <w:pgMar w:top="1701" w:right="1134" w:bottom="1134" w:left="1701" w:header="720" w:footer="720" w:gutter="0"/>
          <w:cols w:space="720"/>
        </w:sectPr>
      </w:pPr>
      <w:r w:rsidRPr="000B79B9">
        <w:rPr>
          <w:rFonts w:ascii="Times New Roman" w:hAnsi="Times New Roman" w:cs="Times New Roman"/>
        </w:rPr>
        <w:t>CONCLUSÃO</w:t>
      </w:r>
    </w:p>
    <w:p w:rsidR="00196C6E" w:rsidRPr="000B79B9" w:rsidRDefault="00196C6E" w:rsidP="00FB3BFB">
      <w:pPr>
        <w:rPr>
          <w:rFonts w:ascii="Times New Roman" w:hAnsi="Times New Roman" w:cs="Times New Roman"/>
        </w:rPr>
      </w:pPr>
    </w:p>
    <w:p w:rsidR="00DF7B83" w:rsidRPr="000B79B9" w:rsidRDefault="00B15061" w:rsidP="00E81B74">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 xml:space="preserve">Ao longo deste artigo, foi possível compreender a importância do direito ao esquecimento e da exclusão de dados pessoais na sociedade digital atual. </w:t>
      </w:r>
      <w:r w:rsidR="00E81B74" w:rsidRPr="000B79B9">
        <w:rPr>
          <w:rFonts w:ascii="Times New Roman" w:eastAsia="Arial" w:hAnsi="Times New Roman" w:cs="Times New Roman"/>
          <w:sz w:val="24"/>
          <w:szCs w:val="24"/>
        </w:rPr>
        <w:t xml:space="preserve"> </w:t>
      </w:r>
      <w:r w:rsidR="00DF7B83" w:rsidRPr="000B79B9">
        <w:rPr>
          <w:rFonts w:ascii="Times New Roman" w:eastAsia="Arial" w:hAnsi="Times New Roman" w:cs="Times New Roman"/>
          <w:sz w:val="24"/>
          <w:szCs w:val="24"/>
        </w:rPr>
        <w:t xml:space="preserve">Além disso, ficou claro que a divulgação de dados pessoais na era digital afeta profundamente a comunicação e a memória coletiva, fazendo com que um acontecimento ou fato pessoal permaneça exposto e disponível, independentemente do lapso temporal. </w:t>
      </w:r>
    </w:p>
    <w:p w:rsidR="00DF7B83" w:rsidRPr="000B79B9" w:rsidRDefault="00DF7B83" w:rsidP="00DF7B83">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Dessa forma, a LGPD constitui um significativo progresso na proteção dos dados pessoais no Brasil, pois define princípios para a proteção de dados pessoais, como os direitos humanos, o livre desenvolvimento da personalidade, a dignidade e o exercício da cidadania pelas pessoas naturais, o que favorece uma interpretação que reconhece o direito ao esquecimento com base na Lei Geral de Proteção de Dados.</w:t>
      </w:r>
    </w:p>
    <w:p w:rsidR="00DF7B83" w:rsidRPr="000B79B9" w:rsidRDefault="00DF7B83" w:rsidP="00DF7B83">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Logo, o direito ao esquecimento é compreendido como uma manifestação dos direitos à dignidade da pessoa humana e à personalidade, resguardando os aspectos fundamentais da identidade e da reputação de cada indivíduo.</w:t>
      </w:r>
    </w:p>
    <w:p w:rsidR="006F712C" w:rsidRPr="000B79B9" w:rsidRDefault="00DF7B83" w:rsidP="004B52C0">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 xml:space="preserve">Todavia, tal direito não é ilimitado e pode se chocar com outros direitos fundamentais, como a liberdade de expressão, a informação e a memória coletiva, indispensáveis para a democracia e para o exercício da cidadania. No entanto, verificou-se que ainda existem obstáculos a serem superados na aplicação prática do direito ao esquecimento, bem como ao direito à exclusão de dados pessoais, principalmente após a decisão do STF no Tema n.º 786, que trouxe importantes considerações sobre </w:t>
      </w:r>
      <w:r w:rsidR="00F144DE" w:rsidRPr="000B79B9">
        <w:rPr>
          <w:rFonts w:ascii="Times New Roman" w:eastAsia="Arial" w:hAnsi="Times New Roman" w:cs="Times New Roman"/>
          <w:sz w:val="24"/>
          <w:szCs w:val="24"/>
        </w:rPr>
        <w:t xml:space="preserve">esses direitos </w:t>
      </w:r>
      <w:r w:rsidRPr="000B79B9">
        <w:rPr>
          <w:rFonts w:ascii="Times New Roman" w:eastAsia="Arial" w:hAnsi="Times New Roman" w:cs="Times New Roman"/>
          <w:sz w:val="24"/>
          <w:szCs w:val="24"/>
        </w:rPr>
        <w:t>e sua relação com a liberdade de expressão e o acesso à informação.</w:t>
      </w:r>
    </w:p>
    <w:p w:rsidR="00196C6E" w:rsidRPr="000B79B9" w:rsidRDefault="004B52C0">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 xml:space="preserve">Assim, ficou evidente que o posicionamento do STF no Tema n.º 786, apesar de não admitir expressamente o direito ao esquecimento, acaba por reforçar, ainda que de forma indireta, a compreensão majoritária na esfera da doutrina civilista, favorável ao direito ao esquecimento e à sua aplicação mediante sopesamento de interesses e valores envolvidos em </w:t>
      </w:r>
      <w:r w:rsidR="00B15061" w:rsidRPr="000B79B9">
        <w:rPr>
          <w:rFonts w:ascii="Times New Roman" w:eastAsia="Arial" w:hAnsi="Times New Roman" w:cs="Times New Roman"/>
          <w:sz w:val="24"/>
          <w:szCs w:val="24"/>
        </w:rPr>
        <w:t xml:space="preserve">cada caso concreto, levando em </w:t>
      </w:r>
      <w:r w:rsidRPr="000B79B9">
        <w:rPr>
          <w:rFonts w:ascii="Times New Roman" w:eastAsia="Arial" w:hAnsi="Times New Roman" w:cs="Times New Roman"/>
          <w:sz w:val="24"/>
          <w:szCs w:val="24"/>
        </w:rPr>
        <w:t>consideração</w:t>
      </w:r>
      <w:r w:rsidR="00B15061" w:rsidRPr="000B79B9">
        <w:rPr>
          <w:rFonts w:ascii="Times New Roman" w:eastAsia="Arial" w:hAnsi="Times New Roman" w:cs="Times New Roman"/>
          <w:sz w:val="24"/>
          <w:szCs w:val="24"/>
        </w:rPr>
        <w:t xml:space="preserve"> os critérios de necessidade, adequação e proporcionalidade.</w:t>
      </w:r>
    </w:p>
    <w:p w:rsidR="00196C6E" w:rsidRPr="000B79B9" w:rsidRDefault="00B15061">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lastRenderedPageBreak/>
        <w:t xml:space="preserve">Portanto, em relação à pergunta principal deste artigo, propõe que ainda não há uma resposta definitiva para essa questão. </w:t>
      </w:r>
      <w:r w:rsidR="00F144DE" w:rsidRPr="000B79B9">
        <w:rPr>
          <w:rFonts w:ascii="Times New Roman" w:eastAsia="Arial" w:hAnsi="Times New Roman" w:cs="Times New Roman"/>
          <w:sz w:val="24"/>
          <w:szCs w:val="24"/>
        </w:rPr>
        <w:t>No entanto, foi possível apresentar alguns critérios para uma aplicação equilibrada e proporcional do direito ao esquecimento e da exclusão de dados pessoais na LGPD, considerando como mais apropriados, os critérios sugeridos por Flávio Martins (2021, p. 85</w:t>
      </w:r>
      <w:r w:rsidR="004B52C0" w:rsidRPr="000B79B9">
        <w:rPr>
          <w:rFonts w:ascii="Times New Roman" w:eastAsia="Arial" w:hAnsi="Times New Roman" w:cs="Times New Roman"/>
          <w:sz w:val="24"/>
          <w:szCs w:val="24"/>
        </w:rPr>
        <w:t xml:space="preserve">5), quais sejam: </w:t>
      </w:r>
      <w:r w:rsidRPr="000B79B9">
        <w:rPr>
          <w:rFonts w:ascii="Times New Roman" w:eastAsia="Arial" w:hAnsi="Times New Roman" w:cs="Times New Roman"/>
          <w:sz w:val="24"/>
          <w:szCs w:val="24"/>
        </w:rPr>
        <w:t>a) divulgação de fatos verídicos, pois fatos falsos já ensejam proteção jurídica específica, por violação ao direito à verdade; b) obtenção lícita, uma vez que a obtenção ilícita de dados ou a sua divulgação indevida já caracteriza ato ilícito passível de sanção; c) publicação nos meios de comunicação, que é o âmbito de incidência deste direito; d) ausência de interesse público, pois não se visa a restringir o direito à informação</w:t>
      </w:r>
      <w:r w:rsidR="004B52C0" w:rsidRPr="000B79B9">
        <w:rPr>
          <w:rFonts w:ascii="Times New Roman" w:eastAsia="Arial" w:hAnsi="Times New Roman" w:cs="Times New Roman"/>
          <w:sz w:val="24"/>
          <w:szCs w:val="24"/>
        </w:rPr>
        <w:t xml:space="preserve"> ou a liberdade de imprensa, e ainda,</w:t>
      </w:r>
      <w:r w:rsidRPr="000B79B9">
        <w:rPr>
          <w:rFonts w:ascii="Times New Roman" w:eastAsia="Arial" w:hAnsi="Times New Roman" w:cs="Times New Roman"/>
          <w:sz w:val="24"/>
          <w:szCs w:val="24"/>
        </w:rPr>
        <w:t xml:space="preserve"> e) </w:t>
      </w:r>
      <w:r w:rsidR="004B52C0" w:rsidRPr="000B79B9">
        <w:rPr>
          <w:rFonts w:ascii="Times New Roman" w:eastAsia="Arial" w:hAnsi="Times New Roman" w:cs="Times New Roman"/>
          <w:sz w:val="24"/>
          <w:szCs w:val="24"/>
        </w:rPr>
        <w:t xml:space="preserve">a </w:t>
      </w:r>
      <w:r w:rsidRPr="000B79B9">
        <w:rPr>
          <w:rFonts w:ascii="Times New Roman" w:eastAsia="Arial" w:hAnsi="Times New Roman" w:cs="Times New Roman"/>
          <w:sz w:val="24"/>
          <w:szCs w:val="24"/>
        </w:rPr>
        <w:t>ofensa a</w:t>
      </w:r>
      <w:r w:rsidR="004B52C0" w:rsidRPr="000B79B9">
        <w:rPr>
          <w:rFonts w:ascii="Times New Roman" w:eastAsia="Arial" w:hAnsi="Times New Roman" w:cs="Times New Roman"/>
          <w:sz w:val="24"/>
          <w:szCs w:val="24"/>
        </w:rPr>
        <w:t>os</w:t>
      </w:r>
      <w:r w:rsidRPr="000B79B9">
        <w:rPr>
          <w:rFonts w:ascii="Times New Roman" w:eastAsia="Arial" w:hAnsi="Times New Roman" w:cs="Times New Roman"/>
          <w:sz w:val="24"/>
          <w:szCs w:val="24"/>
        </w:rPr>
        <w:t xml:space="preserve"> direitos da personalidade, que é o fundamento essencial do direito ao esquecimento.</w:t>
      </w:r>
    </w:p>
    <w:p w:rsidR="00CA4C9C" w:rsidRPr="000B79B9" w:rsidRDefault="00CA4C9C">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Assim, esses critérios não são definitivos, mas sim flexíveis, o que permite a utilização de outros elementos para a ponderação dos direitos em conflito em cada caso concreto.</w:t>
      </w:r>
    </w:p>
    <w:p w:rsidR="001F4FF0" w:rsidRPr="000B79B9" w:rsidRDefault="001F4FF0">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 xml:space="preserve">Além disso, </w:t>
      </w:r>
      <w:r w:rsidR="00305FBA" w:rsidRPr="000B79B9">
        <w:rPr>
          <w:rFonts w:ascii="Times New Roman" w:eastAsia="Arial" w:hAnsi="Times New Roman" w:cs="Times New Roman"/>
          <w:sz w:val="24"/>
          <w:szCs w:val="24"/>
        </w:rPr>
        <w:t xml:space="preserve">evidenciou-se que, frente às </w:t>
      </w:r>
      <w:r w:rsidRPr="000B79B9">
        <w:rPr>
          <w:rFonts w:ascii="Times New Roman" w:eastAsia="Arial" w:hAnsi="Times New Roman" w:cs="Times New Roman"/>
          <w:sz w:val="24"/>
          <w:szCs w:val="24"/>
        </w:rPr>
        <w:t xml:space="preserve">limitações técnicas para a </w:t>
      </w:r>
      <w:r w:rsidR="00305FBA" w:rsidRPr="000B79B9">
        <w:rPr>
          <w:rFonts w:ascii="Times New Roman" w:eastAsia="Arial" w:hAnsi="Times New Roman" w:cs="Times New Roman"/>
          <w:sz w:val="24"/>
          <w:szCs w:val="24"/>
        </w:rPr>
        <w:t>aplicação</w:t>
      </w:r>
      <w:r w:rsidRPr="000B79B9">
        <w:rPr>
          <w:rFonts w:ascii="Times New Roman" w:eastAsia="Arial" w:hAnsi="Times New Roman" w:cs="Times New Roman"/>
          <w:sz w:val="24"/>
          <w:szCs w:val="24"/>
        </w:rPr>
        <w:t xml:space="preserve"> do direito ao esquecimento por meio da via judicia</w:t>
      </w:r>
      <w:r w:rsidR="00590B63" w:rsidRPr="000B79B9">
        <w:rPr>
          <w:rFonts w:ascii="Times New Roman" w:eastAsia="Arial" w:hAnsi="Times New Roman" w:cs="Times New Roman"/>
          <w:sz w:val="24"/>
          <w:szCs w:val="24"/>
        </w:rPr>
        <w:t>l, a tutela inibitória</w:t>
      </w:r>
      <w:r w:rsidR="0009581B" w:rsidRPr="000B79B9">
        <w:rPr>
          <w:rFonts w:ascii="Times New Roman" w:hAnsi="Times New Roman" w:cs="Times New Roman"/>
        </w:rPr>
        <w:t xml:space="preserve"> </w:t>
      </w:r>
      <w:r w:rsidR="0009581B" w:rsidRPr="000B79B9">
        <w:rPr>
          <w:rFonts w:ascii="Times New Roman" w:eastAsia="Arial" w:hAnsi="Times New Roman" w:cs="Times New Roman"/>
          <w:sz w:val="24"/>
          <w:szCs w:val="24"/>
        </w:rPr>
        <w:t xml:space="preserve">também se revela fundamental para a </w:t>
      </w:r>
      <w:r w:rsidR="00305FBA" w:rsidRPr="000B79B9">
        <w:rPr>
          <w:rFonts w:ascii="Times New Roman" w:eastAsia="Arial" w:hAnsi="Times New Roman" w:cs="Times New Roman"/>
          <w:sz w:val="24"/>
          <w:szCs w:val="24"/>
        </w:rPr>
        <w:t>efetivação</w:t>
      </w:r>
      <w:r w:rsidR="0009581B" w:rsidRPr="000B79B9">
        <w:rPr>
          <w:rFonts w:ascii="Times New Roman" w:eastAsia="Arial" w:hAnsi="Times New Roman" w:cs="Times New Roman"/>
          <w:sz w:val="24"/>
          <w:szCs w:val="24"/>
        </w:rPr>
        <w:t xml:space="preserve"> desse direito.</w:t>
      </w:r>
    </w:p>
    <w:p w:rsidR="00196C6E" w:rsidRPr="000B79B9" w:rsidRDefault="00B15061">
      <w:pPr>
        <w:spacing w:line="360" w:lineRule="auto"/>
        <w:ind w:firstLine="720"/>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 xml:space="preserve">Em relação às perspectivas de abordagens futuras, é fundamental que sejam realizados novos estudos e debates sobre o tema, a fim de </w:t>
      </w:r>
      <w:r w:rsidR="00E81B74" w:rsidRPr="000B79B9">
        <w:rPr>
          <w:rFonts w:ascii="Times New Roman" w:eastAsia="Arial" w:hAnsi="Times New Roman" w:cs="Times New Roman"/>
          <w:sz w:val="24"/>
          <w:szCs w:val="24"/>
        </w:rPr>
        <w:t>que sejam desenvolvidas abordagens mais específicas e detalhadas para a aplicação do direito ao esquecimento e da exclusão de dados pessoais na LGPD, levando em consideração as particularidades de cada caso e a complexidade das relações sociais e tecnológicas contemporâneas.</w:t>
      </w:r>
    </w:p>
    <w:p w:rsidR="00196C6E" w:rsidRPr="000B79B9" w:rsidRDefault="00B15061">
      <w:pPr>
        <w:spacing w:line="360" w:lineRule="auto"/>
        <w:ind w:firstLine="720"/>
        <w:jc w:val="both"/>
        <w:rPr>
          <w:rFonts w:ascii="Times New Roman" w:eastAsia="Arial" w:hAnsi="Times New Roman" w:cs="Times New Roman"/>
          <w:sz w:val="24"/>
          <w:szCs w:val="24"/>
        </w:rPr>
        <w:sectPr w:rsidR="00196C6E" w:rsidRPr="000B79B9">
          <w:type w:val="continuous"/>
          <w:pgSz w:w="11907" w:h="16840"/>
          <w:pgMar w:top="1701" w:right="1134" w:bottom="1134" w:left="1701" w:header="720" w:footer="720" w:gutter="0"/>
          <w:cols w:space="720"/>
        </w:sectPr>
      </w:pPr>
      <w:r w:rsidRPr="000B79B9">
        <w:rPr>
          <w:rFonts w:ascii="Times New Roman" w:eastAsia="Arial" w:hAnsi="Times New Roman" w:cs="Times New Roman"/>
          <w:sz w:val="24"/>
          <w:szCs w:val="24"/>
        </w:rPr>
        <w:t xml:space="preserve">Por fim, é importante que os operadores do direito estejam preparados para lidar com os desafios e dilemas que surgem na aplicação desses direitos, de forma a garantir a proteção dos direitos fundamentais e garantias </w:t>
      </w:r>
      <w:r w:rsidR="00FB5A1F">
        <w:rPr>
          <w:rFonts w:ascii="Times New Roman" w:eastAsia="Arial" w:hAnsi="Times New Roman" w:cs="Times New Roman"/>
          <w:sz w:val="24"/>
          <w:szCs w:val="24"/>
        </w:rPr>
        <w:t>constitucionais dos indivíduos.</w:t>
      </w:r>
    </w:p>
    <w:p w:rsidR="00196C6E" w:rsidRPr="000B79B9" w:rsidRDefault="00196C6E" w:rsidP="00FB3BFB">
      <w:pPr>
        <w:rPr>
          <w:rFonts w:ascii="Times New Roman" w:hAnsi="Times New Roman" w:cs="Times New Roman"/>
        </w:rPr>
      </w:pPr>
    </w:p>
    <w:p w:rsidR="00FB3BFB" w:rsidRPr="000B79B9" w:rsidRDefault="00B15061" w:rsidP="00FB5A1F">
      <w:pPr>
        <w:pStyle w:val="Ttulo1"/>
        <w:ind w:left="221" w:right="210"/>
        <w:jc w:val="center"/>
        <w:rPr>
          <w:rFonts w:ascii="Times New Roman" w:hAnsi="Times New Roman" w:cs="Times New Roman"/>
        </w:rPr>
      </w:pPr>
      <w:r w:rsidRPr="000B79B9">
        <w:rPr>
          <w:rFonts w:ascii="Times New Roman" w:hAnsi="Times New Roman" w:cs="Times New Roman"/>
        </w:rPr>
        <w:t>REFERÊNCIAS</w:t>
      </w:r>
    </w:p>
    <w:p w:rsidR="00FB3BFB" w:rsidRPr="000B79B9" w:rsidRDefault="00FB3BFB">
      <w:pPr>
        <w:jc w:val="both"/>
        <w:rPr>
          <w:rFonts w:ascii="Times New Roman" w:eastAsia="Arial" w:hAnsi="Times New Roman" w:cs="Times New Roman"/>
          <w:sz w:val="24"/>
          <w:szCs w:val="24"/>
        </w:rPr>
      </w:pPr>
    </w:p>
    <w:p w:rsidR="00FB3BFB" w:rsidRPr="000B79B9" w:rsidRDefault="00FB3BFB">
      <w:pPr>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 xml:space="preserve">ÁVILA, Humberto Bergmann. </w:t>
      </w:r>
      <w:r w:rsidRPr="000B79B9">
        <w:rPr>
          <w:rFonts w:ascii="Times New Roman" w:eastAsia="Arial" w:hAnsi="Times New Roman" w:cs="Times New Roman"/>
          <w:b/>
          <w:sz w:val="24"/>
          <w:szCs w:val="24"/>
        </w:rPr>
        <w:t>A distinção entre princípios e regras e a redefinição do dever de proporcionalidade</w:t>
      </w:r>
      <w:r w:rsidRPr="000B79B9">
        <w:rPr>
          <w:rFonts w:ascii="Times New Roman" w:eastAsia="Arial" w:hAnsi="Times New Roman" w:cs="Times New Roman"/>
          <w:sz w:val="24"/>
          <w:szCs w:val="24"/>
        </w:rPr>
        <w:t>. Revista de Direito Administrativo, Rio de Janeiro, v. 215, p.151-179, jan.-mar. 1999.</w:t>
      </w:r>
    </w:p>
    <w:p w:rsidR="00FB3BFB" w:rsidRPr="000B79B9" w:rsidRDefault="00FB3BFB">
      <w:pPr>
        <w:jc w:val="both"/>
        <w:rPr>
          <w:rFonts w:ascii="Times New Roman" w:eastAsia="Arial" w:hAnsi="Times New Roman" w:cs="Times New Roman"/>
          <w:sz w:val="24"/>
          <w:szCs w:val="24"/>
        </w:rPr>
      </w:pPr>
    </w:p>
    <w:p w:rsidR="00FB3BFB" w:rsidRPr="000B79B9" w:rsidRDefault="00FB3BFB">
      <w:pPr>
        <w:spacing w:after="8"/>
        <w:ind w:right="-15"/>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 xml:space="preserve">BENJAMIN, Antonio Herman V. </w:t>
      </w:r>
      <w:r w:rsidRPr="000B79B9">
        <w:rPr>
          <w:rFonts w:ascii="Times New Roman" w:eastAsia="Arial" w:hAnsi="Times New Roman" w:cs="Times New Roman"/>
          <w:b/>
          <w:sz w:val="24"/>
          <w:szCs w:val="24"/>
        </w:rPr>
        <w:t>O controle jurídico da publicidade</w:t>
      </w:r>
      <w:r w:rsidRPr="000B79B9">
        <w:rPr>
          <w:rFonts w:ascii="Times New Roman" w:eastAsia="Arial" w:hAnsi="Times New Roman" w:cs="Times New Roman"/>
          <w:sz w:val="24"/>
          <w:szCs w:val="24"/>
        </w:rPr>
        <w:t>. São Paulo, Revista de Direito do Consumidor, v. 9, p. 25-57, Jan./Mar., 1994.</w:t>
      </w:r>
    </w:p>
    <w:p w:rsidR="00FB3BFB" w:rsidRPr="000B79B9" w:rsidRDefault="00FB3BFB">
      <w:pPr>
        <w:spacing w:after="8"/>
        <w:ind w:right="-15"/>
        <w:jc w:val="both"/>
        <w:rPr>
          <w:rFonts w:ascii="Times New Roman" w:eastAsia="Arial" w:hAnsi="Times New Roman" w:cs="Times New Roman"/>
          <w:sz w:val="24"/>
          <w:szCs w:val="24"/>
        </w:rPr>
      </w:pPr>
    </w:p>
    <w:p w:rsidR="00FB3BFB" w:rsidRPr="000B79B9" w:rsidRDefault="00FB3BFB">
      <w:pPr>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 xml:space="preserve">BRASIL. Conselho da Justiça Federal. Enunciado nº 576. </w:t>
      </w:r>
      <w:r w:rsidRPr="000B79B9">
        <w:rPr>
          <w:rFonts w:ascii="Times New Roman" w:eastAsia="Arial" w:hAnsi="Times New Roman" w:cs="Times New Roman"/>
          <w:b/>
          <w:sz w:val="24"/>
          <w:szCs w:val="24"/>
        </w:rPr>
        <w:t>O direito ao esquecimento pode ser assegurado por tutela judicial inibitória</w:t>
      </w:r>
      <w:r w:rsidRPr="000B79B9">
        <w:rPr>
          <w:rFonts w:ascii="Times New Roman" w:eastAsia="Arial" w:hAnsi="Times New Roman" w:cs="Times New Roman"/>
          <w:sz w:val="24"/>
          <w:szCs w:val="24"/>
        </w:rPr>
        <w:t>. VII Jornada de Direito Civil. Brasília, DF: Conselho da Justiça Federal, 2015. Disponível em: https://www.cjf.jus.br/enunciados/enunciado/821. Acesso em: 30 out. 2023.</w:t>
      </w:r>
    </w:p>
    <w:p w:rsidR="00FB3BFB" w:rsidRPr="000B79B9" w:rsidRDefault="00FB3BFB">
      <w:pPr>
        <w:jc w:val="both"/>
        <w:rPr>
          <w:rFonts w:ascii="Times New Roman" w:eastAsia="Arial" w:hAnsi="Times New Roman" w:cs="Times New Roman"/>
          <w:sz w:val="24"/>
          <w:szCs w:val="24"/>
        </w:rPr>
      </w:pPr>
    </w:p>
    <w:p w:rsidR="00FB3BFB" w:rsidRPr="000B79B9" w:rsidRDefault="00FB3BFB">
      <w:pPr>
        <w:spacing w:after="8"/>
        <w:ind w:right="-15"/>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 xml:space="preserve">BRASIL. Constituição (1988). </w:t>
      </w:r>
      <w:r w:rsidRPr="000B79B9">
        <w:rPr>
          <w:rFonts w:ascii="Times New Roman" w:eastAsia="Arial" w:hAnsi="Times New Roman" w:cs="Times New Roman"/>
          <w:b/>
          <w:sz w:val="24"/>
          <w:szCs w:val="24"/>
        </w:rPr>
        <w:t>Constituição da República Federativa do Brasil</w:t>
      </w:r>
      <w:r w:rsidRPr="000B79B9">
        <w:rPr>
          <w:rFonts w:ascii="Times New Roman" w:eastAsia="Arial" w:hAnsi="Times New Roman" w:cs="Times New Roman"/>
          <w:sz w:val="24"/>
          <w:szCs w:val="24"/>
        </w:rPr>
        <w:t xml:space="preserve">. Brasília, DF: Centro Gráfico, 1988. </w:t>
      </w:r>
    </w:p>
    <w:p w:rsidR="00FB3BFB" w:rsidRPr="000B79B9" w:rsidRDefault="00FB3BFB">
      <w:pPr>
        <w:spacing w:after="8"/>
        <w:ind w:right="-15"/>
        <w:jc w:val="both"/>
        <w:rPr>
          <w:rFonts w:ascii="Times New Roman" w:eastAsia="Arial" w:hAnsi="Times New Roman" w:cs="Times New Roman"/>
          <w:sz w:val="24"/>
          <w:szCs w:val="24"/>
        </w:rPr>
      </w:pPr>
    </w:p>
    <w:p w:rsidR="00FB3BFB" w:rsidRPr="000B79B9" w:rsidRDefault="00FB3BFB">
      <w:pPr>
        <w:spacing w:after="8"/>
        <w:ind w:right="-15"/>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 xml:space="preserve">BRASIL. Enunciado 531. </w:t>
      </w:r>
      <w:r w:rsidRPr="000B79B9">
        <w:rPr>
          <w:rFonts w:ascii="Times New Roman" w:eastAsia="Arial" w:hAnsi="Times New Roman" w:cs="Times New Roman"/>
          <w:b/>
          <w:sz w:val="24"/>
          <w:szCs w:val="24"/>
        </w:rPr>
        <w:t>VI Jornada de Direito Civil</w:t>
      </w:r>
      <w:r w:rsidRPr="000B79B9">
        <w:rPr>
          <w:rFonts w:ascii="Times New Roman" w:eastAsia="Arial" w:hAnsi="Times New Roman" w:cs="Times New Roman"/>
          <w:sz w:val="24"/>
          <w:szCs w:val="24"/>
        </w:rPr>
        <w:t>: 2013. Conselho Nacional de Justiça. Disponível em: &lt;http://www.cjf.jus.br/cjf/CEJ-Coedi/jornadas-cej/VI%20Jornada.pdf/view?searchterm=enunciado&gt;. Acesso em: 13 out. 2023.</w:t>
      </w:r>
    </w:p>
    <w:p w:rsidR="00FB3BFB" w:rsidRPr="000B79B9" w:rsidRDefault="00FB3BFB">
      <w:pPr>
        <w:spacing w:after="8"/>
        <w:ind w:right="-15"/>
        <w:jc w:val="both"/>
        <w:rPr>
          <w:rFonts w:ascii="Times New Roman" w:eastAsia="Arial" w:hAnsi="Times New Roman" w:cs="Times New Roman"/>
          <w:sz w:val="24"/>
          <w:szCs w:val="24"/>
        </w:rPr>
      </w:pPr>
    </w:p>
    <w:p w:rsidR="00FB3BFB" w:rsidRPr="000B79B9" w:rsidRDefault="00FB3BFB">
      <w:pPr>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 xml:space="preserve">BRASIL. Lei nº 10.406, de 10 de janeiro de 2002. </w:t>
      </w:r>
      <w:r w:rsidRPr="000B79B9">
        <w:rPr>
          <w:rFonts w:ascii="Times New Roman" w:eastAsia="Arial" w:hAnsi="Times New Roman" w:cs="Times New Roman"/>
          <w:b/>
          <w:sz w:val="24"/>
          <w:szCs w:val="24"/>
        </w:rPr>
        <w:t xml:space="preserve">Institui o Código Civil. </w:t>
      </w:r>
      <w:r w:rsidRPr="000B79B9">
        <w:rPr>
          <w:rFonts w:ascii="Times New Roman" w:eastAsia="Arial" w:hAnsi="Times New Roman" w:cs="Times New Roman"/>
          <w:sz w:val="24"/>
          <w:szCs w:val="24"/>
        </w:rPr>
        <w:t>Disponível em: &lt;https://www.planalto.gov.br/ccivil_03/leis/2002/l10406compilada.htm&gt;. Acesso em: 30 out. 2023.</w:t>
      </w:r>
    </w:p>
    <w:p w:rsidR="00FB3BFB" w:rsidRPr="000B79B9" w:rsidRDefault="00FB3BFB">
      <w:pPr>
        <w:jc w:val="both"/>
        <w:rPr>
          <w:rFonts w:ascii="Times New Roman" w:eastAsia="Arial" w:hAnsi="Times New Roman" w:cs="Times New Roman"/>
          <w:sz w:val="24"/>
          <w:szCs w:val="24"/>
        </w:rPr>
      </w:pPr>
    </w:p>
    <w:p w:rsidR="00FB3BFB" w:rsidRPr="000B79B9" w:rsidRDefault="00FB3BFB">
      <w:pPr>
        <w:widowControl/>
        <w:pBdr>
          <w:top w:val="nil"/>
          <w:left w:val="nil"/>
          <w:bottom w:val="nil"/>
          <w:right w:val="nil"/>
          <w:between w:val="nil"/>
        </w:pBdr>
        <w:jc w:val="both"/>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 xml:space="preserve">BRASIL. Lei nº 12.527, de 18 de novembro de 2011. </w:t>
      </w:r>
      <w:r w:rsidRPr="000B79B9">
        <w:rPr>
          <w:rFonts w:ascii="Times New Roman" w:eastAsia="Arial" w:hAnsi="Times New Roman" w:cs="Times New Roman"/>
          <w:b/>
          <w:color w:val="000000"/>
          <w:sz w:val="24"/>
          <w:szCs w:val="24"/>
        </w:rPr>
        <w:t>Lei de Acesso à Informação</w:t>
      </w:r>
      <w:r w:rsidRPr="000B79B9">
        <w:rPr>
          <w:rFonts w:ascii="Times New Roman" w:eastAsia="Arial" w:hAnsi="Times New Roman" w:cs="Times New Roman"/>
          <w:color w:val="000000"/>
          <w:sz w:val="24"/>
          <w:szCs w:val="24"/>
        </w:rPr>
        <w:t>. Regula o acesso a informações previsto no inciso XXXIII do art. 5º, no inciso II do § 3º do art. 37 e no § 2º do art. 216 da Constituição Federal; altera a Lei nº 8.112, de 11 de dezembro de 1990; revoga a Lei nº 11.111, de 5 de maio de 2005, e dispositivos da Lei nº 8.159, de 8 de janeiro de 1991; e dá outras providências.  Disponível em: &lt;http://www.planalto.gov.br/ccivil_03/_ato2011-2014/2011/lei/l12527.htm&gt;. Acesso em: 12 out. 2023.</w:t>
      </w:r>
    </w:p>
    <w:p w:rsidR="006668E3" w:rsidRPr="000B79B9" w:rsidRDefault="006668E3">
      <w:pPr>
        <w:widowControl/>
        <w:pBdr>
          <w:top w:val="nil"/>
          <w:left w:val="nil"/>
          <w:bottom w:val="nil"/>
          <w:right w:val="nil"/>
          <w:between w:val="nil"/>
        </w:pBdr>
        <w:jc w:val="both"/>
        <w:rPr>
          <w:rFonts w:ascii="Times New Roman" w:eastAsia="Arial" w:hAnsi="Times New Roman" w:cs="Times New Roman"/>
          <w:color w:val="000000"/>
          <w:sz w:val="24"/>
          <w:szCs w:val="24"/>
        </w:rPr>
      </w:pPr>
    </w:p>
    <w:p w:rsidR="00FB3BFB" w:rsidRPr="000B79B9" w:rsidRDefault="00FB3BFB">
      <w:pPr>
        <w:spacing w:after="8"/>
        <w:ind w:right="-15"/>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 xml:space="preserve">BRASIL. Lei nº 12.965, de 23 de abril de 2014. </w:t>
      </w:r>
      <w:r w:rsidRPr="000B79B9">
        <w:rPr>
          <w:rFonts w:ascii="Times New Roman" w:eastAsia="Arial" w:hAnsi="Times New Roman" w:cs="Times New Roman"/>
          <w:b/>
          <w:sz w:val="24"/>
          <w:szCs w:val="24"/>
        </w:rPr>
        <w:t>Marco Civil da Internet</w:t>
      </w:r>
      <w:r w:rsidRPr="000B79B9">
        <w:rPr>
          <w:rFonts w:ascii="Times New Roman" w:eastAsia="Arial" w:hAnsi="Times New Roman" w:cs="Times New Roman"/>
          <w:sz w:val="24"/>
          <w:szCs w:val="24"/>
        </w:rPr>
        <w:t>. Estabelece princípios, garantias, direitos e deveres para o uso da Internet no Brasil. Disponível em: &lt;http://www.planalto.gov.br/ccivil_03/_ato2011-2014/2014/lei/l12965.htm&gt;. Acesso em: 12 out. 2023.</w:t>
      </w:r>
    </w:p>
    <w:p w:rsidR="006668E3" w:rsidRPr="000B79B9" w:rsidRDefault="006668E3">
      <w:pPr>
        <w:spacing w:after="8"/>
        <w:ind w:right="-15"/>
        <w:jc w:val="both"/>
        <w:rPr>
          <w:rFonts w:ascii="Times New Roman" w:eastAsia="Arial" w:hAnsi="Times New Roman" w:cs="Times New Roman"/>
          <w:sz w:val="24"/>
          <w:szCs w:val="24"/>
        </w:rPr>
      </w:pPr>
    </w:p>
    <w:p w:rsidR="00FB3BFB" w:rsidRPr="000B79B9" w:rsidRDefault="00FB3BFB">
      <w:pPr>
        <w:spacing w:after="8"/>
        <w:ind w:right="-15"/>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 xml:space="preserve">BRASIL. Lei nº 13.079, de 14 de agosto de 2018. </w:t>
      </w:r>
      <w:r w:rsidRPr="000B79B9">
        <w:rPr>
          <w:rFonts w:ascii="Times New Roman" w:eastAsia="Arial" w:hAnsi="Times New Roman" w:cs="Times New Roman"/>
          <w:b/>
          <w:sz w:val="24"/>
          <w:szCs w:val="24"/>
        </w:rPr>
        <w:t>Lei Geral de Proteção de Dados Pessoais (LGPD)</w:t>
      </w:r>
      <w:r w:rsidRPr="000B79B9">
        <w:rPr>
          <w:rFonts w:ascii="Times New Roman" w:eastAsia="Arial" w:hAnsi="Times New Roman" w:cs="Times New Roman"/>
          <w:sz w:val="24"/>
          <w:szCs w:val="24"/>
        </w:rPr>
        <w:t>. Disponível em: &lt;http://www.planalto.gov.br/ccivil_03/_ato2015-2018/2018/lei/L13709.htm&gt; . Acesso em: 12 out. 2023.</w:t>
      </w:r>
    </w:p>
    <w:p w:rsidR="006668E3" w:rsidRPr="000B79B9" w:rsidRDefault="006668E3">
      <w:pPr>
        <w:spacing w:after="8"/>
        <w:ind w:right="-15"/>
        <w:jc w:val="both"/>
        <w:rPr>
          <w:rFonts w:ascii="Times New Roman" w:eastAsia="Arial" w:hAnsi="Times New Roman" w:cs="Times New Roman"/>
          <w:sz w:val="24"/>
          <w:szCs w:val="24"/>
        </w:rPr>
      </w:pPr>
    </w:p>
    <w:p w:rsidR="00FB3BFB" w:rsidRPr="000B79B9" w:rsidRDefault="00FB3BFB">
      <w:pPr>
        <w:widowControl/>
        <w:pBdr>
          <w:top w:val="nil"/>
          <w:left w:val="nil"/>
          <w:bottom w:val="nil"/>
          <w:right w:val="nil"/>
          <w:between w:val="nil"/>
        </w:pBdr>
        <w:jc w:val="both"/>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 xml:space="preserve">BRASIL. Lei nº 9.507, de 12 de novembro de 1997. </w:t>
      </w:r>
      <w:r w:rsidRPr="000B79B9">
        <w:rPr>
          <w:rFonts w:ascii="Times New Roman" w:eastAsia="Arial" w:hAnsi="Times New Roman" w:cs="Times New Roman"/>
          <w:b/>
          <w:color w:val="000000"/>
          <w:sz w:val="24"/>
          <w:szCs w:val="24"/>
        </w:rPr>
        <w:t>Lei do Habeas Data</w:t>
      </w:r>
      <w:r w:rsidRPr="000B79B9">
        <w:rPr>
          <w:rFonts w:ascii="Times New Roman" w:eastAsia="Arial" w:hAnsi="Times New Roman" w:cs="Times New Roman"/>
          <w:color w:val="000000"/>
          <w:sz w:val="24"/>
          <w:szCs w:val="24"/>
        </w:rPr>
        <w:t xml:space="preserve">. Regula o direito de acesso a informações e disciplina o rito processual do </w:t>
      </w:r>
      <w:r w:rsidRPr="000B79B9">
        <w:rPr>
          <w:rFonts w:ascii="Times New Roman" w:eastAsia="Arial" w:hAnsi="Times New Roman" w:cs="Times New Roman"/>
          <w:i/>
          <w:color w:val="000000"/>
          <w:sz w:val="24"/>
          <w:szCs w:val="24"/>
        </w:rPr>
        <w:t>habeas data</w:t>
      </w:r>
      <w:r w:rsidRPr="000B79B9">
        <w:rPr>
          <w:rFonts w:ascii="Times New Roman" w:eastAsia="Arial" w:hAnsi="Times New Roman" w:cs="Times New Roman"/>
          <w:color w:val="000000"/>
          <w:sz w:val="24"/>
          <w:szCs w:val="24"/>
        </w:rPr>
        <w:t>.  Disponível em: &lt;http://www.planalto.gov.br/ccivil_03/leis/l9507.htm&gt;. Acesso em: 12 out. 2023.</w:t>
      </w:r>
    </w:p>
    <w:p w:rsidR="006668E3" w:rsidRPr="000B79B9" w:rsidRDefault="006668E3">
      <w:pPr>
        <w:widowControl/>
        <w:pBdr>
          <w:top w:val="nil"/>
          <w:left w:val="nil"/>
          <w:bottom w:val="nil"/>
          <w:right w:val="nil"/>
          <w:between w:val="nil"/>
        </w:pBdr>
        <w:jc w:val="both"/>
        <w:rPr>
          <w:rFonts w:ascii="Times New Roman" w:eastAsia="Arial" w:hAnsi="Times New Roman" w:cs="Times New Roman"/>
          <w:color w:val="000000"/>
          <w:sz w:val="24"/>
          <w:szCs w:val="24"/>
        </w:rPr>
      </w:pPr>
    </w:p>
    <w:p w:rsidR="00FB3BFB" w:rsidRPr="000B79B9" w:rsidRDefault="00FB3BFB">
      <w:pPr>
        <w:widowControl/>
        <w:pBdr>
          <w:top w:val="nil"/>
          <w:left w:val="nil"/>
          <w:bottom w:val="nil"/>
          <w:right w:val="nil"/>
          <w:between w:val="nil"/>
        </w:pBdr>
        <w:jc w:val="both"/>
        <w:rPr>
          <w:rFonts w:ascii="Times New Roman" w:eastAsia="Arial" w:hAnsi="Times New Roman" w:cs="Times New Roman"/>
          <w:color w:val="000000"/>
          <w:sz w:val="24"/>
          <w:szCs w:val="24"/>
        </w:rPr>
      </w:pPr>
      <w:r w:rsidRPr="000B79B9">
        <w:rPr>
          <w:rFonts w:ascii="Times New Roman" w:eastAsia="Arial" w:hAnsi="Times New Roman" w:cs="Times New Roman"/>
          <w:color w:val="000000"/>
          <w:sz w:val="24"/>
          <w:szCs w:val="24"/>
        </w:rPr>
        <w:t xml:space="preserve">BRASIL. Lei nº. 8.078, de 11 de setembro de 1990. </w:t>
      </w:r>
      <w:r w:rsidRPr="000B79B9">
        <w:rPr>
          <w:rFonts w:ascii="Times New Roman" w:eastAsia="Arial" w:hAnsi="Times New Roman" w:cs="Times New Roman"/>
          <w:b/>
          <w:color w:val="000000"/>
          <w:sz w:val="24"/>
          <w:szCs w:val="24"/>
        </w:rPr>
        <w:t>Código de Defesa do Consumidor</w:t>
      </w:r>
      <w:r w:rsidRPr="000B79B9">
        <w:rPr>
          <w:rFonts w:ascii="Times New Roman" w:eastAsia="Arial" w:hAnsi="Times New Roman" w:cs="Times New Roman"/>
          <w:color w:val="000000"/>
          <w:sz w:val="24"/>
          <w:szCs w:val="24"/>
        </w:rPr>
        <w:t>. Dispõe sobre a proteção do consumidor e dá outras providências. Disponível em: &lt;http://www.planalto.gov.br/ccivil_03/Leis/L8078.htm&gt;. Acesso em: 12 out. 2023.</w:t>
      </w:r>
    </w:p>
    <w:p w:rsidR="006668E3" w:rsidRPr="000B79B9" w:rsidRDefault="006668E3">
      <w:pPr>
        <w:widowControl/>
        <w:pBdr>
          <w:top w:val="nil"/>
          <w:left w:val="nil"/>
          <w:bottom w:val="nil"/>
          <w:right w:val="nil"/>
          <w:between w:val="nil"/>
        </w:pBdr>
        <w:jc w:val="both"/>
        <w:rPr>
          <w:rFonts w:ascii="Times New Roman" w:eastAsia="Arial" w:hAnsi="Times New Roman" w:cs="Times New Roman"/>
          <w:color w:val="000000"/>
          <w:sz w:val="24"/>
          <w:szCs w:val="24"/>
        </w:rPr>
      </w:pPr>
    </w:p>
    <w:p w:rsidR="00FB3BFB" w:rsidRPr="000B79B9" w:rsidRDefault="00FB3BFB">
      <w:pPr>
        <w:spacing w:after="8"/>
        <w:ind w:right="-15"/>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 xml:space="preserve">DONEDA, Danilo. </w:t>
      </w:r>
      <w:r w:rsidRPr="000B79B9">
        <w:rPr>
          <w:rFonts w:ascii="Times New Roman" w:eastAsia="Arial" w:hAnsi="Times New Roman" w:cs="Times New Roman"/>
          <w:b/>
          <w:sz w:val="24"/>
          <w:szCs w:val="24"/>
        </w:rPr>
        <w:t>A proteção dos dados pessoais como um direito fundamental</w:t>
      </w:r>
      <w:r w:rsidRPr="000B79B9">
        <w:rPr>
          <w:rFonts w:ascii="Times New Roman" w:eastAsia="Arial" w:hAnsi="Times New Roman" w:cs="Times New Roman"/>
          <w:sz w:val="24"/>
          <w:szCs w:val="24"/>
        </w:rPr>
        <w:t xml:space="preserve">. Espaço Jurídico Journal of Law [EJJL], 2011, v. 12, n. 2, 91–108. Disponível em: </w:t>
      </w:r>
      <w:r w:rsidR="006668E3" w:rsidRPr="000B79B9">
        <w:rPr>
          <w:rFonts w:ascii="Times New Roman" w:eastAsia="Arial" w:hAnsi="Times New Roman" w:cs="Times New Roman"/>
          <w:sz w:val="24"/>
          <w:szCs w:val="24"/>
        </w:rPr>
        <w:t xml:space="preserve">&lt;https://portalperiodicos.unoesc.edu.br/espacojuridico/article/view/1315/658&gt;. </w:t>
      </w:r>
      <w:r w:rsidRPr="000B79B9">
        <w:rPr>
          <w:rFonts w:ascii="Times New Roman" w:eastAsia="Arial" w:hAnsi="Times New Roman" w:cs="Times New Roman"/>
          <w:sz w:val="24"/>
          <w:szCs w:val="24"/>
        </w:rPr>
        <w:t>Acessado em: 13 out. 2023.</w:t>
      </w:r>
    </w:p>
    <w:p w:rsidR="006668E3" w:rsidRPr="000B79B9" w:rsidRDefault="006668E3">
      <w:pPr>
        <w:spacing w:after="8"/>
        <w:ind w:right="-15"/>
        <w:jc w:val="both"/>
        <w:rPr>
          <w:rFonts w:ascii="Times New Roman" w:eastAsia="Arial" w:hAnsi="Times New Roman" w:cs="Times New Roman"/>
          <w:sz w:val="24"/>
          <w:szCs w:val="24"/>
        </w:rPr>
      </w:pPr>
    </w:p>
    <w:p w:rsidR="00FB3BFB" w:rsidRPr="000B79B9" w:rsidRDefault="00FB3BFB">
      <w:pPr>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 xml:space="preserve">FELICIANO, Guilherme Guimarães; RIBEIRO, Claudirene Andrade. 9. </w:t>
      </w:r>
      <w:r w:rsidRPr="000B79B9">
        <w:rPr>
          <w:rFonts w:ascii="Times New Roman" w:eastAsia="Arial" w:hAnsi="Times New Roman" w:cs="Times New Roman"/>
          <w:b/>
          <w:sz w:val="24"/>
          <w:szCs w:val="24"/>
        </w:rPr>
        <w:t>O Direito ao esquecimento, a Lei Geral de Proteção de Dados Pessoais (LGPD) e as relações de trabalho: breves reflexões</w:t>
      </w:r>
      <w:r w:rsidRPr="000B79B9">
        <w:rPr>
          <w:rFonts w:ascii="Times New Roman" w:eastAsia="Arial" w:hAnsi="Times New Roman" w:cs="Times New Roman"/>
          <w:sz w:val="24"/>
          <w:szCs w:val="24"/>
        </w:rPr>
        <w:t xml:space="preserve">. </w:t>
      </w:r>
      <w:r w:rsidRPr="000B79B9">
        <w:rPr>
          <w:rFonts w:ascii="Times New Roman" w:eastAsia="Arial" w:hAnsi="Times New Roman" w:cs="Times New Roman"/>
          <w:b/>
          <w:sz w:val="24"/>
          <w:szCs w:val="24"/>
        </w:rPr>
        <w:t>Estudos sobre LGPD-Lei Geral de Proteção de Dados-Lei nº 13.709/2018: Doutrina e aplicabilidade no âmbito laboral</w:t>
      </w:r>
      <w:r w:rsidRPr="000B79B9">
        <w:rPr>
          <w:rFonts w:ascii="Times New Roman" w:eastAsia="Arial" w:hAnsi="Times New Roman" w:cs="Times New Roman"/>
          <w:sz w:val="24"/>
          <w:szCs w:val="24"/>
        </w:rPr>
        <w:t xml:space="preserve">. p. 128-151, 2021. Disponível em: </w:t>
      </w:r>
      <w:r w:rsidR="006668E3" w:rsidRPr="000B79B9">
        <w:rPr>
          <w:rFonts w:ascii="Times New Roman" w:eastAsia="Arial" w:hAnsi="Times New Roman" w:cs="Times New Roman"/>
          <w:sz w:val="24"/>
          <w:szCs w:val="24"/>
        </w:rPr>
        <w:t>&lt;</w:t>
      </w:r>
      <w:r w:rsidRPr="000B79B9">
        <w:rPr>
          <w:rFonts w:ascii="Times New Roman" w:eastAsia="Arial" w:hAnsi="Times New Roman" w:cs="Times New Roman"/>
          <w:sz w:val="24"/>
          <w:szCs w:val="24"/>
        </w:rPr>
        <w:t>https://www.ufrgs.br/ppgd/wp-content/uploads/2022/05/Estudos-sobre-LGPDArquivo-final-1.pdf#page=128</w:t>
      </w:r>
      <w:r w:rsidR="006668E3" w:rsidRPr="000B79B9">
        <w:rPr>
          <w:rFonts w:ascii="Times New Roman" w:eastAsia="Arial" w:hAnsi="Times New Roman" w:cs="Times New Roman"/>
          <w:sz w:val="24"/>
          <w:szCs w:val="24"/>
        </w:rPr>
        <w:t>&gt;</w:t>
      </w:r>
      <w:r w:rsidRPr="000B79B9">
        <w:rPr>
          <w:rFonts w:ascii="Times New Roman" w:eastAsia="Arial" w:hAnsi="Times New Roman" w:cs="Times New Roman"/>
          <w:sz w:val="24"/>
          <w:szCs w:val="24"/>
        </w:rPr>
        <w:t>. Acesso em: 26 out.2023.</w:t>
      </w:r>
    </w:p>
    <w:p w:rsidR="006668E3" w:rsidRPr="000B79B9" w:rsidRDefault="006668E3">
      <w:pPr>
        <w:jc w:val="both"/>
        <w:rPr>
          <w:rFonts w:ascii="Times New Roman" w:eastAsia="Arial" w:hAnsi="Times New Roman" w:cs="Times New Roman"/>
          <w:sz w:val="24"/>
          <w:szCs w:val="24"/>
        </w:rPr>
      </w:pPr>
    </w:p>
    <w:p w:rsidR="00FB3BFB" w:rsidRPr="000B79B9" w:rsidRDefault="00FB3BFB">
      <w:pPr>
        <w:spacing w:after="8"/>
        <w:ind w:right="-15"/>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 xml:space="preserve">LIMA, Erik Noleta Kirk Palma. </w:t>
      </w:r>
      <w:r w:rsidRPr="000B79B9">
        <w:rPr>
          <w:rFonts w:ascii="Times New Roman" w:eastAsia="Arial" w:hAnsi="Times New Roman" w:cs="Times New Roman"/>
          <w:b/>
          <w:sz w:val="24"/>
          <w:szCs w:val="24"/>
        </w:rPr>
        <w:t>Direito ao esquecimento: discussão europeia e sua repercussão no Brasil</w:t>
      </w:r>
      <w:r w:rsidRPr="000B79B9">
        <w:rPr>
          <w:rFonts w:ascii="Times New Roman" w:eastAsia="Arial" w:hAnsi="Times New Roman" w:cs="Times New Roman"/>
          <w:sz w:val="24"/>
          <w:szCs w:val="24"/>
        </w:rPr>
        <w:t>. 2013. Revista de Informação Legislativa, Brasília, v.50, n.199, p. 271-</w:t>
      </w:r>
      <w:r w:rsidRPr="000B79B9">
        <w:rPr>
          <w:rFonts w:ascii="Times New Roman" w:eastAsia="Arial" w:hAnsi="Times New Roman" w:cs="Times New Roman"/>
          <w:sz w:val="24"/>
          <w:szCs w:val="24"/>
        </w:rPr>
        <w:lastRenderedPageBreak/>
        <w:t>283, jul./set.2013.</w:t>
      </w:r>
    </w:p>
    <w:p w:rsidR="006668E3" w:rsidRPr="000B79B9" w:rsidRDefault="006668E3">
      <w:pPr>
        <w:spacing w:after="8"/>
        <w:ind w:right="-15"/>
        <w:jc w:val="both"/>
        <w:rPr>
          <w:rFonts w:ascii="Times New Roman" w:eastAsia="Arial" w:hAnsi="Times New Roman" w:cs="Times New Roman"/>
          <w:sz w:val="24"/>
          <w:szCs w:val="24"/>
        </w:rPr>
      </w:pPr>
    </w:p>
    <w:p w:rsidR="00FB3BFB" w:rsidRPr="000B79B9" w:rsidRDefault="00FB3BFB">
      <w:pPr>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 xml:space="preserve">MANSUR, Rafael. </w:t>
      </w:r>
      <w:r w:rsidRPr="000B79B9">
        <w:rPr>
          <w:rFonts w:ascii="Times New Roman" w:eastAsia="Arial" w:hAnsi="Times New Roman" w:cs="Times New Roman"/>
          <w:b/>
          <w:sz w:val="24"/>
          <w:szCs w:val="24"/>
        </w:rPr>
        <w:t>Decisão do STF não é ‘pá de cal’ no direito ao esquecimento</w:t>
      </w:r>
      <w:r w:rsidRPr="000B79B9">
        <w:rPr>
          <w:rFonts w:ascii="Times New Roman" w:eastAsia="Arial" w:hAnsi="Times New Roman" w:cs="Times New Roman"/>
          <w:sz w:val="24"/>
          <w:szCs w:val="24"/>
        </w:rPr>
        <w:t xml:space="preserve">. CONJUR Consultor Jurídico, 24 fev. 2021. Disponível em: </w:t>
      </w:r>
      <w:r w:rsidR="006668E3" w:rsidRPr="000B79B9">
        <w:rPr>
          <w:rFonts w:ascii="Times New Roman" w:eastAsia="Arial" w:hAnsi="Times New Roman" w:cs="Times New Roman"/>
          <w:sz w:val="24"/>
          <w:szCs w:val="24"/>
        </w:rPr>
        <w:t>&lt;</w:t>
      </w:r>
      <w:r w:rsidRPr="000B79B9">
        <w:rPr>
          <w:rFonts w:ascii="Times New Roman" w:eastAsia="Arial" w:hAnsi="Times New Roman" w:cs="Times New Roman"/>
          <w:sz w:val="24"/>
          <w:szCs w:val="24"/>
        </w:rPr>
        <w:t>https://www.conjur.com.br/2021-fev-24/mansur-stf-nao-jogou-pa-cal-direito- esquecimento#_ftn4</w:t>
      </w:r>
      <w:r w:rsidR="006668E3" w:rsidRPr="000B79B9">
        <w:rPr>
          <w:rFonts w:ascii="Times New Roman" w:eastAsia="Arial" w:hAnsi="Times New Roman" w:cs="Times New Roman"/>
          <w:sz w:val="24"/>
          <w:szCs w:val="24"/>
        </w:rPr>
        <w:t>&gt;</w:t>
      </w:r>
      <w:r w:rsidRPr="000B79B9">
        <w:rPr>
          <w:rFonts w:ascii="Times New Roman" w:eastAsia="Arial" w:hAnsi="Times New Roman" w:cs="Times New Roman"/>
          <w:sz w:val="24"/>
          <w:szCs w:val="24"/>
        </w:rPr>
        <w:t>. Acesso em: 28 out. 2023.</w:t>
      </w:r>
    </w:p>
    <w:p w:rsidR="006668E3" w:rsidRPr="000B79B9" w:rsidRDefault="006668E3">
      <w:pPr>
        <w:jc w:val="both"/>
        <w:rPr>
          <w:rFonts w:ascii="Times New Roman" w:eastAsia="Arial" w:hAnsi="Times New Roman" w:cs="Times New Roman"/>
          <w:sz w:val="24"/>
          <w:szCs w:val="24"/>
        </w:rPr>
      </w:pPr>
    </w:p>
    <w:p w:rsidR="00FB3BFB" w:rsidRPr="000B79B9" w:rsidRDefault="00FB3BFB">
      <w:pPr>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 xml:space="preserve">MARTINEZ, Pablo Rodriguez. </w:t>
      </w:r>
      <w:r w:rsidRPr="000B79B9">
        <w:rPr>
          <w:rFonts w:ascii="Times New Roman" w:eastAsia="Arial" w:hAnsi="Times New Roman" w:cs="Times New Roman"/>
          <w:b/>
          <w:sz w:val="24"/>
          <w:szCs w:val="24"/>
        </w:rPr>
        <w:t>Direito ao esquecimento: a proteção da memória individual na sociedade da informação</w:t>
      </w:r>
      <w:r w:rsidRPr="000B79B9">
        <w:rPr>
          <w:rFonts w:ascii="Times New Roman" w:eastAsia="Arial" w:hAnsi="Times New Roman" w:cs="Times New Roman"/>
          <w:sz w:val="24"/>
          <w:szCs w:val="24"/>
        </w:rPr>
        <w:t>. Rio de Janeiro: Lumen Juris, 2014.</w:t>
      </w:r>
    </w:p>
    <w:p w:rsidR="00B846C4" w:rsidRPr="000B79B9" w:rsidRDefault="00B846C4">
      <w:pPr>
        <w:jc w:val="both"/>
        <w:rPr>
          <w:rFonts w:ascii="Times New Roman" w:eastAsia="Arial" w:hAnsi="Times New Roman" w:cs="Times New Roman"/>
          <w:sz w:val="24"/>
          <w:szCs w:val="24"/>
        </w:rPr>
      </w:pPr>
    </w:p>
    <w:p w:rsidR="00FB3BFB" w:rsidRPr="000B79B9" w:rsidRDefault="00FB3BFB">
      <w:pPr>
        <w:spacing w:after="8"/>
        <w:ind w:right="-15"/>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 xml:space="preserve">MARTINI, S. R.; BERGSTEIN, L. G. </w:t>
      </w:r>
      <w:r w:rsidRPr="000B79B9">
        <w:rPr>
          <w:rFonts w:ascii="Times New Roman" w:eastAsia="Arial" w:hAnsi="Times New Roman" w:cs="Times New Roman"/>
          <w:b/>
          <w:sz w:val="24"/>
          <w:szCs w:val="24"/>
        </w:rPr>
        <w:t>Aproximações entre o direito ao esquecimento e a Lei Geral de Proteção de Dados Pessoais (LGPD)</w:t>
      </w:r>
      <w:r w:rsidRPr="000B79B9">
        <w:rPr>
          <w:rFonts w:ascii="Times New Roman" w:eastAsia="Arial" w:hAnsi="Times New Roman" w:cs="Times New Roman"/>
          <w:sz w:val="24"/>
          <w:szCs w:val="24"/>
        </w:rPr>
        <w:t>. Revista Científica Disruptiva, [S.l.], v. 1, n. 1, p. 160-176, 2019. Disponível em: http://revista.cers.com.br/ojs/index.php/revista/article/view/14. Acesso em: 19 mar. 2023. p. 169.</w:t>
      </w:r>
    </w:p>
    <w:p w:rsidR="00B846C4" w:rsidRPr="000B79B9" w:rsidRDefault="00B846C4">
      <w:pPr>
        <w:spacing w:after="8"/>
        <w:ind w:right="-15"/>
        <w:jc w:val="both"/>
        <w:rPr>
          <w:rFonts w:ascii="Times New Roman" w:eastAsia="Arial" w:hAnsi="Times New Roman" w:cs="Times New Roman"/>
          <w:sz w:val="24"/>
          <w:szCs w:val="24"/>
        </w:rPr>
      </w:pPr>
    </w:p>
    <w:p w:rsidR="00FB3BFB" w:rsidRPr="000B79B9" w:rsidRDefault="00FB3BFB">
      <w:pPr>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 xml:space="preserve">MARTINS, Flávio. </w:t>
      </w:r>
      <w:r w:rsidRPr="000B79B9">
        <w:rPr>
          <w:rFonts w:ascii="Times New Roman" w:eastAsia="Arial" w:hAnsi="Times New Roman" w:cs="Times New Roman"/>
          <w:b/>
          <w:sz w:val="24"/>
          <w:szCs w:val="24"/>
        </w:rPr>
        <w:t xml:space="preserve">Curso de direito constitucional. </w:t>
      </w:r>
      <w:r w:rsidRPr="000B79B9">
        <w:rPr>
          <w:rFonts w:ascii="Times New Roman" w:eastAsia="Arial" w:hAnsi="Times New Roman" w:cs="Times New Roman"/>
          <w:sz w:val="24"/>
          <w:szCs w:val="24"/>
        </w:rPr>
        <w:t>5. ed. São Paulo: Saraivajur, 2021.</w:t>
      </w:r>
    </w:p>
    <w:p w:rsidR="00B846C4" w:rsidRPr="000B79B9" w:rsidRDefault="00B846C4">
      <w:pPr>
        <w:jc w:val="both"/>
        <w:rPr>
          <w:rFonts w:ascii="Times New Roman" w:eastAsia="Arial" w:hAnsi="Times New Roman" w:cs="Times New Roman"/>
          <w:sz w:val="24"/>
          <w:szCs w:val="24"/>
        </w:rPr>
      </w:pPr>
    </w:p>
    <w:p w:rsidR="00FB3BFB" w:rsidRPr="000B79B9" w:rsidRDefault="00FB3BFB">
      <w:pPr>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 xml:space="preserve">MAYER-SCHÖNBERGER, Viktor. </w:t>
      </w:r>
      <w:r w:rsidRPr="000B79B9">
        <w:rPr>
          <w:rFonts w:ascii="Times New Roman" w:eastAsia="Arial" w:hAnsi="Times New Roman" w:cs="Times New Roman"/>
          <w:b/>
          <w:sz w:val="24"/>
          <w:szCs w:val="24"/>
        </w:rPr>
        <w:t>Delete: The Virtue of forgetting in the digital age</w:t>
      </w:r>
      <w:r w:rsidRPr="000B79B9">
        <w:rPr>
          <w:rFonts w:ascii="Times New Roman" w:eastAsia="Arial" w:hAnsi="Times New Roman" w:cs="Times New Roman"/>
          <w:sz w:val="24"/>
          <w:szCs w:val="24"/>
        </w:rPr>
        <w:t>. Princeton: Princeton University Press, 2009, p. 1.</w:t>
      </w:r>
    </w:p>
    <w:p w:rsidR="00B846C4" w:rsidRPr="000B79B9" w:rsidRDefault="00B846C4">
      <w:pPr>
        <w:jc w:val="both"/>
        <w:rPr>
          <w:rFonts w:ascii="Times New Roman" w:eastAsia="Arial" w:hAnsi="Times New Roman" w:cs="Times New Roman"/>
          <w:sz w:val="24"/>
          <w:szCs w:val="24"/>
        </w:rPr>
      </w:pPr>
    </w:p>
    <w:p w:rsidR="00FB3BFB" w:rsidRPr="000B79B9" w:rsidRDefault="00FB3BFB">
      <w:pPr>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 xml:space="preserve">OST, François. </w:t>
      </w:r>
      <w:r w:rsidRPr="000B79B9">
        <w:rPr>
          <w:rFonts w:ascii="Times New Roman" w:eastAsia="Arial" w:hAnsi="Times New Roman" w:cs="Times New Roman"/>
          <w:b/>
          <w:sz w:val="24"/>
          <w:szCs w:val="24"/>
        </w:rPr>
        <w:t>O Tempo do direito</w:t>
      </w:r>
      <w:r w:rsidRPr="000B79B9">
        <w:rPr>
          <w:rFonts w:ascii="Times New Roman" w:eastAsia="Arial" w:hAnsi="Times New Roman" w:cs="Times New Roman"/>
          <w:sz w:val="24"/>
          <w:szCs w:val="24"/>
        </w:rPr>
        <w:t>. Trad. Élcio Fernandes. Bauru: Edusc, 2005.  p. 16.</w:t>
      </w:r>
    </w:p>
    <w:p w:rsidR="00B846C4" w:rsidRPr="000B79B9" w:rsidRDefault="00B846C4">
      <w:pPr>
        <w:jc w:val="both"/>
        <w:rPr>
          <w:rFonts w:ascii="Times New Roman" w:eastAsia="Arial" w:hAnsi="Times New Roman" w:cs="Times New Roman"/>
          <w:sz w:val="24"/>
          <w:szCs w:val="24"/>
        </w:rPr>
      </w:pPr>
    </w:p>
    <w:p w:rsidR="00FB3BFB" w:rsidRPr="000B79B9" w:rsidRDefault="00FB3BFB">
      <w:pPr>
        <w:spacing w:after="8"/>
        <w:ind w:right="-15"/>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 xml:space="preserve">PINHEIRO, Patricia Peck. </w:t>
      </w:r>
      <w:r w:rsidRPr="000B79B9">
        <w:rPr>
          <w:rFonts w:ascii="Times New Roman" w:eastAsia="Arial" w:hAnsi="Times New Roman" w:cs="Times New Roman"/>
          <w:b/>
          <w:sz w:val="24"/>
          <w:szCs w:val="24"/>
        </w:rPr>
        <w:t>Nova Lei brasileira de proteção de dados pessoais (LGPD) e o impacto nas instituições públicas e privadas</w:t>
      </w:r>
      <w:r w:rsidRPr="000B79B9">
        <w:rPr>
          <w:rFonts w:ascii="Times New Roman" w:eastAsia="Arial" w:hAnsi="Times New Roman" w:cs="Times New Roman"/>
          <w:sz w:val="24"/>
          <w:szCs w:val="24"/>
        </w:rPr>
        <w:t>. Revista eletrônica [do] Tribunal Regional do Trabalho da 9ª Região, Curitiba, v. 10, n. 97, p. 75-87, mar. 2021.</w:t>
      </w:r>
    </w:p>
    <w:p w:rsidR="00B846C4" w:rsidRPr="000B79B9" w:rsidRDefault="00B846C4">
      <w:pPr>
        <w:spacing w:after="8"/>
        <w:ind w:right="-15"/>
        <w:jc w:val="both"/>
        <w:rPr>
          <w:rFonts w:ascii="Times New Roman" w:eastAsia="Arial" w:hAnsi="Times New Roman" w:cs="Times New Roman"/>
          <w:sz w:val="24"/>
          <w:szCs w:val="24"/>
        </w:rPr>
      </w:pPr>
    </w:p>
    <w:p w:rsidR="00FB3BFB" w:rsidRPr="000B79B9" w:rsidRDefault="00FB3BFB">
      <w:pPr>
        <w:spacing w:after="8"/>
        <w:ind w:right="-15"/>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 xml:space="preserve">SARLET, Ingo Wolfgang; FERREIRA NETO, Arthur M. </w:t>
      </w:r>
      <w:r w:rsidRPr="000B79B9">
        <w:rPr>
          <w:rFonts w:ascii="Times New Roman" w:eastAsia="Arial" w:hAnsi="Times New Roman" w:cs="Times New Roman"/>
          <w:b/>
          <w:sz w:val="24"/>
          <w:szCs w:val="24"/>
        </w:rPr>
        <w:t>O direito ao “esquecimento” na sociedade da informação</w:t>
      </w:r>
      <w:r w:rsidRPr="000B79B9">
        <w:rPr>
          <w:rFonts w:ascii="Times New Roman" w:eastAsia="Arial" w:hAnsi="Times New Roman" w:cs="Times New Roman"/>
          <w:sz w:val="24"/>
          <w:szCs w:val="24"/>
        </w:rPr>
        <w:t>. Porto Alegre: Livraria do Advogado, 2019. p. 209.</w:t>
      </w:r>
    </w:p>
    <w:p w:rsidR="00B846C4" w:rsidRPr="000B79B9" w:rsidRDefault="00B846C4">
      <w:pPr>
        <w:spacing w:after="8"/>
        <w:ind w:right="-15"/>
        <w:jc w:val="both"/>
        <w:rPr>
          <w:rFonts w:ascii="Times New Roman" w:eastAsia="Arial" w:hAnsi="Times New Roman" w:cs="Times New Roman"/>
          <w:sz w:val="24"/>
          <w:szCs w:val="24"/>
        </w:rPr>
      </w:pPr>
    </w:p>
    <w:p w:rsidR="00FB3BFB" w:rsidRPr="000B79B9" w:rsidRDefault="00FB3BFB">
      <w:pPr>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 xml:space="preserve">SCHREIBER, Anderson. </w:t>
      </w:r>
      <w:r w:rsidRPr="000B79B9">
        <w:rPr>
          <w:rFonts w:ascii="Times New Roman" w:eastAsia="Arial" w:hAnsi="Times New Roman" w:cs="Times New Roman"/>
          <w:b/>
          <w:sz w:val="24"/>
          <w:szCs w:val="24"/>
        </w:rPr>
        <w:t>Direitos da personalidade</w:t>
      </w:r>
      <w:r w:rsidRPr="000B79B9">
        <w:rPr>
          <w:rFonts w:ascii="Times New Roman" w:eastAsia="Arial" w:hAnsi="Times New Roman" w:cs="Times New Roman"/>
          <w:sz w:val="24"/>
          <w:szCs w:val="24"/>
        </w:rPr>
        <w:t>. São Paulo: Atlas, 2011.</w:t>
      </w:r>
    </w:p>
    <w:p w:rsidR="00B846C4" w:rsidRPr="000B79B9" w:rsidRDefault="00B846C4">
      <w:pPr>
        <w:jc w:val="both"/>
        <w:rPr>
          <w:rFonts w:ascii="Times New Roman" w:eastAsia="Arial" w:hAnsi="Times New Roman" w:cs="Times New Roman"/>
          <w:sz w:val="24"/>
          <w:szCs w:val="24"/>
        </w:rPr>
      </w:pPr>
    </w:p>
    <w:p w:rsidR="00FB3BFB" w:rsidRPr="000B79B9" w:rsidRDefault="00FB3BFB">
      <w:pPr>
        <w:spacing w:after="8"/>
        <w:ind w:right="-15"/>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 xml:space="preserve">SCHREIBER, Anderson. </w:t>
      </w:r>
      <w:r w:rsidRPr="000B79B9">
        <w:rPr>
          <w:rFonts w:ascii="Times New Roman" w:eastAsia="Arial" w:hAnsi="Times New Roman" w:cs="Times New Roman"/>
          <w:b/>
          <w:sz w:val="24"/>
          <w:szCs w:val="24"/>
        </w:rPr>
        <w:t>Manual de direito civil: contemporâneo</w:t>
      </w:r>
      <w:r w:rsidRPr="000B79B9">
        <w:rPr>
          <w:rFonts w:ascii="Times New Roman" w:eastAsia="Arial" w:hAnsi="Times New Roman" w:cs="Times New Roman"/>
          <w:sz w:val="24"/>
          <w:szCs w:val="24"/>
        </w:rPr>
        <w:t>. – 3. ed. – São Paulo: Saraiva Educação, 2020.</w:t>
      </w:r>
    </w:p>
    <w:p w:rsidR="00B846C4" w:rsidRPr="000B79B9" w:rsidRDefault="00B846C4">
      <w:pPr>
        <w:spacing w:after="8"/>
        <w:ind w:right="-15"/>
        <w:jc w:val="both"/>
        <w:rPr>
          <w:rFonts w:ascii="Times New Roman" w:eastAsia="Arial" w:hAnsi="Times New Roman" w:cs="Times New Roman"/>
          <w:sz w:val="24"/>
          <w:szCs w:val="24"/>
        </w:rPr>
      </w:pPr>
    </w:p>
    <w:p w:rsidR="00FB3BFB" w:rsidRPr="000B79B9" w:rsidRDefault="00FB3BFB">
      <w:pPr>
        <w:spacing w:after="8"/>
        <w:ind w:right="-15"/>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 xml:space="preserve">TAVARES, André Ramos. </w:t>
      </w:r>
      <w:r w:rsidRPr="000B79B9">
        <w:rPr>
          <w:rFonts w:ascii="Times New Roman" w:eastAsia="Arial" w:hAnsi="Times New Roman" w:cs="Times New Roman"/>
          <w:b/>
          <w:sz w:val="24"/>
          <w:szCs w:val="24"/>
        </w:rPr>
        <w:t>Curso de direito constitucional</w:t>
      </w:r>
      <w:r w:rsidRPr="000B79B9">
        <w:rPr>
          <w:rFonts w:ascii="Times New Roman" w:eastAsia="Arial" w:hAnsi="Times New Roman" w:cs="Times New Roman"/>
          <w:sz w:val="24"/>
          <w:szCs w:val="24"/>
        </w:rPr>
        <w:t>. São Paulo: Saraiva, 2012. TEIXEIRA, Tarcísio. Comércio Eletrônico - conforme o marco civil da internet e a regulamentação do e-commerce no Brasil. São Paulo: Saraiva, 2015.</w:t>
      </w:r>
    </w:p>
    <w:p w:rsidR="00B846C4" w:rsidRPr="000B79B9" w:rsidRDefault="00B846C4">
      <w:pPr>
        <w:spacing w:after="8"/>
        <w:ind w:right="-15"/>
        <w:jc w:val="both"/>
        <w:rPr>
          <w:rFonts w:ascii="Times New Roman" w:eastAsia="Arial" w:hAnsi="Times New Roman" w:cs="Times New Roman"/>
          <w:sz w:val="24"/>
          <w:szCs w:val="24"/>
        </w:rPr>
      </w:pPr>
    </w:p>
    <w:p w:rsidR="00FB3BFB" w:rsidRPr="000B79B9" w:rsidRDefault="00FB3BFB">
      <w:pPr>
        <w:spacing w:after="8"/>
        <w:ind w:right="-15"/>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 xml:space="preserve">TORRES, Érico Leandro Buzzi. </w:t>
      </w:r>
      <w:r w:rsidRPr="000B79B9">
        <w:rPr>
          <w:rFonts w:ascii="Times New Roman" w:eastAsia="Arial" w:hAnsi="Times New Roman" w:cs="Times New Roman"/>
          <w:b/>
          <w:sz w:val="24"/>
          <w:szCs w:val="24"/>
        </w:rPr>
        <w:t>O direito ao esquecimento e a lei geral de proteção de dados pessoais</w:t>
      </w:r>
      <w:r w:rsidRPr="000B79B9">
        <w:rPr>
          <w:rFonts w:ascii="Times New Roman" w:eastAsia="Arial" w:hAnsi="Times New Roman" w:cs="Times New Roman"/>
          <w:sz w:val="24"/>
          <w:szCs w:val="24"/>
        </w:rPr>
        <w:t>. Universidade Federal de Santa Catarina – UFSC. Centro de Ciências Jurídicas – ccj. Departamento de Direito – dir Florianópolis, 2019. Disponível em: &lt;https://repositorio.ufsc.br/handle/123456789/197775&gt;. Acessado em: 13 out. 2023.</w:t>
      </w:r>
    </w:p>
    <w:p w:rsidR="00B846C4" w:rsidRPr="000B79B9" w:rsidRDefault="00B846C4">
      <w:pPr>
        <w:spacing w:after="8"/>
        <w:ind w:right="-15"/>
        <w:jc w:val="both"/>
        <w:rPr>
          <w:rFonts w:ascii="Times New Roman" w:eastAsia="Arial" w:hAnsi="Times New Roman" w:cs="Times New Roman"/>
          <w:sz w:val="24"/>
          <w:szCs w:val="24"/>
        </w:rPr>
      </w:pPr>
    </w:p>
    <w:p w:rsidR="00FB3BFB" w:rsidRPr="000B79B9" w:rsidRDefault="00FB3BFB">
      <w:pPr>
        <w:spacing w:after="8"/>
        <w:ind w:right="-15"/>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UNIÃO EUROPEIA. Item 1 dos “Considerandos” do Regulamento (UE) 2016/679 do Parlamento Europeu e do Conselho de 27 de abril de 2016 relativo à proteção das pessoas singulares no que diz respeito ao tratamento de dados pessoais e à livre circulação desses dados e que revoga a Diretiva 95/46/CE. Disponível em &lt;https://eur-lex.europa.eu/legal-content/PT/TXT/PDF/?uri=CELEX:32016R0679&amp;from=PT&gt; Acesso em: 12 out. 2023.</w:t>
      </w:r>
    </w:p>
    <w:p w:rsidR="00B846C4" w:rsidRPr="000B79B9" w:rsidRDefault="00B846C4">
      <w:pPr>
        <w:spacing w:after="8"/>
        <w:ind w:right="-15"/>
        <w:jc w:val="both"/>
        <w:rPr>
          <w:rFonts w:ascii="Times New Roman" w:eastAsia="Arial" w:hAnsi="Times New Roman" w:cs="Times New Roman"/>
          <w:sz w:val="24"/>
          <w:szCs w:val="24"/>
        </w:rPr>
      </w:pPr>
    </w:p>
    <w:p w:rsidR="00196C6E" w:rsidRPr="000B79B9" w:rsidRDefault="00FB3BFB" w:rsidP="00BA5594">
      <w:pPr>
        <w:spacing w:after="8"/>
        <w:ind w:right="-15"/>
        <w:jc w:val="both"/>
        <w:rPr>
          <w:rFonts w:ascii="Times New Roman" w:eastAsia="Arial" w:hAnsi="Times New Roman" w:cs="Times New Roman"/>
          <w:sz w:val="24"/>
          <w:szCs w:val="24"/>
        </w:rPr>
      </w:pPr>
      <w:r w:rsidRPr="000B79B9">
        <w:rPr>
          <w:rFonts w:ascii="Times New Roman" w:eastAsia="Arial" w:hAnsi="Times New Roman" w:cs="Times New Roman"/>
          <w:sz w:val="24"/>
          <w:szCs w:val="24"/>
        </w:rPr>
        <w:t xml:space="preserve">VOSS, W. Gregory; CASTETS-RENARD, Céline Casters. </w:t>
      </w:r>
      <w:r w:rsidRPr="000B79B9">
        <w:rPr>
          <w:rFonts w:ascii="Times New Roman" w:eastAsia="Arial" w:hAnsi="Times New Roman" w:cs="Times New Roman"/>
          <w:b/>
          <w:sz w:val="24"/>
          <w:szCs w:val="24"/>
        </w:rPr>
        <w:t xml:space="preserve">Proposal for na international </w:t>
      </w:r>
      <w:r w:rsidRPr="000B79B9">
        <w:rPr>
          <w:rFonts w:ascii="Times New Roman" w:eastAsia="Arial" w:hAnsi="Times New Roman" w:cs="Times New Roman"/>
          <w:b/>
          <w:sz w:val="24"/>
          <w:szCs w:val="24"/>
        </w:rPr>
        <w:lastRenderedPageBreak/>
        <w:t>taxonomy on the various forms of the “Right to be Forgotten”: a study on the convergence of norms</w:t>
      </w:r>
      <w:r w:rsidRPr="000B79B9">
        <w:rPr>
          <w:rFonts w:ascii="Times New Roman" w:eastAsia="Arial" w:hAnsi="Times New Roman" w:cs="Times New Roman"/>
          <w:sz w:val="24"/>
          <w:szCs w:val="24"/>
        </w:rPr>
        <w:t>. Colo Tech L. J., v. 14, n. 2, p. 298, 23 maio 2016. Disponível em: https://ctlj.colorado.edu/wp-content/uploads/2016/06/v.3-final-Voss-and-Renard-5.24.16.pdf. Acesso em: 19 mar. 2023.</w:t>
      </w:r>
    </w:p>
    <w:sectPr w:rsidR="00196C6E" w:rsidRPr="000B79B9">
      <w:type w:val="continuous"/>
      <w:pgSz w:w="11907" w:h="16840"/>
      <w:pgMar w:top="1701"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1DAB" w:rsidRDefault="000F1DAB">
      <w:r>
        <w:separator/>
      </w:r>
    </w:p>
  </w:endnote>
  <w:endnote w:type="continuationSeparator" w:id="0">
    <w:p w:rsidR="000F1DAB" w:rsidRDefault="000F1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1DAB" w:rsidRDefault="000F1DAB">
      <w:r>
        <w:separator/>
      </w:r>
    </w:p>
  </w:footnote>
  <w:footnote w:type="continuationSeparator" w:id="0">
    <w:p w:rsidR="000F1DAB" w:rsidRDefault="000F1DAB">
      <w:r>
        <w:continuationSeparator/>
      </w:r>
    </w:p>
  </w:footnote>
  <w:footnote w:id="1">
    <w:p w:rsidR="00196C6E" w:rsidRDefault="00B15061">
      <w:pPr>
        <w:pBdr>
          <w:top w:val="nil"/>
          <w:left w:val="nil"/>
          <w:bottom w:val="nil"/>
          <w:right w:val="nil"/>
          <w:between w:val="nil"/>
        </w:pBdr>
        <w:jc w:val="both"/>
        <w:rPr>
          <w:color w:val="000000"/>
          <w:sz w:val="20"/>
          <w:szCs w:val="20"/>
        </w:rPr>
      </w:pPr>
      <w:r>
        <w:rPr>
          <w:vertAlign w:val="superscript"/>
        </w:rPr>
        <w:footnoteRef/>
      </w:r>
      <w:r>
        <w:rPr>
          <w:rFonts w:ascii="Arial" w:eastAsia="Arial" w:hAnsi="Arial" w:cs="Arial"/>
          <w:color w:val="000000"/>
          <w:sz w:val="24"/>
          <w:szCs w:val="24"/>
          <w:vertAlign w:val="superscript"/>
        </w:rPr>
        <w:t xml:space="preserve">* </w:t>
      </w:r>
      <w:r>
        <w:rPr>
          <w:color w:val="000000"/>
          <w:sz w:val="20"/>
          <w:szCs w:val="20"/>
        </w:rPr>
        <w:t>Graduanda do Curso Superior de bacharelado em Direito. E-mail: flaviatelesfernandescosta@gmail.com.</w:t>
      </w:r>
    </w:p>
    <w:p w:rsidR="00196C6E" w:rsidRDefault="00196C6E">
      <w:pPr>
        <w:pBdr>
          <w:top w:val="nil"/>
          <w:left w:val="nil"/>
          <w:bottom w:val="nil"/>
          <w:right w:val="nil"/>
          <w:between w:val="nil"/>
        </w:pBdr>
        <w:rPr>
          <w:color w:val="000000"/>
          <w:sz w:val="20"/>
          <w:szCs w:val="20"/>
        </w:rPr>
      </w:pPr>
    </w:p>
  </w:footnote>
  <w:footnote w:id="2">
    <w:p w:rsidR="00196C6E" w:rsidRDefault="00B15061">
      <w:pPr>
        <w:pBdr>
          <w:top w:val="nil"/>
          <w:left w:val="nil"/>
          <w:bottom w:val="nil"/>
          <w:right w:val="nil"/>
          <w:between w:val="nil"/>
        </w:pBdr>
        <w:jc w:val="both"/>
        <w:rPr>
          <w:color w:val="000000"/>
          <w:sz w:val="20"/>
          <w:szCs w:val="20"/>
        </w:rPr>
      </w:pPr>
      <w:r>
        <w:rPr>
          <w:vertAlign w:val="superscript"/>
        </w:rPr>
        <w:footnoteRef/>
      </w:r>
      <w:r>
        <w:rPr>
          <w:rFonts w:ascii="Arial" w:eastAsia="Arial" w:hAnsi="Arial" w:cs="Arial"/>
          <w:color w:val="000000"/>
          <w:sz w:val="24"/>
          <w:szCs w:val="24"/>
          <w:vertAlign w:val="superscript"/>
        </w:rPr>
        <w:t>**</w:t>
      </w:r>
      <w:r>
        <w:rPr>
          <w:color w:val="000000"/>
          <w:sz w:val="20"/>
          <w:szCs w:val="20"/>
        </w:rPr>
        <w:t xml:space="preserve"> Professor Orientador. Graduado pela Universidade Estadual da Paraíba, pós-graduado pela UNIPÊ, especialista em Direito Público pela Faculdade Estácio do Recife e Docente do Curso Superior de Bacharelado em Direito. E-mail: antoniopedronetto@gmail.com</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0966E6"/>
    <w:multiLevelType w:val="multilevel"/>
    <w:tmpl w:val="B240C6C6"/>
    <w:lvl w:ilvl="0">
      <w:start w:val="4"/>
      <w:numFmt w:val="decimal"/>
      <w:lvlText w:val="%1"/>
      <w:lvlJc w:val="left"/>
      <w:pPr>
        <w:ind w:left="480" w:hanging="360"/>
      </w:pPr>
    </w:lvl>
    <w:lvl w:ilvl="1">
      <w:start w:val="1"/>
      <w:numFmt w:val="lowerLetter"/>
      <w:lvlText w:val="%2."/>
      <w:lvlJc w:val="left"/>
      <w:pPr>
        <w:ind w:left="1200" w:hanging="360"/>
      </w:pPr>
    </w:lvl>
    <w:lvl w:ilvl="2">
      <w:start w:val="1"/>
      <w:numFmt w:val="lowerRoman"/>
      <w:lvlText w:val="%3."/>
      <w:lvlJc w:val="right"/>
      <w:pPr>
        <w:ind w:left="1920" w:hanging="180"/>
      </w:pPr>
    </w:lvl>
    <w:lvl w:ilvl="3">
      <w:start w:val="1"/>
      <w:numFmt w:val="decimal"/>
      <w:lvlText w:val="%4."/>
      <w:lvlJc w:val="left"/>
      <w:pPr>
        <w:ind w:left="2640" w:hanging="360"/>
      </w:pPr>
    </w:lvl>
    <w:lvl w:ilvl="4">
      <w:start w:val="1"/>
      <w:numFmt w:val="lowerLetter"/>
      <w:lvlText w:val="%5."/>
      <w:lvlJc w:val="left"/>
      <w:pPr>
        <w:ind w:left="3360" w:hanging="360"/>
      </w:pPr>
    </w:lvl>
    <w:lvl w:ilvl="5">
      <w:start w:val="1"/>
      <w:numFmt w:val="lowerRoman"/>
      <w:lvlText w:val="%6."/>
      <w:lvlJc w:val="right"/>
      <w:pPr>
        <w:ind w:left="4080" w:hanging="180"/>
      </w:pPr>
    </w:lvl>
    <w:lvl w:ilvl="6">
      <w:start w:val="1"/>
      <w:numFmt w:val="decimal"/>
      <w:lvlText w:val="%7."/>
      <w:lvlJc w:val="left"/>
      <w:pPr>
        <w:ind w:left="4800" w:hanging="360"/>
      </w:pPr>
    </w:lvl>
    <w:lvl w:ilvl="7">
      <w:start w:val="1"/>
      <w:numFmt w:val="lowerLetter"/>
      <w:lvlText w:val="%8."/>
      <w:lvlJc w:val="left"/>
      <w:pPr>
        <w:ind w:left="5520" w:hanging="360"/>
      </w:pPr>
    </w:lvl>
    <w:lvl w:ilvl="8">
      <w:start w:val="1"/>
      <w:numFmt w:val="lowerRoman"/>
      <w:lvlText w:val="%9."/>
      <w:lvlJc w:val="right"/>
      <w:pPr>
        <w:ind w:left="6240" w:hanging="180"/>
      </w:pPr>
    </w:lvl>
  </w:abstractNum>
  <w:abstractNum w:abstractNumId="1" w15:restartNumberingAfterBreak="0">
    <w:nsid w:val="4DD10EAC"/>
    <w:multiLevelType w:val="multilevel"/>
    <w:tmpl w:val="DB88AB3E"/>
    <w:lvl w:ilvl="0">
      <w:start w:val="1"/>
      <w:numFmt w:val="decimal"/>
      <w:lvlText w:val="%1"/>
      <w:lvlJc w:val="left"/>
      <w:pPr>
        <w:ind w:left="321" w:hanging="201"/>
      </w:pPr>
      <w:rPr>
        <w:rFonts w:ascii="Times New Roman" w:eastAsia="Arial" w:hAnsi="Times New Roman" w:cs="Times New Roman" w:hint="default"/>
        <w:b/>
        <w:sz w:val="24"/>
        <w:szCs w:val="24"/>
      </w:rPr>
    </w:lvl>
    <w:lvl w:ilvl="1">
      <w:numFmt w:val="bullet"/>
      <w:lvlText w:val="•"/>
      <w:lvlJc w:val="left"/>
      <w:pPr>
        <w:ind w:left="260" w:hanging="201"/>
      </w:pPr>
    </w:lvl>
    <w:lvl w:ilvl="2">
      <w:numFmt w:val="bullet"/>
      <w:lvlText w:val="•"/>
      <w:lvlJc w:val="left"/>
      <w:pPr>
        <w:ind w:left="320" w:hanging="201"/>
      </w:pPr>
    </w:lvl>
    <w:lvl w:ilvl="3">
      <w:numFmt w:val="bullet"/>
      <w:lvlText w:val="•"/>
      <w:lvlJc w:val="left"/>
      <w:pPr>
        <w:ind w:left="2380" w:hanging="201"/>
      </w:pPr>
    </w:lvl>
    <w:lvl w:ilvl="4">
      <w:numFmt w:val="bullet"/>
      <w:lvlText w:val="•"/>
      <w:lvlJc w:val="left"/>
      <w:pPr>
        <w:ind w:left="3368" w:hanging="201"/>
      </w:pPr>
    </w:lvl>
    <w:lvl w:ilvl="5">
      <w:numFmt w:val="bullet"/>
      <w:lvlText w:val="•"/>
      <w:lvlJc w:val="left"/>
      <w:pPr>
        <w:ind w:left="4357" w:hanging="201"/>
      </w:pPr>
    </w:lvl>
    <w:lvl w:ilvl="6">
      <w:numFmt w:val="bullet"/>
      <w:lvlText w:val="•"/>
      <w:lvlJc w:val="left"/>
      <w:pPr>
        <w:ind w:left="5345" w:hanging="201"/>
      </w:pPr>
    </w:lvl>
    <w:lvl w:ilvl="7">
      <w:numFmt w:val="bullet"/>
      <w:lvlText w:val="•"/>
      <w:lvlJc w:val="left"/>
      <w:pPr>
        <w:ind w:left="6334" w:hanging="201"/>
      </w:pPr>
    </w:lvl>
    <w:lvl w:ilvl="8">
      <w:numFmt w:val="bullet"/>
      <w:lvlText w:val="•"/>
      <w:lvlJc w:val="left"/>
      <w:pPr>
        <w:ind w:left="7322" w:hanging="201"/>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C6E"/>
    <w:rsid w:val="0004392C"/>
    <w:rsid w:val="00060487"/>
    <w:rsid w:val="0009581B"/>
    <w:rsid w:val="000B6669"/>
    <w:rsid w:val="000B79B9"/>
    <w:rsid w:val="000C2E26"/>
    <w:rsid w:val="000D1E27"/>
    <w:rsid w:val="000F1DAB"/>
    <w:rsid w:val="00113501"/>
    <w:rsid w:val="001139A3"/>
    <w:rsid w:val="001242F0"/>
    <w:rsid w:val="001477A7"/>
    <w:rsid w:val="00147BB8"/>
    <w:rsid w:val="00173C88"/>
    <w:rsid w:val="001957B5"/>
    <w:rsid w:val="00196C6E"/>
    <w:rsid w:val="001F4FF0"/>
    <w:rsid w:val="0030540D"/>
    <w:rsid w:val="00305FBA"/>
    <w:rsid w:val="003112B3"/>
    <w:rsid w:val="00371BA3"/>
    <w:rsid w:val="003B56C0"/>
    <w:rsid w:val="00422767"/>
    <w:rsid w:val="00443B82"/>
    <w:rsid w:val="00470F8E"/>
    <w:rsid w:val="00493373"/>
    <w:rsid w:val="004A39F2"/>
    <w:rsid w:val="004B2D76"/>
    <w:rsid w:val="004B52C0"/>
    <w:rsid w:val="00541D5C"/>
    <w:rsid w:val="00574F63"/>
    <w:rsid w:val="00590B63"/>
    <w:rsid w:val="005A0FEC"/>
    <w:rsid w:val="005C07CE"/>
    <w:rsid w:val="006002EB"/>
    <w:rsid w:val="00606491"/>
    <w:rsid w:val="0063106F"/>
    <w:rsid w:val="006668E3"/>
    <w:rsid w:val="00681D97"/>
    <w:rsid w:val="006A1087"/>
    <w:rsid w:val="006B5469"/>
    <w:rsid w:val="006D26DC"/>
    <w:rsid w:val="006E1C0B"/>
    <w:rsid w:val="006F712C"/>
    <w:rsid w:val="0070203A"/>
    <w:rsid w:val="00742DF6"/>
    <w:rsid w:val="00772E98"/>
    <w:rsid w:val="0078739D"/>
    <w:rsid w:val="007A118E"/>
    <w:rsid w:val="007D5085"/>
    <w:rsid w:val="007D6AD0"/>
    <w:rsid w:val="007E41B5"/>
    <w:rsid w:val="008D3E74"/>
    <w:rsid w:val="008D6164"/>
    <w:rsid w:val="008E63CB"/>
    <w:rsid w:val="00901B2D"/>
    <w:rsid w:val="00966A17"/>
    <w:rsid w:val="009758E0"/>
    <w:rsid w:val="009A2E68"/>
    <w:rsid w:val="009B7D4B"/>
    <w:rsid w:val="009C44C4"/>
    <w:rsid w:val="00A05916"/>
    <w:rsid w:val="00A73DA6"/>
    <w:rsid w:val="00AD24ED"/>
    <w:rsid w:val="00AD2F44"/>
    <w:rsid w:val="00B15061"/>
    <w:rsid w:val="00B75F12"/>
    <w:rsid w:val="00B846C4"/>
    <w:rsid w:val="00BA5594"/>
    <w:rsid w:val="00BC3531"/>
    <w:rsid w:val="00BD5E41"/>
    <w:rsid w:val="00BD72A5"/>
    <w:rsid w:val="00BF5E5F"/>
    <w:rsid w:val="00C444CA"/>
    <w:rsid w:val="00C53EB2"/>
    <w:rsid w:val="00C62492"/>
    <w:rsid w:val="00CA4C9C"/>
    <w:rsid w:val="00D21997"/>
    <w:rsid w:val="00D36A7D"/>
    <w:rsid w:val="00D76F49"/>
    <w:rsid w:val="00DB05F5"/>
    <w:rsid w:val="00DC6966"/>
    <w:rsid w:val="00DD6E69"/>
    <w:rsid w:val="00DF7B83"/>
    <w:rsid w:val="00E05B5F"/>
    <w:rsid w:val="00E07E99"/>
    <w:rsid w:val="00E3127E"/>
    <w:rsid w:val="00E81B74"/>
    <w:rsid w:val="00E946C2"/>
    <w:rsid w:val="00EB0EEC"/>
    <w:rsid w:val="00F046AD"/>
    <w:rsid w:val="00F144DE"/>
    <w:rsid w:val="00F15326"/>
    <w:rsid w:val="00F15BFD"/>
    <w:rsid w:val="00F21D62"/>
    <w:rsid w:val="00F22F3E"/>
    <w:rsid w:val="00F61E17"/>
    <w:rsid w:val="00FA0F67"/>
    <w:rsid w:val="00FB3BFB"/>
    <w:rsid w:val="00FB5A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2E6C7"/>
  <w15:docId w15:val="{75624C1C-FD97-445E-A093-6DA860CF2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MT" w:eastAsia="Arial MT" w:hAnsi="Arial MT" w:cs="Arial MT"/>
        <w:sz w:val="22"/>
        <w:szCs w:val="22"/>
        <w:lang w:val="pt-PT" w:eastAsia="pt-B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tulo1">
    <w:name w:val="heading 1"/>
    <w:basedOn w:val="Normal"/>
    <w:uiPriority w:val="1"/>
    <w:qFormat/>
    <w:pPr>
      <w:ind w:left="121"/>
      <w:outlineLvl w:val="0"/>
    </w:pPr>
    <w:rPr>
      <w:rFonts w:ascii="Arial" w:eastAsia="Arial" w:hAnsi="Arial" w:cs="Arial"/>
      <w:b/>
      <w:bCs/>
      <w:sz w:val="24"/>
      <w:szCs w:val="24"/>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121" w:hanging="201"/>
    </w:pPr>
    <w:rPr>
      <w:rFonts w:ascii="Arial" w:eastAsia="Arial" w:hAnsi="Arial" w:cs="Arial"/>
    </w:rPr>
  </w:style>
  <w:style w:type="paragraph" w:customStyle="1" w:styleId="TableParagraph">
    <w:name w:val="Table Paragraph"/>
    <w:basedOn w:val="Normal"/>
    <w:uiPriority w:val="1"/>
    <w:qFormat/>
  </w:style>
  <w:style w:type="paragraph" w:customStyle="1" w:styleId="Padro">
    <w:name w:val="Padrão"/>
    <w:rsid w:val="0032547F"/>
    <w:pPr>
      <w:widowControl/>
      <w:tabs>
        <w:tab w:val="left" w:pos="708"/>
      </w:tabs>
      <w:suppressAutoHyphens/>
      <w:spacing w:after="200" w:line="276" w:lineRule="auto"/>
    </w:pPr>
    <w:rPr>
      <w:rFonts w:ascii="Calibri" w:eastAsia="Calibri" w:hAnsi="Calibri" w:cs="Times New Roman"/>
    </w:rPr>
  </w:style>
  <w:style w:type="character" w:customStyle="1" w:styleId="error">
    <w:name w:val="error"/>
    <w:basedOn w:val="Fontepargpadro"/>
    <w:rsid w:val="009E79C2"/>
  </w:style>
  <w:style w:type="character" w:customStyle="1" w:styleId="grammar">
    <w:name w:val="grammar"/>
    <w:basedOn w:val="Fontepargpadro"/>
    <w:rsid w:val="009E79C2"/>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Fontepargpadro"/>
    <w:uiPriority w:val="99"/>
    <w:unhideWhenUsed/>
    <w:rsid w:val="00D74934"/>
    <w:rPr>
      <w:color w:val="0000FF" w:themeColor="hyperlink"/>
      <w:u w:val="single"/>
    </w:rPr>
  </w:style>
  <w:style w:type="paragraph" w:customStyle="1" w:styleId="Default">
    <w:name w:val="Default"/>
    <w:rsid w:val="006219D2"/>
    <w:pPr>
      <w:widowControl/>
      <w:autoSpaceDE w:val="0"/>
      <w:autoSpaceDN w:val="0"/>
      <w:adjustRightInd w:val="0"/>
    </w:pPr>
    <w:rPr>
      <w:rFonts w:ascii="High Tower Text" w:hAnsi="High Tower Text" w:cs="High Tower Text"/>
      <w:color w:val="000000"/>
      <w:sz w:val="24"/>
      <w:szCs w:val="24"/>
    </w:rPr>
  </w:style>
  <w:style w:type="paragraph" w:styleId="Reviso">
    <w:name w:val="Revision"/>
    <w:hidden/>
    <w:uiPriority w:val="99"/>
    <w:semiHidden/>
    <w:rsid w:val="004C5339"/>
    <w:pPr>
      <w:widowControl/>
    </w:pPr>
  </w:style>
  <w:style w:type="paragraph" w:styleId="Textodenotaderodap">
    <w:name w:val="footnote text"/>
    <w:basedOn w:val="Normal"/>
    <w:link w:val="TextodenotaderodapChar"/>
    <w:uiPriority w:val="99"/>
    <w:semiHidden/>
    <w:unhideWhenUsed/>
    <w:rsid w:val="00795799"/>
    <w:rPr>
      <w:sz w:val="20"/>
      <w:szCs w:val="20"/>
    </w:rPr>
  </w:style>
  <w:style w:type="character" w:customStyle="1" w:styleId="TextodenotaderodapChar">
    <w:name w:val="Texto de nota de rodapé Char"/>
    <w:basedOn w:val="Fontepargpadro"/>
    <w:link w:val="Textodenotaderodap"/>
    <w:uiPriority w:val="99"/>
    <w:semiHidden/>
    <w:rsid w:val="00795799"/>
    <w:rPr>
      <w:sz w:val="20"/>
      <w:szCs w:val="20"/>
    </w:rPr>
  </w:style>
  <w:style w:type="character" w:styleId="Refdenotaderodap">
    <w:name w:val="footnote reference"/>
    <w:basedOn w:val="Fontepargpadro"/>
    <w:uiPriority w:val="99"/>
    <w:semiHidden/>
    <w:unhideWhenUsed/>
    <w:rsid w:val="007957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82436">
      <w:bodyDiv w:val="1"/>
      <w:marLeft w:val="0"/>
      <w:marRight w:val="0"/>
      <w:marTop w:val="0"/>
      <w:marBottom w:val="0"/>
      <w:divBdr>
        <w:top w:val="none" w:sz="0" w:space="0" w:color="auto"/>
        <w:left w:val="none" w:sz="0" w:space="0" w:color="auto"/>
        <w:bottom w:val="none" w:sz="0" w:space="0" w:color="auto"/>
        <w:right w:val="none" w:sz="0" w:space="0" w:color="auto"/>
      </w:divBdr>
      <w:divsChild>
        <w:div w:id="2031563352">
          <w:marLeft w:val="0"/>
          <w:marRight w:val="0"/>
          <w:marTop w:val="0"/>
          <w:marBottom w:val="0"/>
          <w:divBdr>
            <w:top w:val="none" w:sz="0" w:space="0" w:color="auto"/>
            <w:left w:val="none" w:sz="0" w:space="0" w:color="auto"/>
            <w:bottom w:val="none" w:sz="0" w:space="0" w:color="auto"/>
            <w:right w:val="none" w:sz="0" w:space="0" w:color="auto"/>
          </w:divBdr>
          <w:divsChild>
            <w:div w:id="140962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091604">
      <w:bodyDiv w:val="1"/>
      <w:marLeft w:val="0"/>
      <w:marRight w:val="0"/>
      <w:marTop w:val="0"/>
      <w:marBottom w:val="0"/>
      <w:divBdr>
        <w:top w:val="none" w:sz="0" w:space="0" w:color="auto"/>
        <w:left w:val="none" w:sz="0" w:space="0" w:color="auto"/>
        <w:bottom w:val="none" w:sz="0" w:space="0" w:color="auto"/>
        <w:right w:val="none" w:sz="0" w:space="0" w:color="auto"/>
      </w:divBdr>
      <w:divsChild>
        <w:div w:id="1427532288">
          <w:marLeft w:val="0"/>
          <w:marRight w:val="0"/>
          <w:marTop w:val="0"/>
          <w:marBottom w:val="0"/>
          <w:divBdr>
            <w:top w:val="none" w:sz="0" w:space="0" w:color="auto"/>
            <w:left w:val="none" w:sz="0" w:space="0" w:color="auto"/>
            <w:bottom w:val="none" w:sz="0" w:space="0" w:color="auto"/>
            <w:right w:val="none" w:sz="0" w:space="0" w:color="auto"/>
          </w:divBdr>
          <w:divsChild>
            <w:div w:id="804741859">
              <w:marLeft w:val="0"/>
              <w:marRight w:val="0"/>
              <w:marTop w:val="0"/>
              <w:marBottom w:val="0"/>
              <w:divBdr>
                <w:top w:val="none" w:sz="0" w:space="0" w:color="auto"/>
                <w:left w:val="none" w:sz="0" w:space="0" w:color="auto"/>
                <w:bottom w:val="none" w:sz="0" w:space="0" w:color="auto"/>
                <w:right w:val="none" w:sz="0" w:space="0" w:color="auto"/>
              </w:divBdr>
              <w:divsChild>
                <w:div w:id="703360072">
                  <w:marLeft w:val="0"/>
                  <w:marRight w:val="0"/>
                  <w:marTop w:val="0"/>
                  <w:marBottom w:val="0"/>
                  <w:divBdr>
                    <w:top w:val="none" w:sz="0" w:space="0" w:color="auto"/>
                    <w:left w:val="none" w:sz="0" w:space="0" w:color="auto"/>
                    <w:bottom w:val="none" w:sz="0" w:space="0" w:color="auto"/>
                    <w:right w:val="none" w:sz="0" w:space="0" w:color="auto"/>
                  </w:divBdr>
                  <w:divsChild>
                    <w:div w:id="68324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JmgLe5ZeldQGTiSeandxxtPzDg==">CgMxLjAyCWguMWZvYjl0ZTIJaC4zMGowemxsOAByITFOMTdPVDJzTmFqTmJMc2RsYVdGM09KdjFfdTZMZTVjMQ==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10129</Words>
  <Characters>54697</Characters>
  <Application>Microsoft Office Word</Application>
  <DocSecurity>0</DocSecurity>
  <Lines>455</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User;Flavia Teles</dc:creator>
  <cp:lastModifiedBy>User</cp:lastModifiedBy>
  <cp:revision>2</cp:revision>
  <dcterms:created xsi:type="dcterms:W3CDTF">2023-11-15T01:07:00Z</dcterms:created>
  <dcterms:modified xsi:type="dcterms:W3CDTF">2023-11-15T01:07:00Z</dcterms:modified>
</cp:coreProperties>
</file>