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shd w:fill="auto" w:val="clear"/>
        <w:tabs>
          <w:tab w:val="left" w:leader="none" w:pos="708"/>
        </w:tabs>
        <w:spacing w:after="0" w:before="0" w:line="360" w:lineRule="auto"/>
        <w:ind w:left="0" w:right="-568"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CESED - CENTRO DE ENSINO SUPERIOR E DESENVOLVIMENTO</w:t>
      </w:r>
    </w:p>
    <w:p w:rsidR="00000000" w:rsidDel="00000000" w:rsidP="00000000" w:rsidRDefault="00000000" w:rsidRPr="00000000" w14:paraId="00000002">
      <w:pPr>
        <w:keepNext w:val="0"/>
        <w:keepLines w:val="0"/>
        <w:pageBreakBefore w:val="0"/>
        <w:widowControl w:val="1"/>
        <w:shd w:fill="auto" w:val="clear"/>
        <w:tabs>
          <w:tab w:val="left" w:leader="none" w:pos="708"/>
        </w:tabs>
        <w:spacing w:after="0" w:before="0" w:line="360" w:lineRule="auto"/>
        <w:ind w:left="0" w:right="-568"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UNIFACISA – CENTRO UNIVERSITÁRIO </w:t>
      </w:r>
    </w:p>
    <w:p w:rsidR="00000000" w:rsidDel="00000000" w:rsidP="00000000" w:rsidRDefault="00000000" w:rsidRPr="00000000" w14:paraId="00000003">
      <w:pPr>
        <w:keepNext w:val="0"/>
        <w:keepLines w:val="0"/>
        <w:pageBreakBefore w:val="0"/>
        <w:widowControl w:val="1"/>
        <w:shd w:fill="auto" w:val="clear"/>
        <w:tabs>
          <w:tab w:val="left" w:leader="none" w:pos="708"/>
        </w:tabs>
        <w:spacing w:after="0" w:before="0" w:line="360" w:lineRule="auto"/>
        <w:ind w:left="0" w:right="-568"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CURSO DE DIREITO </w:t>
      </w:r>
      <w:r w:rsidDel="00000000" w:rsidR="00000000" w:rsidRPr="00000000">
        <w:rPr>
          <w:rtl w:val="0"/>
        </w:rPr>
      </w:r>
    </w:p>
    <w:p w:rsidR="00000000" w:rsidDel="00000000" w:rsidP="00000000" w:rsidRDefault="00000000" w:rsidRPr="00000000" w14:paraId="00000004">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shd w:fill="auto" w:val="clear"/>
        <w:tabs>
          <w:tab w:val="left" w:leader="none" w:pos="708"/>
        </w:tabs>
        <w:spacing w:after="0" w:before="0" w:line="36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PAULO NATANAEL BARRETO NORONHA</w:t>
      </w:r>
      <w:r w:rsidDel="00000000" w:rsidR="00000000" w:rsidRPr="00000000">
        <w:rPr>
          <w:rtl w:val="0"/>
        </w:rPr>
      </w:r>
    </w:p>
    <w:p w:rsidR="00000000" w:rsidDel="00000000" w:rsidP="00000000" w:rsidRDefault="00000000" w:rsidRPr="00000000" w14:paraId="00000007">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shd w:fill="auto" w:val="clear"/>
        <w:tabs>
          <w:tab w:val="left" w:leader="none" w:pos="708"/>
        </w:tabs>
        <w:spacing w:after="0" w:before="0" w:line="36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DIREITO PENAL DO INIMIGO: RELACIONAMENTO DO ESTADO BRASILEIRO COM IMIGRANTES</w:t>
      </w:r>
      <w:r w:rsidDel="00000000" w:rsidR="00000000" w:rsidRPr="00000000">
        <w:rPr>
          <w:rtl w:val="0"/>
        </w:rPr>
      </w:r>
    </w:p>
    <w:p w:rsidR="00000000" w:rsidDel="00000000" w:rsidP="00000000" w:rsidRDefault="00000000" w:rsidRPr="00000000" w14:paraId="0000000F">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shd w:fill="auto" w:val="clear"/>
        <w:tabs>
          <w:tab w:val="left" w:leader="none" w:pos="708"/>
        </w:tabs>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shd w:fill="auto" w:val="clear"/>
        <w:tabs>
          <w:tab w:val="left" w:leader="none" w:pos="708"/>
        </w:tabs>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shd w:fill="auto" w:val="clear"/>
        <w:tabs>
          <w:tab w:val="left" w:leader="none" w:pos="708"/>
        </w:tabs>
        <w:spacing w:after="0" w:before="0" w:line="36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shd w:fill="auto" w:val="clear"/>
        <w:tabs>
          <w:tab w:val="left" w:leader="none" w:pos="708"/>
        </w:tabs>
        <w:spacing w:after="0" w:before="0" w:line="36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shd w:fill="auto" w:val="clear"/>
        <w:tabs>
          <w:tab w:val="left" w:leader="none" w:pos="708"/>
        </w:tabs>
        <w:spacing w:after="0" w:before="0" w:line="36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shd w:fill="auto" w:val="clear"/>
        <w:tabs>
          <w:tab w:val="left" w:leader="none" w:pos="708"/>
        </w:tabs>
        <w:spacing w:after="0" w:before="0" w:line="36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shd w:fill="auto" w:val="clear"/>
        <w:tabs>
          <w:tab w:val="left" w:leader="none" w:pos="708"/>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CAMPINA GRANDE-PB</w:t>
      </w:r>
    </w:p>
    <w:p w:rsidR="00000000" w:rsidDel="00000000" w:rsidP="00000000" w:rsidRDefault="00000000" w:rsidRPr="00000000" w14:paraId="00000021">
      <w:pPr>
        <w:keepNext w:val="0"/>
        <w:keepLines w:val="0"/>
        <w:pageBreakBefore w:val="0"/>
        <w:widowControl w:val="1"/>
        <w:shd w:fill="auto" w:val="clear"/>
        <w:tabs>
          <w:tab w:val="left" w:leader="none" w:pos="708"/>
        </w:tabs>
        <w:spacing w:after="0" w:before="0" w:line="36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2023</w:t>
      </w:r>
      <w:r w:rsidDel="00000000" w:rsidR="00000000" w:rsidRPr="00000000">
        <w:rPr>
          <w:rtl w:val="0"/>
        </w:rPr>
      </w:r>
    </w:p>
    <w:p w:rsidR="00000000" w:rsidDel="00000000" w:rsidP="00000000" w:rsidRDefault="00000000" w:rsidRPr="00000000" w14:paraId="00000022">
      <w:pPr>
        <w:keepNext w:val="0"/>
        <w:keepLines w:val="0"/>
        <w:pageBreakBefore w:val="0"/>
        <w:widowControl w:val="1"/>
        <w:shd w:fill="auto" w:val="clear"/>
        <w:tabs>
          <w:tab w:val="left" w:leader="none" w:pos="699"/>
        </w:tabs>
        <w:spacing w:after="0" w:before="0" w:line="36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PAULO NATANAEL BARRETO NORONHA</w:t>
      </w:r>
    </w:p>
    <w:p w:rsidR="00000000" w:rsidDel="00000000" w:rsidP="00000000" w:rsidRDefault="00000000" w:rsidRPr="00000000" w14:paraId="00000023">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tabs>
          <w:tab w:val="left" w:leader="none" w:pos="708"/>
        </w:tabs>
        <w:spacing w:after="0" w:before="0" w:line="360" w:lineRule="auto"/>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DIREITO PENAL DO INIMIGO: RELACIONAMENTO DO ESTADO BRASILEIRO COM IMIGRANTES</w:t>
      </w:r>
      <w:r w:rsidDel="00000000" w:rsidR="00000000" w:rsidRPr="00000000">
        <w:rPr>
          <w:rtl w:val="0"/>
        </w:rPr>
      </w:r>
    </w:p>
    <w:p w:rsidR="00000000" w:rsidDel="00000000" w:rsidP="00000000" w:rsidRDefault="00000000" w:rsidRPr="00000000" w14:paraId="0000002A">
      <w:pPr>
        <w:keepNext w:val="0"/>
        <w:keepLines w:val="0"/>
        <w:pageBreakBefore w:val="0"/>
        <w:widowControl w:val="1"/>
        <w:shd w:fill="auto" w:val="clear"/>
        <w:tabs>
          <w:tab w:val="left" w:leader="none" w:pos="708"/>
        </w:tabs>
        <w:spacing w:after="0" w:before="0" w:line="36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shd w:fill="auto" w:val="clear"/>
        <w:tabs>
          <w:tab w:val="left" w:leader="none" w:pos="708"/>
        </w:tabs>
        <w:spacing w:after="0" w:before="0" w:line="36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shd w:fill="auto" w:val="clear"/>
        <w:tabs>
          <w:tab w:val="left" w:leader="none" w:pos="708"/>
        </w:tabs>
        <w:spacing w:after="0" w:before="0" w:line="360" w:lineRule="auto"/>
        <w:ind w:left="4536"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shd w:fill="auto" w:val="clear"/>
        <w:tabs>
          <w:tab w:val="left" w:leader="none" w:pos="708"/>
        </w:tabs>
        <w:spacing w:after="0" w:before="0" w:line="360" w:lineRule="auto"/>
        <w:ind w:left="4536"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shd w:fill="auto" w:val="clear"/>
        <w:tabs>
          <w:tab w:val="left" w:leader="none" w:pos="708"/>
        </w:tabs>
        <w:spacing w:after="0" w:before="0" w:line="360" w:lineRule="auto"/>
        <w:ind w:left="4536"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shd w:fill="auto" w:val="clear"/>
        <w:tabs>
          <w:tab w:val="left" w:leader="none" w:pos="708"/>
        </w:tabs>
        <w:spacing w:after="0" w:before="0" w:line="360" w:lineRule="auto"/>
        <w:ind w:left="4536"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shd w:fill="auto" w:val="clear"/>
        <w:tabs>
          <w:tab w:val="left" w:leader="none" w:pos="708"/>
        </w:tabs>
        <w:spacing w:after="0" w:before="0" w:line="360" w:lineRule="auto"/>
        <w:ind w:left="4536"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shd w:fill="auto" w:val="clear"/>
        <w:tabs>
          <w:tab w:val="left" w:leader="none" w:pos="708"/>
        </w:tabs>
        <w:spacing w:after="0" w:before="0" w:line="360" w:lineRule="auto"/>
        <w:ind w:left="4536"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shd w:fill="auto" w:val="clear"/>
        <w:tabs>
          <w:tab w:val="left" w:leader="none" w:pos="708"/>
        </w:tabs>
        <w:spacing w:after="0" w:before="0" w:line="360" w:lineRule="auto"/>
        <w:ind w:left="4536"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shd w:fill="auto" w:val="clear"/>
        <w:tabs>
          <w:tab w:val="left" w:leader="none" w:pos="708"/>
        </w:tabs>
        <w:spacing w:after="0" w:before="0" w:line="240" w:lineRule="auto"/>
        <w:ind w:left="4818"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apresentado como pré-requisito para obtenção do título de Bacharel em Direito pela UniFacisa – Centro Universitário.</w:t>
      </w:r>
    </w:p>
    <w:p w:rsidR="00000000" w:rsidDel="00000000" w:rsidP="00000000" w:rsidRDefault="00000000" w:rsidRPr="00000000" w14:paraId="00000034">
      <w:pPr>
        <w:keepNext w:val="0"/>
        <w:keepLines w:val="0"/>
        <w:pageBreakBefore w:val="0"/>
        <w:widowControl w:val="1"/>
        <w:shd w:fill="auto" w:val="clear"/>
        <w:tabs>
          <w:tab w:val="left" w:leader="none" w:pos="708"/>
        </w:tabs>
        <w:spacing w:after="0" w:before="0" w:line="240" w:lineRule="auto"/>
        <w:ind w:left="4818"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Área de Concentração: Direito Penal</w:t>
      </w:r>
      <w:r w:rsidDel="00000000" w:rsidR="00000000" w:rsidRPr="00000000">
        <w:rPr>
          <w:rtl w:val="0"/>
        </w:rPr>
      </w:r>
    </w:p>
    <w:p w:rsidR="00000000" w:rsidDel="00000000" w:rsidP="00000000" w:rsidRDefault="00000000" w:rsidRPr="00000000" w14:paraId="00000035">
      <w:pPr>
        <w:keepNext w:val="0"/>
        <w:keepLines w:val="0"/>
        <w:pageBreakBefore w:val="0"/>
        <w:widowControl w:val="1"/>
        <w:shd w:fill="auto" w:val="clear"/>
        <w:tabs>
          <w:tab w:val="left" w:leader="none" w:pos="708"/>
        </w:tabs>
        <w:spacing w:after="0" w:before="0" w:line="240" w:lineRule="auto"/>
        <w:ind w:left="4818"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Orientador: Professor da Uni</w:t>
      </w: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acisa, Antônio Gonçalves Ribeiro Junior.</w:t>
      </w:r>
    </w:p>
    <w:p w:rsidR="00000000" w:rsidDel="00000000" w:rsidP="00000000" w:rsidRDefault="00000000" w:rsidRPr="00000000" w14:paraId="00000036">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shd w:fill="auto" w:val="clear"/>
        <w:tabs>
          <w:tab w:val="left" w:leader="none" w:pos="708"/>
        </w:tabs>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shd w:fill="auto" w:val="clear"/>
        <w:tabs>
          <w:tab w:val="left" w:leader="none" w:pos="708"/>
        </w:tabs>
        <w:spacing w:after="0" w:before="0" w:line="36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CAMPINA GRANDE-PB</w:t>
      </w:r>
    </w:p>
    <w:p w:rsidR="00000000" w:rsidDel="00000000" w:rsidP="00000000" w:rsidRDefault="00000000" w:rsidRPr="00000000" w14:paraId="0000003F">
      <w:pPr>
        <w:keepNext w:val="0"/>
        <w:keepLines w:val="0"/>
        <w:pageBreakBefore w:val="0"/>
        <w:widowControl w:val="1"/>
        <w:shd w:fill="auto" w:val="clear"/>
        <w:tabs>
          <w:tab w:val="left" w:leader="none" w:pos="708"/>
        </w:tabs>
        <w:spacing w:after="0" w:before="0" w:line="36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2023</w:t>
      </w:r>
      <w:r w:rsidDel="00000000" w:rsidR="00000000" w:rsidRPr="00000000">
        <w:rPr>
          <w:rtl w:val="0"/>
        </w:rPr>
      </w:r>
    </w:p>
    <w:p w:rsidR="00000000" w:rsidDel="00000000" w:rsidP="00000000" w:rsidRDefault="00000000" w:rsidRPr="00000000" w14:paraId="0000004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line="360" w:lineRule="auto"/>
        <w:ind w:left="481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ind w:left="481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ind w:left="481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ind w:left="481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ind w:left="481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ind w:left="48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Direito Penal do Inimigo: Relacionamento do Estado Brasileiro com Imigrantes, apresentado por Paulo Natanael Barreto Noronha como parte dos requisitos para obtenção do título de Bacharel em Direito, outorgado pela UniFacisa – Centro Universitário.</w:t>
      </w:r>
    </w:p>
    <w:p w:rsidR="00000000" w:rsidDel="00000000" w:rsidP="00000000" w:rsidRDefault="00000000" w:rsidRPr="00000000" w14:paraId="00000048">
      <w:pPr>
        <w:spacing w:line="360" w:lineRule="auto"/>
        <w:ind w:left="48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APROVADO EM _______/______/______</w:t>
      </w:r>
    </w:p>
    <w:p w:rsidR="00000000" w:rsidDel="00000000" w:rsidP="00000000" w:rsidRDefault="00000000" w:rsidRPr="00000000" w14:paraId="00000049">
      <w:pPr>
        <w:spacing w:line="360" w:lineRule="auto"/>
        <w:ind w:left="48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BANCA EXAMINADORA: ___________________________________</w:t>
      </w:r>
    </w:p>
    <w:p w:rsidR="00000000" w:rsidDel="00000000" w:rsidP="00000000" w:rsidRDefault="00000000" w:rsidRPr="00000000" w14:paraId="0000004A">
      <w:pPr>
        <w:spacing w:line="360" w:lineRule="auto"/>
        <w:ind w:left="4818"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Prof.º da UniFacisa, Antônio Gonçalves Ribeiro Junior, Especialista.</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4B">
      <w:pPr>
        <w:spacing w:line="360" w:lineRule="auto"/>
        <w:ind w:left="48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w:t>
      </w:r>
    </w:p>
    <w:p w:rsidR="00000000" w:rsidDel="00000000" w:rsidP="00000000" w:rsidRDefault="00000000" w:rsidRPr="00000000" w14:paraId="0000004C">
      <w:pPr>
        <w:spacing w:line="360" w:lineRule="auto"/>
        <w:ind w:left="48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___________________________________Prof.º da UniFacisa, Nome Completo do Segundo Membro, Titulação. ___________________________________ Prof.º da UniFacisa, Nome Completo do Terceiro Membro, Titulação.</w:t>
      </w:r>
      <w:r w:rsidDel="00000000" w:rsidR="00000000" w:rsidRPr="00000000">
        <w:br w:type="page"/>
      </w:r>
      <w:r w:rsidDel="00000000" w:rsidR="00000000" w:rsidRPr="00000000">
        <w:rPr>
          <w:rtl w:val="0"/>
        </w:rPr>
      </w:r>
    </w:p>
    <w:p w:rsidR="00000000" w:rsidDel="00000000" w:rsidP="00000000" w:rsidRDefault="00000000" w:rsidRPr="00000000" w14:paraId="0000004D">
      <w:pPr>
        <w:tabs>
          <w:tab w:val="left" w:leader="none" w:pos="708"/>
        </w:tabs>
        <w:spacing w:after="0" w:before="0" w:line="360" w:lineRule="auto"/>
        <w:jc w:val="center"/>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DIREITO PENAL DO INIMIGO: RELACIONAMENTO DO ESTADO BRASILEIRO COM IMIGRANTES</w:t>
      </w:r>
      <w:r w:rsidDel="00000000" w:rsidR="00000000" w:rsidRPr="00000000">
        <w:rPr>
          <w:rtl w:val="0"/>
        </w:rPr>
      </w:r>
    </w:p>
    <w:p w:rsidR="00000000" w:rsidDel="00000000" w:rsidP="00000000" w:rsidRDefault="00000000" w:rsidRPr="00000000" w14:paraId="0000004E">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1"/>
        <w:shd w:fill="auto" w:val="clear"/>
        <w:tabs>
          <w:tab w:val="left" w:leader="none" w:pos="708"/>
        </w:tabs>
        <w:spacing w:after="0" w:before="0" w:line="360" w:lineRule="auto"/>
        <w:ind w:left="0" w:righ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Paulo Natanael Barreto Noronha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50">
      <w:pPr>
        <w:keepNext w:val="0"/>
        <w:keepLines w:val="0"/>
        <w:pageBreakBefore w:val="0"/>
        <w:widowControl w:val="1"/>
        <w:shd w:fill="auto" w:val="clear"/>
        <w:tabs>
          <w:tab w:val="left" w:leader="none" w:pos="708"/>
        </w:tabs>
        <w:spacing w:after="0" w:before="0" w:line="360" w:lineRule="auto"/>
        <w:ind w:left="0" w:righ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Antônio Gonçalves Ribeiro Junior</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51">
      <w:pPr>
        <w:keepNext w:val="0"/>
        <w:keepLines w:val="0"/>
        <w:pageBreakBefore w:val="0"/>
        <w:widowControl w:val="1"/>
        <w:shd w:fill="auto" w:val="clear"/>
        <w:tabs>
          <w:tab w:val="left" w:leader="none" w:pos="708"/>
        </w:tabs>
        <w:spacing w:after="0" w:before="0" w:line="360" w:lineRule="auto"/>
        <w:ind w:left="0" w:right="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shd w:fill="auto" w:val="clear"/>
        <w:tabs>
          <w:tab w:val="left" w:leader="none" w:pos="708"/>
        </w:tabs>
        <w:spacing w:after="0" w:before="0" w:line="36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53">
      <w:pPr>
        <w:keepNext w:val="0"/>
        <w:keepLines w:val="0"/>
        <w:pageBreakBefore w:val="0"/>
        <w:widowControl w:val="1"/>
        <w:shd w:fill="auto" w:val="clear"/>
        <w:tabs>
          <w:tab w:val="left" w:leader="none" w:pos="708"/>
        </w:tabs>
        <w:spacing w:after="0" w:before="0" w:line="36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tabs>
          <w:tab w:val="left" w:leader="none" w:pos="708"/>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artigo visa analisar a Teoria do Direito Penal do Inimigo, desenvolvida por Gunther Jakobs, com sua conceituação e implicações à luz do seu período de origem e seus reflexos atuais. Assim, será </w:t>
      </w:r>
      <w:r w:rsidDel="00000000" w:rsidR="00000000" w:rsidRPr="00000000">
        <w:rPr>
          <w:rFonts w:ascii="Times New Roman" w:cs="Times New Roman" w:eastAsia="Times New Roman" w:hAnsi="Times New Roman"/>
          <w:sz w:val="24"/>
          <w:szCs w:val="24"/>
          <w:rtl w:val="0"/>
        </w:rPr>
        <w:t xml:space="preserve">produzida uma releitura do papel do Estado na relação com os cidadãos e os limites de sua jurisdição punitiva e persecutória. Além disso, será demonstrado a inaplicação de um direito penal do autor no ordenamento pátrio por ausência de compatibilidade material com a Constituição Federal de 1988 e os tratados internacionais de direitos humanos adotados no Brasil após o contexto de guerras mundiais, e o resquício ideológico de teorias de um direito penal pré-seletivo na relação atual do Estado-pátrio com os estrangeiros. Este trabalho científico foi produzido em paralelo a um processo de leitura de artigos científicos, livros e leis, relacionando ciências jurídicas, filosofia e antropologia, objetivando confrontar os atos estatais materialmente adeptos à Teoria do Direito Penal do Inimigo, em relação aos estrangeiros, à compatibilidade normativa. Conclui-se, a partir dos materiais lidos, relacionando-os com o Estatuto do Estrangeiro, a Lei de Migração e outras leis, a presença de um sistema penal e administrativo seletivo, com inclusão de crimes próprios, característico da teoria desenvolvida pelo jurista alemão.</w:t>
      </w:r>
    </w:p>
    <w:p w:rsidR="00000000" w:rsidDel="00000000" w:rsidP="00000000" w:rsidRDefault="00000000" w:rsidRPr="00000000" w14:paraId="00000055">
      <w:pPr>
        <w:tabs>
          <w:tab w:val="left" w:leader="none" w:pos="708"/>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Palavras-Chave: Direito Penal; Direito do Inimigo; Aplicabilidade; Direitos Humanos.</w:t>
      </w:r>
    </w:p>
    <w:p w:rsidR="00000000" w:rsidDel="00000000" w:rsidP="00000000" w:rsidRDefault="00000000" w:rsidRPr="00000000" w14:paraId="00000056">
      <w:pPr>
        <w:tabs>
          <w:tab w:val="left" w:leader="none" w:pos="708"/>
        </w:tabs>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tabs>
          <w:tab w:val="left" w:leader="none" w:pos="708"/>
        </w:tabs>
        <w:spacing w:after="0"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58">
      <w:pPr>
        <w:tabs>
          <w:tab w:val="left" w:leader="none" w:pos="708"/>
        </w:tabs>
        <w:spacing w:after="0" w:before="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tabs>
          <w:tab w:val="left" w:leader="none" w:pos="708"/>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aims to analyze the Theory of Criminal Law of the Enemy, developed by Gunther Jakobs, with its conceptualization and implications in the light of its period of origin and its current reflections. Thus, a reinterpretation of the role of the State in its relationship with citizens and the limits of its punitive and prosecutorial jurisdiction will be produced. In addition, the inapplicability of an authorial criminal law in the national legal system will be demonstrated due to the lack of material compatibility with the 1988 Federal Constitution and the international human rights treaties adopted in Brazil after the context of world wars. There will also be an exploration of the ideological residue of pre-selective criminal law theories in the current relationship between the national state and foreigners. This scientific work was produced in parallel with a process of reading scientific articles, books, and laws, connecting legal sciences, philosophy, and anthropology, aiming to confront state acts materially adherent to the Theory of Criminal Law of the Enemy in relation to foreigners, regarding normative compatibility. It is concluded, based on the materials read and related to the Foreigners Statute, the Migration Law, and other laws, that there is a presence of a selective penal and administrative system, including crimes of its own, characteristic of the theory developed by the German jurist.</w:t>
      </w:r>
      <w:r w:rsidDel="00000000" w:rsidR="00000000" w:rsidRPr="00000000">
        <w:rPr>
          <w:rtl w:val="0"/>
        </w:rPr>
      </w:r>
    </w:p>
    <w:p w:rsidR="00000000" w:rsidDel="00000000" w:rsidP="00000000" w:rsidRDefault="00000000" w:rsidRPr="00000000" w14:paraId="0000005A">
      <w:pPr>
        <w:tabs>
          <w:tab w:val="left" w:leader="none" w:pos="708"/>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Criminal Law; Enemy Law; Applicability; Human Rights.</w:t>
      </w:r>
    </w:p>
    <w:p w:rsidR="00000000" w:rsidDel="00000000" w:rsidP="00000000" w:rsidRDefault="00000000" w:rsidRPr="00000000" w14:paraId="0000005B">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INTRODUÇÃO</w:t>
      </w:r>
    </w:p>
    <w:p w:rsidR="00000000" w:rsidDel="00000000" w:rsidP="00000000" w:rsidRDefault="00000000" w:rsidRPr="00000000" w14:paraId="0000005D">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violência, a criminalidade e a insegurança em geral são pautas atemporais e a tentativa de resolução permeia os poderes políticos e, ao final, não há uma melhoria latente. Discursos enfatizando a necessidade do aumento e asseveramento das leis penais ganham espaços na mídia e no ordenamento jurídico.</w:t>
      </w:r>
    </w:p>
    <w:p w:rsidR="00000000" w:rsidDel="00000000" w:rsidP="00000000" w:rsidRDefault="00000000" w:rsidRPr="00000000" w14:paraId="0000005F">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direito penal passa por pequenas mutações ao longo do tempo, no setor acadêmico e político, objetivando a garantia da segurança e harmonia social. Nisso, a análise do papel do Estado, desde os clássicos escritos aos mais atuais, se torna fundamental. O processo mutacional deve obedecer alguns limites e finalidades, a fim de evitar arbitrariedades e atos inconsequentes. </w:t>
      </w:r>
    </w:p>
    <w:p w:rsidR="00000000" w:rsidDel="00000000" w:rsidP="00000000" w:rsidRDefault="00000000" w:rsidRPr="00000000" w14:paraId="00000060">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freio do poder punitivo mais significativo é a baliza dos direitos humanos, já incluídas nos princípios máximos do direito penal brasileiro, objetivando que o processo penal e a execução penal não possuam a característica de vingança.</w:t>
      </w:r>
    </w:p>
    <w:p w:rsidR="00000000" w:rsidDel="00000000" w:rsidP="00000000" w:rsidRDefault="00000000" w:rsidRPr="00000000" w14:paraId="00000061">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Encontrar o equilíbrio do direito punitivo do Estado e dos direitos humanos não é uma tarefa fácil, e constantemente há choques nessa tentativa. Juristas reconhecidos buscam encontrar a forma mais efetiva para essa relação funcionar, uns entendem necessário maior rigor penal para a vida social se tornar mais segura, outros entendem necessário o abrandamento das leis penais devido sua ineficácia.</w:t>
      </w:r>
    </w:p>
    <w:p w:rsidR="00000000" w:rsidDel="00000000" w:rsidP="00000000" w:rsidRDefault="00000000" w:rsidRPr="00000000" w14:paraId="00000062">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Gunther Jakobs, jurista alemão, desenvolve a teoria do direito penal do inimigo, como forma de prevenir a generalização da criminalidade, na qual o direito penal seleciona, no autor, a figura de inimigo, fonte de perigo para os bens protegidos pelo Estado. Assim, ao colher as características dos inimigos, as garantias do direito penal se flexibilizam para punir estes autores conhecidos desde antes da própria conduta criminosa.</w:t>
      </w:r>
    </w:p>
    <w:p w:rsidR="00000000" w:rsidDel="00000000" w:rsidP="00000000" w:rsidRDefault="00000000" w:rsidRPr="00000000" w14:paraId="00000063">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Nesse sentido, o inimigo é excluído da ideia de ser humano, garantidor de direitos intrínsecos a tal natureza, e passam a ser seres diversos e inferiores. Com a desconsideração da sua personalidade natural, a aplicação de condutas desumanas se torna legítima.</w:t>
      </w:r>
    </w:p>
    <w:p w:rsidR="00000000" w:rsidDel="00000000" w:rsidP="00000000" w:rsidRDefault="00000000" w:rsidRPr="00000000" w14:paraId="00000064">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figura do inimigo pode variar de acordo com a realidade social, principalmente em momentos de crises. Durante os períodos envolvendo, por exemplo, as guerras mundiais, o imigrante se tornou alvo, e, consequentemente, cultura, religião, etnia, e outras características. Políticas voltadas a restringir o acesso dos imigrantes ganham espaço nos ordenamentos jurídicos em diversos países.</w:t>
      </w:r>
    </w:p>
    <w:p w:rsidR="00000000" w:rsidDel="00000000" w:rsidP="00000000" w:rsidRDefault="00000000" w:rsidRPr="00000000" w14:paraId="00000065">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Ocorre que, a partir da ascensão dos direitos humanos com políticas públicas voltadas ao tratamento isonômico entre todos os povos, o direito penal passa a não possuir mais compatibilidade formal e, principalmente, material com a teoria do direito penal do inimigo, ou semelhantes. Dessa forma, as ideologias contrárias à visão de isonomia, liberdade e fraternidade são revistas nos processos normativos. </w:t>
      </w:r>
    </w:p>
    <w:p w:rsidR="00000000" w:rsidDel="00000000" w:rsidP="00000000" w:rsidRDefault="00000000" w:rsidRPr="00000000" w14:paraId="00000066">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Mas, mesmo com políticas de valorização aos direitos humanos, é possível notar resquícios de inferiorização ao imigrante, adequando-o à figura do diferente, do estranho do indesejado. Países restritos a outros por desconfianças antigas, diante de períodos de guerras passados, preservam os bloqueios em suas fronteiras. As normas administrativas restritivas são altamente eficazes, e impedem a valorização da fraternidade, em contraposição aos direitos humanos.</w:t>
      </w:r>
    </w:p>
    <w:p w:rsidR="00000000" w:rsidDel="00000000" w:rsidP="00000000" w:rsidRDefault="00000000" w:rsidRPr="00000000" w14:paraId="00000067">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 outro lado, restrições são validadas sob a justificativa de proteger o país de influência negativa em determinadas áreas. Países com altos índices de criminalidade e pobreza são tidos como perigosos para o exercício de políticas locais, motivando, constantemente, leis e atos normativos mais severos.</w:t>
      </w:r>
    </w:p>
    <w:p w:rsidR="00000000" w:rsidDel="00000000" w:rsidP="00000000" w:rsidRDefault="00000000" w:rsidRPr="00000000" w14:paraId="00000068">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Brasil, por sua vez, não possui vasto histórico de conflitos diretos a outros países, mas após a Segunda Guerra, na fase da Guerra Fria, normas restritivas aos estrangeiros vigoraram no ordenamento pátrio. Gerando questionamentos acerca da política de segurança e da efetivação dos direitos humanos.</w:t>
      </w:r>
    </w:p>
    <w:p w:rsidR="00000000" w:rsidDel="00000000" w:rsidP="00000000" w:rsidRDefault="00000000" w:rsidRPr="00000000" w14:paraId="00000069">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Dessa forma, surge a necessidade de analisar como nascem o reconhecimento dos direitos humanos e sua importância na atualidade. Além disso, discutir a relação histórica entre os países e seus estrangeiros, e como essa relação se estende mesmo após a valorização dos direitos humanos.</w:t>
      </w:r>
    </w:p>
    <w:p w:rsidR="00000000" w:rsidDel="00000000" w:rsidP="00000000" w:rsidRDefault="00000000" w:rsidRPr="00000000" w14:paraId="0000006A">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color w:val="c9211e"/>
          <w:sz w:val="24"/>
          <w:szCs w:val="24"/>
        </w:rPr>
      </w:pPr>
      <w:r w:rsidDel="00000000" w:rsidR="00000000" w:rsidRPr="00000000">
        <w:rPr>
          <w:rFonts w:ascii="Times New Roman" w:cs="Times New Roman" w:eastAsia="Times New Roman" w:hAnsi="Times New Roman"/>
          <w:sz w:val="24"/>
          <w:szCs w:val="24"/>
          <w:rtl w:val="0"/>
        </w:rPr>
        <w:tab/>
        <w:t xml:space="preserve">A necessidade de entender políticas penais brasileiras direcionadas ao estrangeiro, mesmo o Brasil possuindo como base normativa os direitos humanos e um histórico de distanciamento com grandes guerras, resultou na presente temática.</w:t>
      </w:r>
      <w:r w:rsidDel="00000000" w:rsidR="00000000" w:rsidRPr="00000000">
        <w:rPr>
          <w:rtl w:val="0"/>
        </w:rPr>
      </w:r>
    </w:p>
    <w:p w:rsidR="00000000" w:rsidDel="00000000" w:rsidP="00000000" w:rsidRDefault="00000000" w:rsidRPr="00000000" w14:paraId="0000006B">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A CONSTRUÇÃO HISTÓRICA DO ESTADO E SUA RELAÇÃO COM O DIREITO PENAL</w:t>
      </w:r>
    </w:p>
    <w:p w:rsidR="00000000" w:rsidDel="00000000" w:rsidP="00000000" w:rsidRDefault="00000000" w:rsidRPr="00000000" w14:paraId="0000006D">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 história do Estado, como uma organização com a finalidade de regulamentar as relações humanas em sociedade, é objeto de estudo antigo, e possui diversos escritos de autores clássicos sobre a temática, sem perder o objeto central: explicar a relação lógica entre a sociedade – conjunto de indivíduos dotados de liberdade natural – e o Estado – “ser” com superioridade hierárquica fruto desta relação pactuada.</w:t>
      </w:r>
    </w:p>
    <w:p w:rsidR="00000000" w:rsidDel="00000000" w:rsidP="00000000" w:rsidRDefault="00000000" w:rsidRPr="00000000" w14:paraId="0000006F">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Para Jean-Jacques Rousseau (1999), o acordo só se tornou possível diante da fragilidade da vida e da própria liberdade apresentada pelo estado natural. A liberdade plena e sem limitações, sob o ponto de vista social, gerava a insegurança e a baderna. Diante da incerteza da vida e da impossibilidade de expectativa sobre o dia seguinte, os indivíduos livres entregaram parcelas de suas liberdades “ilimitadas” para a figura do Estado, e como contraprestação este ser garantiria a segurança coletiva. </w:t>
      </w:r>
    </w:p>
    <w:p w:rsidR="00000000" w:rsidDel="00000000" w:rsidP="00000000" w:rsidRDefault="00000000" w:rsidRPr="00000000" w14:paraId="00000070">
      <w:pPr>
        <w:keepNext w:val="0"/>
        <w:keepLines w:val="0"/>
        <w:pageBreakBefore w:val="0"/>
        <w:widowControl w:val="1"/>
        <w:shd w:fill="auto" w:val="clear"/>
        <w:tabs>
          <w:tab w:val="left" w:leader="none" w:pos="2259"/>
        </w:tabs>
        <w:spacing w:after="200" w:before="0" w:line="276" w:lineRule="auto"/>
        <w:ind w:left="2267"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“Cansados de só viver no meio de temores e de encontrar inimigos por toda parte, fatigados de uma liberdade que a incerteza de conservá-la tornava inútil, sacrificaram uma parte dela para gozar do restante com mais segurança. A soma de todas essas porções de liberdade, sacrificadas assim ao bem geral, formou a soberania na nação; e aquele que foi encarregado, pelas leis, do depósito das liberdades e dos cuidados da administração foi proclamado o soberano do povo” (</w:t>
      </w:r>
      <w:r w:rsidDel="00000000" w:rsidR="00000000" w:rsidRPr="00000000">
        <w:rPr>
          <w:rFonts w:ascii="Times New Roman" w:cs="Times New Roman" w:eastAsia="Times New Roman" w:hAnsi="Times New Roman"/>
          <w:sz w:val="20"/>
          <w:szCs w:val="20"/>
          <w:highlight w:val="white"/>
          <w:rtl w:val="0"/>
        </w:rPr>
        <w:t xml:space="preserve">BECCARIA, 2015, p. 23)</w:t>
      </w:r>
      <w:r w:rsidDel="00000000" w:rsidR="00000000" w:rsidRPr="00000000">
        <w:rPr>
          <w:rtl w:val="0"/>
        </w:rPr>
      </w:r>
    </w:p>
    <w:p w:rsidR="00000000" w:rsidDel="00000000" w:rsidP="00000000" w:rsidRDefault="00000000" w:rsidRPr="00000000" w14:paraId="00000071">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 manifestação da vontade do soberano, em regra, possui forma escrita, por intermédio de leis. Essa vontade, por meio das normas escritas, é reflexo da participação popular, na criação das leis, ou de apenas um indivíduo ou grupo com influência sobre os demais. </w:t>
      </w:r>
    </w:p>
    <w:p w:rsidR="00000000" w:rsidDel="00000000" w:rsidP="00000000" w:rsidRDefault="00000000" w:rsidRPr="00000000" w14:paraId="00000072">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forma como se comportam as normas refletirá no tipo de ordenamento jurídico, pois a relação das normas internas é resultado da relação do Estado (ordenamento jurídico) com seus súditos, como duas relações inseparáveis. Portanto, o Estado é mais democrático à medida em que oportuniza a maior participação da sociedade, e o Estado é mais autoritário à medida em que restringe o acesso e a participação do povo na elaboração de suas políticas.</w:t>
      </w:r>
    </w:p>
    <w:p w:rsidR="00000000" w:rsidDel="00000000" w:rsidP="00000000" w:rsidRDefault="00000000" w:rsidRPr="00000000" w14:paraId="00000073">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partir de observações históricas e estudos contínuos acerca do Estado, diversos filósofos e teóricos políticos buscaram um tipo de sistema ideal para limitar o poder arbitrário dos monarcas. </w:t>
      </w:r>
    </w:p>
    <w:p w:rsidR="00000000" w:rsidDel="00000000" w:rsidP="00000000" w:rsidRDefault="00000000" w:rsidRPr="00000000" w14:paraId="00000074">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ab/>
        <w:t xml:space="preserve">Durante o século XVIII, influenciado pelos escritos de Aristóteles, o filósofo francês Montesquieu desenvolveu o modelo da tripartição dos poderes, com cada um dos três poderes possuindo suas atividades específicas, individualizadas e independentes. Assim, a figura do monarca, executor de atividades como legislar, julgar e administrar em uma só figura, é descentralizada para três poderes distintos, com a criação normativa sendo a função primária do poder legislativo.</w:t>
      </w:r>
      <w:r w:rsidDel="00000000" w:rsidR="00000000" w:rsidRPr="00000000">
        <w:rPr>
          <w:rtl w:val="0"/>
        </w:rPr>
      </w:r>
    </w:p>
    <w:p w:rsidR="00000000" w:rsidDel="00000000" w:rsidP="00000000" w:rsidRDefault="00000000" w:rsidRPr="00000000" w14:paraId="00000075">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ab/>
        <w:t xml:space="preserve">As normas possuem grande importância para um Estado, e são percebidas pela visualização das relações sociais, sendo necessário ao ofício do legislador a capacidade de ser, antes de mais nada, um observador (CARNELUTTI, 2020, p. 22.). É a observância das leis naturais e das ciências diversas, decorrentes do estudo daquelas, a principal causa para a produção de leis eficientes.</w:t>
      </w:r>
      <w:r w:rsidDel="00000000" w:rsidR="00000000" w:rsidRPr="00000000">
        <w:rPr>
          <w:rtl w:val="0"/>
        </w:rPr>
      </w:r>
    </w:p>
    <w:p w:rsidR="00000000" w:rsidDel="00000000" w:rsidP="00000000" w:rsidRDefault="00000000" w:rsidRPr="00000000" w14:paraId="00000076">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 </w:t>
        <w:tab/>
        <w:t xml:space="preserve">A falta de sensibilidade do legislador resulta em períodos trágicos para a história de uma sociedade de determinado país. A produção de leis de direito público sem a observância dos problemas sociais corrobora para o caos. O aumento excessivo de carga tributária, multas de valores elevados no âmbito administrativo e, o pior, o “endurecimento” da legislação penal, são exemplos de atos públicos demonstrativos da falha de governança. </w:t>
        <w:tab/>
      </w:r>
      <w:r w:rsidDel="00000000" w:rsidR="00000000" w:rsidRPr="00000000">
        <w:rPr>
          <w:rtl w:val="0"/>
        </w:rPr>
      </w:r>
    </w:p>
    <w:p w:rsidR="00000000" w:rsidDel="00000000" w:rsidP="00000000" w:rsidRDefault="00000000" w:rsidRPr="00000000" w14:paraId="00000077">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8">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HISTORICIDADE DO DIREITO PENAL</w:t>
      </w:r>
    </w:p>
    <w:p w:rsidR="00000000" w:rsidDel="00000000" w:rsidP="00000000" w:rsidRDefault="00000000" w:rsidRPr="00000000" w14:paraId="00000079">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leis penais, de todas as normas, são as que mais necessitam de sensibilidade na sua elaboração, pois possuem sanções mais severas aos outros tipos de leis, diante da sua natureza de restrição à liberdade. Elas surgem para reprimir os “rebeldes”, ou seja, os indivíduos praticantes de atos conflituosos ao bom convívio social. </w:t>
      </w:r>
    </w:p>
    <w:p w:rsidR="00000000" w:rsidDel="00000000" w:rsidP="00000000" w:rsidRDefault="00000000" w:rsidRPr="00000000" w14:paraId="0000007B">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Ao receber poder-dever fruto do contrato social, o Estado exerce uma “vingança legítima”, como forma de responder aos transgressores dos direitos alheios, definidos pelo próprio legislador, como de grande relevância, como a vida, a liberdade, entre outros.</w:t>
      </w:r>
    </w:p>
    <w:p w:rsidR="00000000" w:rsidDel="00000000" w:rsidP="00000000" w:rsidRDefault="00000000" w:rsidRPr="00000000" w14:paraId="0000007C">
      <w:pPr>
        <w:keepNext w:val="0"/>
        <w:keepLines w:val="0"/>
        <w:pageBreakBefore w:val="0"/>
        <w:widowControl w:val="1"/>
        <w:shd w:fill="auto" w:val="clear"/>
        <w:tabs>
          <w:tab w:val="left" w:leader="none" w:pos="699"/>
        </w:tabs>
        <w:spacing w:after="20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 o passar do tempo, as penas para os “agressores” foram mudando de forma. Inicialmente a sanção penal possuía como característica principal a retribuição pelo mal causado, como no período da Idade Antiga com a Lei de Talião, apoiada sobre o princípio da reciprocidade total. Como exemplo, o Código de Hamurabi (aproximadamente 1700 a.C.) possuía normas penais em que vigorava o princípio da Lei de Talião, exercendo sanções idênticas ao dano causado pelo infrator: </w:t>
      </w:r>
    </w:p>
    <w:p w:rsidR="00000000" w:rsidDel="00000000" w:rsidP="00000000" w:rsidRDefault="00000000" w:rsidRPr="00000000" w14:paraId="0000007D">
      <w:pPr>
        <w:keepNext w:val="0"/>
        <w:keepLines w:val="0"/>
        <w:pageBreakBefore w:val="0"/>
        <w:widowControl w:val="1"/>
        <w:shd w:fill="auto" w:val="clear"/>
        <w:tabs>
          <w:tab w:val="left" w:leader="none" w:pos="2259"/>
        </w:tabs>
        <w:spacing w:after="0" w:before="0" w:line="276" w:lineRule="auto"/>
        <w:ind w:left="2267"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196º - Se alguém arranca o olho a um outro, se lhe deverá arrancar o olho. </w:t>
      </w:r>
    </w:p>
    <w:p w:rsidR="00000000" w:rsidDel="00000000" w:rsidP="00000000" w:rsidRDefault="00000000" w:rsidRPr="00000000" w14:paraId="0000007E">
      <w:pPr>
        <w:keepNext w:val="0"/>
        <w:keepLines w:val="0"/>
        <w:pageBreakBefore w:val="0"/>
        <w:widowControl w:val="1"/>
        <w:shd w:fill="auto" w:val="clear"/>
        <w:tabs>
          <w:tab w:val="left" w:leader="none" w:pos="2259"/>
        </w:tabs>
        <w:spacing w:after="0" w:before="0" w:line="276" w:lineRule="auto"/>
        <w:ind w:left="2267"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197º - Se ele quebra o osso a um outro, se lhe deverá quebrar o osso. </w:t>
      </w:r>
    </w:p>
    <w:p w:rsidR="00000000" w:rsidDel="00000000" w:rsidP="00000000" w:rsidRDefault="00000000" w:rsidRPr="00000000" w14:paraId="0000007F">
      <w:pPr>
        <w:keepNext w:val="0"/>
        <w:keepLines w:val="0"/>
        <w:pageBreakBefore w:val="0"/>
        <w:widowControl w:val="1"/>
        <w:shd w:fill="auto" w:val="clear"/>
        <w:tabs>
          <w:tab w:val="left" w:leader="none" w:pos="2259"/>
        </w:tabs>
        <w:spacing w:after="0" w:before="0" w:line="276" w:lineRule="auto"/>
        <w:ind w:left="2267"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200º - Se alguém parte os dentes de um outro, de igual condição, deverá ter partidos os seus dentes.</w:t>
      </w:r>
    </w:p>
    <w:p w:rsidR="00000000" w:rsidDel="00000000" w:rsidP="00000000" w:rsidRDefault="00000000" w:rsidRPr="00000000" w14:paraId="00000080">
      <w:pPr>
        <w:keepNext w:val="0"/>
        <w:keepLines w:val="0"/>
        <w:pageBreakBefore w:val="0"/>
        <w:widowControl w:val="1"/>
        <w:shd w:fill="auto" w:val="clear"/>
        <w:tabs>
          <w:tab w:val="left" w:leader="none" w:pos="2259"/>
        </w:tabs>
        <w:spacing w:after="0" w:before="0" w:line="276" w:lineRule="auto"/>
        <w:ind w:left="2267"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202º - Se alguém espancar outro mais elevado que ele, deverá ser espancado em público sessenta vezes, com o chicote de couro de boi. </w:t>
      </w:r>
    </w:p>
    <w:p w:rsidR="00000000" w:rsidDel="00000000" w:rsidP="00000000" w:rsidRDefault="00000000" w:rsidRPr="00000000" w14:paraId="00000081">
      <w:pPr>
        <w:keepNext w:val="0"/>
        <w:keepLines w:val="0"/>
        <w:pageBreakBefore w:val="0"/>
        <w:widowControl w:val="1"/>
        <w:shd w:fill="auto" w:val="clear"/>
        <w:tabs>
          <w:tab w:val="left" w:leader="none" w:pos="2259"/>
        </w:tabs>
        <w:spacing w:after="0" w:before="0" w:line="276" w:lineRule="auto"/>
        <w:ind w:left="2267"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210º - Se essa mulher morre, se deverá matar o filho dele. </w:t>
      </w:r>
    </w:p>
    <w:p w:rsidR="00000000" w:rsidDel="00000000" w:rsidP="00000000" w:rsidRDefault="00000000" w:rsidRPr="00000000" w14:paraId="00000082">
      <w:pPr>
        <w:keepNext w:val="0"/>
        <w:keepLines w:val="0"/>
        <w:pageBreakBefore w:val="0"/>
        <w:widowControl w:val="1"/>
        <w:shd w:fill="auto" w:val="clear"/>
        <w:tabs>
          <w:tab w:val="left" w:leader="none" w:pos="2259"/>
        </w:tabs>
        <w:spacing w:after="200" w:before="0" w:line="276" w:lineRule="auto"/>
        <w:ind w:left="2267"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(O Código de Hamurabi. DHNet, 1993). </w:t>
      </w:r>
      <w:r w:rsidDel="00000000" w:rsidR="00000000" w:rsidRPr="00000000">
        <w:rPr>
          <w:rtl w:val="0"/>
        </w:rPr>
      </w:r>
    </w:p>
    <w:p w:rsidR="00000000" w:rsidDel="00000000" w:rsidP="00000000" w:rsidRDefault="00000000" w:rsidRPr="00000000" w14:paraId="00000083">
      <w:pPr>
        <w:widowControl w:val="1"/>
        <w:shd w:fill="auto" w:val="clear"/>
        <w:tabs>
          <w:tab w:val="left" w:leader="none" w:pos="699"/>
        </w:tabs>
        <w:spacing w:after="20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Essa forma de sanção era resultado da influência da vingança privada e, por tratar-se de manifestação mais instintiva e menos racionalizada, gerava danos à própria coletividade.</w:t>
      </w:r>
    </w:p>
    <w:p w:rsidR="00000000" w:rsidDel="00000000" w:rsidP="00000000" w:rsidRDefault="00000000" w:rsidRPr="00000000" w14:paraId="00000084">
      <w:pPr>
        <w:keepNext w:val="0"/>
        <w:keepLines w:val="0"/>
        <w:pageBreakBefore w:val="0"/>
        <w:widowControl w:val="1"/>
        <w:shd w:fill="auto" w:val="clear"/>
        <w:tabs>
          <w:tab w:val="left" w:leader="none" w:pos="699"/>
        </w:tabs>
        <w:spacing w:after="200" w:before="0" w:line="276" w:lineRule="auto"/>
        <w:ind w:left="2267"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pena de Talião muitas vezes chegou a enfraquecer a tribo, pois, quando aplicada dentro do próprio grupo acabava por diminuir a força física de seus guerreiros em decorrência das mutilações provocadas, deixando a coletividade à mercê de bandos dominadores (UBIRAJARA, 2012, p.62).</w:t>
      </w:r>
    </w:p>
    <w:p w:rsidR="00000000" w:rsidDel="00000000" w:rsidP="00000000" w:rsidRDefault="00000000" w:rsidRPr="00000000" w14:paraId="00000085">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Além disso, durante muito tempo a igreja e o Estado se “misturavam”, e os escritos e os dogmas religiosos serviram como lei penal. A prática de crimes não violava apenas a coletividade, mas também as divindades das religiões dominantes, legitimando a punição por parte dos próprios sacerdotes, responsáveis pela aplicação das sanções aos infratores.</w:t>
      </w:r>
    </w:p>
    <w:p w:rsidR="00000000" w:rsidDel="00000000" w:rsidP="00000000" w:rsidRDefault="00000000" w:rsidRPr="00000000" w14:paraId="00000086">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 a posterior separação entre Estado e religião, o poder punitivo se torna propriedade exclusiva do “soberano”, e este era comumente representado pela figura do monarca. A figura do rei significava poder na sua integralidade, e durante muito tempo os reis não possuíam, no mesmo espaço de governança, outras autoridades para servir de contrapeso à concentração deste poder, e os abusos e atos discricionários eram consequências do modelo vigente à época. </w:t>
      </w:r>
    </w:p>
    <w:p w:rsidR="00000000" w:rsidDel="00000000" w:rsidP="00000000" w:rsidRDefault="00000000" w:rsidRPr="00000000" w14:paraId="00000087">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ausência de descentralização, através de outros poderes reguladores instituídos, gerou punições sem qualquer parâmetro de impessoalidade e isonomia. A utilização do poder público para benefício pessoal e/ou político foi, e ainda é, uma prática recorrente na história, inclusive com o uso do Direito Penal. </w:t>
      </w:r>
    </w:p>
    <w:p w:rsidR="00000000" w:rsidDel="00000000" w:rsidP="00000000" w:rsidRDefault="00000000" w:rsidRPr="00000000" w14:paraId="00000088">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caso das “Duas Rainhas”, envolvendo a rainha Elizabeth I, da Inglaterra, e a rainha Mary Stuart, da Escócia, a má distribuição do poder deu autonomia à rainha inglesa para executar a sua prima, através do poder estatal, por questões políticas e pessoais, sem sofrer consequências. Neste caso, a divisão de poderes era uma realidade, mas a influência de um sobre o outro constantemente impedia o livre exercício regular.</w:t>
      </w:r>
    </w:p>
    <w:p w:rsidR="00000000" w:rsidDel="00000000" w:rsidP="00000000" w:rsidRDefault="00000000" w:rsidRPr="00000000" w14:paraId="00000089">
      <w:pPr>
        <w:keepNext w:val="0"/>
        <w:keepLines w:val="0"/>
        <w:pageBreakBefore w:val="0"/>
        <w:widowControl w:val="1"/>
        <w:shd w:fill="auto" w:val="clear"/>
        <w:tabs>
          <w:tab w:val="left" w:leader="none" w:pos="704"/>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Importante destacar que o Direito Penal possui características diversas e cada local possui seu próprio regramento acerca da matéria, a depender da região, do povo e da história. Estados no mundo inteiro possuem eventos históricos de arbitrariedades de seus líderes, os quais usavam o aparato estatal para perseguir e torturar o seu povo e/ou Estados inimigos.</w:t>
      </w:r>
    </w:p>
    <w:p w:rsidR="00000000" w:rsidDel="00000000" w:rsidP="00000000" w:rsidRDefault="00000000" w:rsidRPr="00000000" w14:paraId="0000008A">
      <w:pPr>
        <w:keepNext w:val="0"/>
        <w:keepLines w:val="0"/>
        <w:pageBreakBefore w:val="0"/>
        <w:widowControl w:val="1"/>
        <w:shd w:fill="auto" w:val="clear"/>
        <w:tabs>
          <w:tab w:val="left" w:leader="none" w:pos="704"/>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Diante de eventos que assolaram o mundo, como a Primeira e a Segunda Guerra Mundial, a arbitrariedade precisava ser controlada, assim criou-se a necessidade de tutelar direitos relevantes, não mais para um povo específico, mas para a comunidade internacional como um todo. Os ideais segregacionistas de líderes autoritários precisavam ser contidos, e suas políticas internas deveriam respeitar os seres humanos, independente das suas diferenças pontuais. </w:t>
      </w:r>
    </w:p>
    <w:p w:rsidR="00000000" w:rsidDel="00000000" w:rsidP="00000000" w:rsidRDefault="00000000" w:rsidRPr="00000000" w14:paraId="0000008B">
      <w:pPr>
        <w:keepNext w:val="0"/>
        <w:keepLines w:val="0"/>
        <w:pageBreakBefore w:val="0"/>
        <w:widowControl w:val="1"/>
        <w:shd w:fill="auto" w:val="clear"/>
        <w:tabs>
          <w:tab w:val="left" w:leader="none" w:pos="704"/>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visão de Estados independentes com suas próprias normas de tratamento para o povo local passa a ser reavaliada, e, diante da necessidade de estabelecer novas políticas para o cenário mundial, progride para a visão de normas mais coletivas, embarcando a comunidade internacional. Gerando a seguinte pergunta: como aplicar uma norma externa, de direito público, aos Estados soberanos?</w:t>
      </w:r>
    </w:p>
    <w:p w:rsidR="00000000" w:rsidDel="00000000" w:rsidP="00000000" w:rsidRDefault="00000000" w:rsidRPr="00000000" w14:paraId="0000008C">
      <w:pPr>
        <w:keepNext w:val="0"/>
        <w:keepLines w:val="0"/>
        <w:pageBreakBefore w:val="0"/>
        <w:widowControl w:val="1"/>
        <w:shd w:fill="auto" w:val="clear"/>
        <w:tabs>
          <w:tab w:val="left" w:leader="none" w:pos="704"/>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única forma viável, respeitando princípios de direito internacional, é na concessão de parte da soberania de cada Estado-soberano em prol de um acordo coletivo, instituindo, ao final, uma jurisdição capaz de aplicar sanções aos Estados ou pessoas naturais infratores dos “direitos humanos”.</w:t>
      </w:r>
    </w:p>
    <w:p w:rsidR="00000000" w:rsidDel="00000000" w:rsidP="00000000" w:rsidRDefault="00000000" w:rsidRPr="00000000" w14:paraId="0000008D">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DIREITOS HUMANOS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Diante do reconhecimento da autonomia dos Estados-soberanos para adoção e aplicação das suas próprias normas, e para aplicação das sanções, as normas de direito internacional público necessitam de acordo bilateral, assim como a lógica do Contrato Social, desenvolvido por Rousseau, diferenciando-se pela figura de Estados, e não homens livres. Portanto, a atuação de órgãos autônomos só se torna possível com a ratificação do país ao acordo, sem ela a atuação confronta a soberania do Estado.</w:t>
      </w:r>
    </w:p>
    <w:p w:rsidR="00000000" w:rsidDel="00000000" w:rsidP="00000000" w:rsidRDefault="00000000" w:rsidRPr="00000000" w14:paraId="00000091">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O conteúdo dessas normas, os direitos humanos, ganha importância nos tratados a partir da análise histórica vivida pela comunidade internacional, e os Estados com adesão ideológica mais progressista iniciam uma forte política de valorização destes direitos. </w:t>
      </w:r>
    </w:p>
    <w:p w:rsidR="00000000" w:rsidDel="00000000" w:rsidP="00000000" w:rsidRDefault="00000000" w:rsidRPr="00000000" w14:paraId="00000092">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partir do pensamento kantiano, os direitos humanos se conceituam na seguinte construção lógica: o homem (sentido amplo) não deve ser tratado como meio, mas como fim em si mesmo, “Age de tal maneira que uses a humanidade, tanto na tua pessoa como na pessoa de qualquer outro, sempre e simultaneamente como fim e nunca simplesmente como meio” (KANT, 1992, p. 69).</w:t>
      </w:r>
    </w:p>
    <w:p w:rsidR="00000000" w:rsidDel="00000000" w:rsidP="00000000" w:rsidRDefault="00000000" w:rsidRPr="00000000" w14:paraId="00000093">
      <w:pPr>
        <w:tabs>
          <w:tab w:val="left" w:leader="none" w:pos="699"/>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Portanto, para Kant, o homem não pode ser um objeto para fim alheio, logo, as normas, e atos, devem iniciar pelo homem, para o homem, observando a dignidade do homem. O valor deste, então, deixa de ser, como na idade média, suas características genealógicas, financeiras e culturais, e passa a se resumir na sua condição de ser humano, invariável e intrínseca.</w:t>
      </w:r>
    </w:p>
    <w:p w:rsidR="00000000" w:rsidDel="00000000" w:rsidP="00000000" w:rsidRDefault="00000000" w:rsidRPr="00000000" w14:paraId="00000094">
      <w:pPr>
        <w:tabs>
          <w:tab w:val="left" w:leader="none" w:pos="699"/>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Porém, para efetivação do sistema jurídico internacional sobre direitos humanos, é necessário que a “última palavra” em sede de jurisdição seja de um órgão internacional. Logo, quando um caso em matéria de direitos humanos for decidido inicialmente pelo tribunal local (nacional) em contraposição à norma de direito internacional, a norma internacional e o tribunal internacional deverão dar a decisão definitiva sobre a matéria, com o reconhecimento da hierarquia sob a jurisdição nacional em caso de afronta aos direitos humanos. </w:t>
      </w:r>
    </w:p>
    <w:p w:rsidR="00000000" w:rsidDel="00000000" w:rsidP="00000000" w:rsidRDefault="00000000" w:rsidRPr="00000000" w14:paraId="00000095">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Nesse sentido, a partir do desenvolvimento da Organização das Nações Unidas (ONU) os direitos humanos são reconhecidos em maior grau de importância  e, três anos depois, a Declaração Universal dos Direitos Humanos (DUDH) é adotada, em 1948, com 30 artigos sobre garantias e liberdades fundamentais a serem asseguradas. </w:t>
      </w:r>
    </w:p>
    <w:p w:rsidR="00000000" w:rsidDel="00000000" w:rsidP="00000000" w:rsidRDefault="00000000" w:rsidRPr="00000000" w14:paraId="00000096">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banalização de direitos civis e políticos (como a vida, a liberdade, a igualdade, etc.) ganhou notoriedade ao ponto de serem reconhecidos no primeiro pacto coletivo (primeira geração de direitos humanos), resultando, inicialmente, na adesão de 48 países à DUDH. Com a multiplicação de políticas inclusivas e educativas na seara internacional, hoje há 193 países signatários da DUDH, ou seja, todos. </w:t>
      </w:r>
    </w:p>
    <w:p w:rsidR="00000000" w:rsidDel="00000000" w:rsidP="00000000" w:rsidRDefault="00000000" w:rsidRPr="00000000" w14:paraId="00000097">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Assim, políticas normativas com objetivo de segregar direitos, sob pretexto de dividir os seres humanos em grupos, uns com mais e outros com menos direitos, não possuem, no direito internacional, suporte legal, devendo, pessoas e Estados violadores, serem coibidos e os agentes omissivos responsabilizados.</w:t>
      </w:r>
    </w:p>
    <w:p w:rsidR="00000000" w:rsidDel="00000000" w:rsidP="00000000" w:rsidRDefault="00000000" w:rsidRPr="00000000" w14:paraId="00000098">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99">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O ESTRANGEIRO</w:t>
      </w:r>
    </w:p>
    <w:p w:rsidR="00000000" w:rsidDel="00000000" w:rsidP="00000000" w:rsidRDefault="00000000" w:rsidRPr="00000000" w14:paraId="0000009A">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9B">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má aplicação de políticas internas e externas a um determinado país coloca em risco toda a população local. Relações econômicas no mercado internacional variam de tempos em tempos, e, a depender dos laços políticos traçados pelos governantes, as crises financeiras surgem como um problema a ser enfrentado. Por consequência das crises, as ideologias extremistas ganham força e políticos autoritários se destacam com discursos de ódio.</w:t>
      </w:r>
    </w:p>
    <w:p w:rsidR="00000000" w:rsidDel="00000000" w:rsidP="00000000" w:rsidRDefault="00000000" w:rsidRPr="00000000" w14:paraId="0000009C">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ab/>
        <w:t xml:space="preserve">Como resposta, diversas pessoas migram para outros países, buscando proteção contra a pobreza, a fome e a insegurança, gerada, inclusive, por perseguição política daqueles contrários à nova política. Em decorrência disso, países mais conservadores direcionam políticas de prevenção ao imigrante.</w:t>
      </w:r>
      <w:r w:rsidDel="00000000" w:rsidR="00000000" w:rsidRPr="00000000">
        <w:rPr>
          <w:rtl w:val="0"/>
        </w:rPr>
      </w:r>
    </w:p>
    <w:p w:rsidR="00000000" w:rsidDel="00000000" w:rsidP="00000000" w:rsidRDefault="00000000" w:rsidRPr="00000000" w14:paraId="0000009D">
      <w:pPr>
        <w:tabs>
          <w:tab w:val="left" w:leader="none" w:pos="699"/>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diversidade cultural também pode ser motivo de intolerância por parte de alguns países. A diferença de costumes, ideologias e crenças em um país com políticas restritivas é motivo de desconfiança, e a rejeição às pessoas tidas como “estranhas”, por uma percepção de confronto à identidade nacional, é a caracterização da xenofobia. </w:t>
      </w:r>
    </w:p>
    <w:p w:rsidR="00000000" w:rsidDel="00000000" w:rsidP="00000000" w:rsidRDefault="00000000" w:rsidRPr="00000000" w14:paraId="0000009E">
      <w:pPr>
        <w:tabs>
          <w:tab w:val="left" w:leader="none" w:pos="699"/>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Além disso, os conflitos históricos entre o país de origem e o país de destino corroboram com ideais segreguistas e a</w:t>
      </w:r>
      <w:r w:rsidDel="00000000" w:rsidR="00000000" w:rsidRPr="00000000">
        <w:rPr>
          <w:rFonts w:ascii="Times New Roman" w:cs="Times New Roman" w:eastAsia="Times New Roman" w:hAnsi="Times New Roman"/>
          <w:sz w:val="24"/>
          <w:szCs w:val="24"/>
          <w:rtl w:val="0"/>
        </w:rPr>
        <w:t xml:space="preserve">s políticas de restrição à imigração até hoje estão presentes nas relações internacionais. </w:t>
      </w:r>
    </w:p>
    <w:p w:rsidR="00000000" w:rsidDel="00000000" w:rsidP="00000000" w:rsidRDefault="00000000" w:rsidRPr="00000000" w14:paraId="0000009F">
      <w:pPr>
        <w:tabs>
          <w:tab w:val="left" w:leader="none" w:pos="699"/>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Fronteiras entre países com conflitos possuem muros físicos e/ou barreiras geograficamente alteradas para bloquear ou dificultar a imigração. Porém, esses atos não se limitam apenas às normas de caráter administrativo, em casos particulares também são por normas penais, processo denominado de </w:t>
      </w:r>
      <w:r w:rsidDel="00000000" w:rsidR="00000000" w:rsidRPr="00000000">
        <w:rPr>
          <w:rFonts w:ascii="Times New Roman" w:cs="Times New Roman" w:eastAsia="Times New Roman" w:hAnsi="Times New Roman"/>
          <w:i w:val="1"/>
          <w:sz w:val="24"/>
          <w:szCs w:val="24"/>
          <w:rtl w:val="0"/>
        </w:rPr>
        <w:t xml:space="preserve">crimmigration </w:t>
      </w:r>
      <w:r w:rsidDel="00000000" w:rsidR="00000000" w:rsidRPr="00000000">
        <w:rPr>
          <w:rFonts w:ascii="Times New Roman" w:cs="Times New Roman" w:eastAsia="Times New Roman" w:hAnsi="Times New Roman"/>
          <w:sz w:val="24"/>
          <w:szCs w:val="24"/>
          <w:rtl w:val="0"/>
        </w:rPr>
        <w:t xml:space="preserve">(STUMPF, 2006), um processo de administrativização do direito penal.</w:t>
      </w:r>
    </w:p>
    <w:p w:rsidR="00000000" w:rsidDel="00000000" w:rsidP="00000000" w:rsidRDefault="00000000" w:rsidRPr="00000000" w14:paraId="000000A0">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O PAPEL DOS DIREITOS HUMANOS NA DEFESA DOS ESTRANGEIROS</w:t>
      </w:r>
    </w:p>
    <w:p w:rsidR="00000000" w:rsidDel="00000000" w:rsidP="00000000" w:rsidRDefault="00000000" w:rsidRPr="00000000" w14:paraId="000000A2">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fim de evitar a criminalização e de proteger os direitos fundamentais dos imigrantes, os direitos humanos passam a ser base para as legislações de países progressistas. A dignidade da pessoa humana se torna fundamental para todo exercício administrativo, legislativo e jurisdicional.</w:t>
      </w:r>
    </w:p>
    <w:p w:rsidR="00000000" w:rsidDel="00000000" w:rsidP="00000000" w:rsidRDefault="00000000" w:rsidRPr="00000000" w14:paraId="000000A4">
      <w:pPr>
        <w:keepNext w:val="0"/>
        <w:keepLines w:val="0"/>
        <w:pageBreakBefore w:val="0"/>
        <w:widowControl w:val="1"/>
        <w:shd w:fill="auto" w:val="clear"/>
        <w:tabs>
          <w:tab w:val="left" w:leader="none" w:pos="699"/>
        </w:tabs>
        <w:spacing w:after="0" w:before="0" w:line="360" w:lineRule="auto"/>
        <w:ind w:left="0" w:right="0" w:firstLine="0"/>
        <w:jc w:val="both"/>
        <w:rPr>
          <w:color w:val="c9211e"/>
        </w:rPr>
      </w:pPr>
      <w:r w:rsidDel="00000000" w:rsidR="00000000" w:rsidRPr="00000000">
        <w:rPr>
          <w:rFonts w:ascii="Times New Roman" w:cs="Times New Roman" w:eastAsia="Times New Roman" w:hAnsi="Times New Roman"/>
          <w:sz w:val="24"/>
          <w:szCs w:val="24"/>
          <w:rtl w:val="0"/>
        </w:rPr>
        <w:tab/>
        <w:t xml:space="preserve">Este princípio universal impõe o tratamento isonômico entre os seres humanos, valor intrínseco à condição humana, independente das diversidades sócio-culturais de cada povo. Portanto, a ideologia política, a nacionalidade, a religião, a orientação sexual ou outros, não podem restringir ou excluir direitos de um indivíduo, pelo seu caráter de inflexibilidade.</w:t>
      </w:r>
      <w:r w:rsidDel="00000000" w:rsidR="00000000" w:rsidRPr="00000000">
        <w:rPr>
          <w:rtl w:val="0"/>
        </w:rPr>
      </w:r>
    </w:p>
    <w:p w:rsidR="00000000" w:rsidDel="00000000" w:rsidP="00000000" w:rsidRDefault="00000000" w:rsidRPr="00000000" w14:paraId="000000A5">
      <w:pPr>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temática ganha profundidade a partir da visão kantiana. Em sua obra “</w:t>
      </w:r>
      <w:r w:rsidDel="00000000" w:rsidR="00000000" w:rsidRPr="00000000">
        <w:rPr>
          <w:rFonts w:ascii="Times New Roman" w:cs="Times New Roman" w:eastAsia="Times New Roman" w:hAnsi="Times New Roman"/>
          <w:color w:val="0f1111"/>
          <w:sz w:val="24"/>
          <w:szCs w:val="24"/>
          <w:highlight w:val="white"/>
          <w:rtl w:val="0"/>
        </w:rPr>
        <w:t xml:space="preserve">Zum ewigen Frieden” </w:t>
      </w:r>
      <w:r w:rsidDel="00000000" w:rsidR="00000000" w:rsidRPr="00000000">
        <w:rPr>
          <w:rFonts w:ascii="Times New Roman" w:cs="Times New Roman" w:eastAsia="Times New Roman" w:hAnsi="Times New Roman"/>
          <w:sz w:val="24"/>
          <w:szCs w:val="24"/>
          <w:rtl w:val="0"/>
        </w:rPr>
        <w:t xml:space="preserve">(1795), no português “Rumo à Paz Perpétua”, é abordada a necessidade exercício de políticas inclusivas, ao ponto de todos os povos serem considerados como “iguais”, progredindo para a universalização dos povos. </w:t>
      </w:r>
    </w:p>
    <w:p w:rsidR="00000000" w:rsidDel="00000000" w:rsidP="00000000" w:rsidRDefault="00000000" w:rsidRPr="00000000" w14:paraId="000000A6">
      <w:pPr>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 observância à cidadania, Dal Ri Júnior (2003, p. 79), cita “urge criar uma ordem ‘cosmopolita’ fundamentada na instituição de uma ‘cidadania cosmopolita’, fruto de uma globalização cultural e humana”.</w:t>
      </w:r>
    </w:p>
    <w:p w:rsidR="00000000" w:rsidDel="00000000" w:rsidP="00000000" w:rsidRDefault="00000000" w:rsidRPr="00000000" w14:paraId="000000A7">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Assim, a solidariedade se torna a base para as relações dos povos e as diferenças são minimizadas. De acordo com este princípio, a saúde da vida social é imposta, e as pessoas passariam a olhar para o outro não como um estranho e indigno, mas como um semelhante e, portanto, digno dos mesmos direitos. Essa relação de isonomia é tratada logo no preâmbulo da DUDH como “membros da família humana” (1948).</w:t>
      </w:r>
    </w:p>
    <w:p w:rsidR="00000000" w:rsidDel="00000000" w:rsidP="00000000" w:rsidRDefault="00000000" w:rsidRPr="00000000" w14:paraId="000000A8">
      <w:pPr>
        <w:tabs>
          <w:tab w:val="left" w:leader="none" w:pos="699"/>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Ocorre que nem sempre a percepção, na prática, é tão clara, e a diferença, por costumes, ideologias, aparências, em um país com políticas restritivas é motivo de alarde. Assim, os conflitos históricos entre o país imigrante e o país emigrante corroboram com ideais segreguistas, sendo, inclusive, formalizados em normas administrativas e, na pior das hipóteses, normas penais.</w:t>
      </w:r>
    </w:p>
    <w:p w:rsidR="00000000" w:rsidDel="00000000" w:rsidP="00000000" w:rsidRDefault="00000000" w:rsidRPr="00000000" w14:paraId="000000A9">
      <w:pPr>
        <w:tabs>
          <w:tab w:val="left" w:leader="none" w:pos="699"/>
        </w:tabs>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O DIREITO PENAL DO INIMIGO</w:t>
      </w:r>
    </w:p>
    <w:p w:rsidR="00000000" w:rsidDel="00000000" w:rsidP="00000000" w:rsidRDefault="00000000" w:rsidRPr="00000000" w14:paraId="000000AB">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necessidade de coibir práticas criminosas após diversos eventos trágicos e de repercussão, como o ocorrido em 11 de setembro de 2001, fez com que Günther Jakobs explorasse a temática de um direito penal específico para aqueles inimigos, afastados da relação social harmoniosa, “voltados” às práticas criminosas, como criminosos sexuais, terroristas e outros autores de crimes mais severos (JAKOBS, 2003, p. 47).</w:t>
      </w:r>
    </w:p>
    <w:p w:rsidR="00000000" w:rsidDel="00000000" w:rsidP="00000000" w:rsidRDefault="00000000" w:rsidRPr="00000000" w14:paraId="000000AD">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Inicialmente o autor tratava de maneira descritiva a Teoria do Direito Penal do Inimigo, como uma relação de ponto vista opcional pela figura do direito penal. Assim, desejando, o direito penal pode ser do cidadão ou do inimigo. </w:t>
      </w:r>
    </w:p>
    <w:p w:rsidR="00000000" w:rsidDel="00000000" w:rsidP="00000000" w:rsidRDefault="00000000" w:rsidRPr="00000000" w14:paraId="000000AE">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Caso o autor seja visto como cidadão, o direito penal só poderá intervir quando este manifestar perigo à sociedade e ao sistema normativo penal, legitimando a aplicação de uma sanção. Na visão oposta, caso visualizado o indivíduo como inimigo da sociedade e fonte de perigo para os outros membros da coletividade, independente de qualquer infração criminosa concreta, seria legítimo a aplicação de sanção penal. (JAKOBS, 1985, p.753).</w:t>
      </w:r>
    </w:p>
    <w:p w:rsidR="00000000" w:rsidDel="00000000" w:rsidP="00000000" w:rsidRDefault="00000000" w:rsidRPr="00000000" w14:paraId="000000AF">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estes inimigos não se é dado o mesmo tratamento que aos demais, podendo inclusive ser-lhes retirados direitos individuais e coletivos. Dessa forma, quem se conduz de modo desviado não oferece garantia de adequado comportamento pessoal. Por isso, não pode ser tratado como cidadão, deve ser combatido como inimigo. </w:t>
      </w:r>
    </w:p>
    <w:p w:rsidR="00000000" w:rsidDel="00000000" w:rsidP="00000000" w:rsidRDefault="00000000" w:rsidRPr="00000000" w14:paraId="000000B0">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ab/>
        <w:t xml:space="preserve">Essa guerra tem lugar com um legítimo direito dos cidadãos, seu direito à segurança; mas diferentemente da pena, não é direito também a respeito daquele que é apenado; ao contrário, o inimigo é excluído (JAKOBS, 2005, p.49).</w:t>
      </w:r>
      <w:r w:rsidDel="00000000" w:rsidR="00000000" w:rsidRPr="00000000">
        <w:rPr>
          <w:rtl w:val="0"/>
        </w:rPr>
      </w:r>
    </w:p>
    <w:p w:rsidR="00000000" w:rsidDel="00000000" w:rsidP="00000000" w:rsidRDefault="00000000" w:rsidRPr="00000000" w14:paraId="000000B1">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ano de 1985, em artigo publicado pela editora Walter de Gruyter, o autor alemão apresentou visão crítica ao mencionado Direito Penal do Inimigo, não possuindo legitimidade em um sistema jurídico normalizado, só sendo possível a aplicação em caráter de excepcionalidade. Além disso, pontuou o desejo pelo avanço do direito constitucional ao ponto da erradicação do direito penal do inimigo.</w:t>
      </w:r>
    </w:p>
    <w:p w:rsidR="00000000" w:rsidDel="00000000" w:rsidP="00000000" w:rsidRDefault="00000000" w:rsidRPr="00000000" w14:paraId="000000B2">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Ocorre que, aproximadamente duas décadas depois, a visão do autor torna-se totalmente contrária, em oposição direta à mencionada. O direito penal do autor deixa de ser ponto de, e apenas, crítica acadêmica, e passa a ser defendido na sua aplicabilidade prática. </w:t>
      </w:r>
    </w:p>
    <w:p w:rsidR="00000000" w:rsidDel="00000000" w:rsidP="00000000" w:rsidRDefault="00000000" w:rsidRPr="00000000" w14:paraId="000000B3">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Para os inimigos da sociedade, o Estado poderia usar de mais meios para a exclusão destes, inclusive com menos “freios” para a força punitiva, tornando-os como verdadeiros fuzis (CARNELUTTI, p.42, 2020) com letalidade máxima. O processo penal seria amplamente alterado, como acontece em períodos de guerra, no qual há relativização de direitos outrora respeitados, possibilitando o uso de provas ilícitas, como o uso de interceptações telefônicas ilegais e até mesmo torturas.</w:t>
      </w:r>
    </w:p>
    <w:p w:rsidR="00000000" w:rsidDel="00000000" w:rsidP="00000000" w:rsidRDefault="00000000" w:rsidRPr="00000000" w14:paraId="000000B4">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Hoje, com o progresso dos direitos humanos, vale salientar, de forma universal, a idealização baseada em normas penais e processuais penais específicas para determinados grupos selecionados como inimigos não possui respaldo, mas sua temática possui grande importância crítica.</w:t>
      </w:r>
    </w:p>
    <w:p w:rsidR="00000000" w:rsidDel="00000000" w:rsidP="00000000" w:rsidRDefault="00000000" w:rsidRPr="00000000" w14:paraId="000000B5">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B6">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RELAÇÃO DO BRASIL COM O IMIGRANTE</w:t>
      </w:r>
    </w:p>
    <w:p w:rsidR="00000000" w:rsidDel="00000000" w:rsidP="00000000" w:rsidRDefault="00000000" w:rsidRPr="00000000" w14:paraId="000000B7">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1"/>
        <w:shd w:fill="auto" w:val="clear"/>
        <w:tabs>
          <w:tab w:val="left" w:leader="none" w:pos="699"/>
        </w:tabs>
        <w:spacing w:after="20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Durante o período da ditadura militar, o Brasil, com forte influência ideológica causada pelas guerras mundiais e, mais especificamente a Guerra Fria, aprovou, em 1980, o Estatuto do Estrangeiro. A referida lei, nos seus primeiros artigos, já possuía de forma explícita a relação nacional com os estrangeiros:</w:t>
      </w:r>
    </w:p>
    <w:p w:rsidR="00000000" w:rsidDel="00000000" w:rsidP="00000000" w:rsidRDefault="00000000" w:rsidRPr="00000000" w14:paraId="000000B9">
      <w:pPr>
        <w:keepNext w:val="0"/>
        <w:keepLines w:val="0"/>
        <w:pageBreakBefore w:val="0"/>
        <w:widowControl w:val="1"/>
        <w:shd w:fill="auto" w:val="clear"/>
        <w:tabs>
          <w:tab w:val="left" w:leader="none" w:pos="699"/>
        </w:tabs>
        <w:spacing w:after="200" w:before="0" w:line="276" w:lineRule="auto"/>
        <w:ind w:left="2267"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Art. 2° - Na aplicação desta Lei atender-se-á precipuamente à segurança nacional, à organização institucional, aos interesses políticos, sócio-econômicos e culturais do Brasil, bem assim à defesa do trabalhador (BRASIL, 1980)</w:t>
      </w:r>
      <w:r w:rsidDel="00000000" w:rsidR="00000000" w:rsidRPr="00000000">
        <w:rPr>
          <w:rtl w:val="0"/>
        </w:rPr>
      </w:r>
    </w:p>
    <w:p w:rsidR="00000000" w:rsidDel="00000000" w:rsidP="00000000" w:rsidRDefault="00000000" w:rsidRPr="00000000" w14:paraId="000000BA">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análise do estrangeiro como um possível problema à segurança nacional e à defesa do trabalhador retirava o caráter de igualdade entre estes e os brasileiros, refletindo em normas administrativas e penais.</w:t>
      </w:r>
    </w:p>
    <w:p w:rsidR="00000000" w:rsidDel="00000000" w:rsidP="00000000" w:rsidRDefault="00000000" w:rsidRPr="00000000" w14:paraId="000000BB">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Além da detenção, o Estatuto apontava a figura da expulsão para quem, por exemplo, fosse proprietário, responsável, orientador intelectual ou  administrativo de empresa jornalística, ou até mesmo participasse de administração ou representação sindical. O direito religioso dos estrangeiros também foi limitado na norma, com expressa vedação à prestação de assistência religiosa às Forças Armadas e auxiliares, assim como aos estabelecimentos de internação coletiva.</w:t>
      </w:r>
    </w:p>
    <w:p w:rsidR="00000000" w:rsidDel="00000000" w:rsidP="00000000" w:rsidRDefault="00000000" w:rsidRPr="00000000" w14:paraId="000000BC">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incompatibilidade do Estatuto de Estrangeiro com o novo ordenamento apresentado a partir da Constituição Federal, de 1988, observada pela ausência de tratamento isonômico, impulsionou o legislador a apresentar nova lei, a Lei de Migração, abolindo os artigos penais passados. Assim, a condição jurídica do estrangeiro passa a ser disciplinada pelo direito humanitário decorrente da leitura da Constituição Cidadã.</w:t>
      </w:r>
    </w:p>
    <w:p w:rsidR="00000000" w:rsidDel="00000000" w:rsidP="00000000" w:rsidRDefault="00000000" w:rsidRPr="00000000" w14:paraId="000000BD">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Mesmo diante do progresso, ainda é possível observar resquícios de normas restritivas ao estrangeiro, bloqueando, assim, a perspectiva de um mundo cosmopolita discorrido por Kant.</w:t>
      </w:r>
    </w:p>
    <w:p w:rsidR="00000000" w:rsidDel="00000000" w:rsidP="00000000" w:rsidRDefault="00000000" w:rsidRPr="00000000" w14:paraId="000000BE">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artigo 12, inciso II, alínea b, da Constituição Federal, declara a possibilidade do estrangeiro se naturalizar brasileiro, entre os requisitos há o caso de, </w:t>
      </w:r>
      <w:r w:rsidDel="00000000" w:rsidR="00000000" w:rsidRPr="00000000">
        <w:rPr>
          <w:rFonts w:ascii="Times New Roman" w:cs="Times New Roman" w:eastAsia="Times New Roman" w:hAnsi="Times New Roman"/>
          <w:sz w:val="24"/>
          <w:szCs w:val="24"/>
          <w:rtl w:val="0"/>
        </w:rPr>
        <w:t xml:space="preserve">já possuindo autorização de residência, morar no Brasil há 4 anos, ser fluente na língua portuguesa (Naturalização Ordinária) ou morar no Brasil há</w:t>
      </w:r>
      <w:r w:rsidDel="00000000" w:rsidR="00000000" w:rsidRPr="00000000">
        <w:rPr>
          <w:rFonts w:ascii="Times New Roman" w:cs="Times New Roman" w:eastAsia="Times New Roman" w:hAnsi="Times New Roman"/>
          <w:color w:val="c9211e"/>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15 anos ininterruptos (Naturalização Extraordinária) e, em ambos os casos, não possuir condenação penal. </w:t>
      </w:r>
    </w:p>
    <w:p w:rsidR="00000000" w:rsidDel="00000000" w:rsidP="00000000" w:rsidRDefault="00000000" w:rsidRPr="00000000" w14:paraId="000000BF">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problemática surge na inexatidão do tipo de crime e sua relação com o bem jurídico afetado, possuindo uma restrição ao processo de naturalização, mesmo em caso de 15 anos ininterruptos em solo brasileiro, se este imigrante vier a ser condenado penalmente.</w:t>
      </w:r>
    </w:p>
    <w:p w:rsidR="00000000" w:rsidDel="00000000" w:rsidP="00000000" w:rsidRDefault="00000000" w:rsidRPr="00000000" w14:paraId="000000C0">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restrição ao acesso da naturalização para o estrangeiro que, há mais de 15 anos, se identifica como brasileiro e busca o devido processo é uma escolha administrativa. Ocorre que, a generalização da condenação penal para o estrangeiro, sem a observância do tipo penal e consequentemente do bem jurídico afetado (seja na seara individual ou coletiva), é uma relação administrativa-penal em dissonância com os direitos fundamentais.</w:t>
      </w:r>
    </w:p>
    <w:p w:rsidR="00000000" w:rsidDel="00000000" w:rsidP="00000000" w:rsidRDefault="00000000" w:rsidRPr="00000000" w14:paraId="000000C1">
      <w:pPr>
        <w:tabs>
          <w:tab w:val="left" w:leader="none" w:pos="699"/>
        </w:tabs>
        <w:spacing w:after="0" w:before="0"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ab/>
        <w:t xml:space="preserve">Além do exposto, atualmente no Código Penal há crimes próprios para a figura do estrangeiro, como nos artigos 309 (Fraude de lei sobre o estrangeiro) e 338 (Reingresso de estrangeiro expulso). A escolha do legislador em diferenciar o tipo penal do 309 para brasileiros, no tipo penal de “Falsa Identidade”, e para estrangeiros é a demonstração do sentimento de dano diferenciado ao mesmo bem jurídico, a Fé Pública.</w:t>
      </w:r>
      <w:r w:rsidDel="00000000" w:rsidR="00000000" w:rsidRPr="00000000">
        <w:rPr>
          <w:rtl w:val="0"/>
        </w:rPr>
      </w:r>
    </w:p>
    <w:p w:rsidR="00000000" w:rsidDel="00000000" w:rsidP="00000000" w:rsidRDefault="00000000" w:rsidRPr="00000000" w14:paraId="000000C2">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artigo 338 do Código Penal descreve como crime o reingresso de estrangeiro já expulso anteriormente. Ocorre que, a aplicação da medida administrativa, mesmo sendo ato discricionário do Poder Executivo, deve observar os princípios fundamentais que regem a Constituição Federal, e, por consequência, as leis infraconstitucionais e atos normativos.</w:t>
      </w:r>
    </w:p>
    <w:p w:rsidR="00000000" w:rsidDel="00000000" w:rsidP="00000000" w:rsidRDefault="00000000" w:rsidRPr="00000000" w14:paraId="000000C3">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Diante da análise da medida administrativa pelo judiciário se limitar a legalidade do ato, e não o mérito, a análise do judiciário no processo penal, decorrente do “reingresso de estrangeiro expulso” se torna, em tese, limitado para o mérito da expulsão e, por consequência, restritivo ao contraditório.</w:t>
      </w:r>
    </w:p>
    <w:p w:rsidR="00000000" w:rsidDel="00000000" w:rsidP="00000000" w:rsidRDefault="00000000" w:rsidRPr="00000000" w14:paraId="000000C4">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Além do exposto, a expulsão é uma medida drástica, e, a depender do estrangeiro e suas condições estabelecidas no Brasil, a aplicação da sanção pode ser mais gravosa do que a sanção penal dentro do país. Porém, com contraditório e ampla defesa limitados, decorrente da natureza do ato. </w:t>
      </w:r>
    </w:p>
    <w:p w:rsidR="00000000" w:rsidDel="00000000" w:rsidP="00000000" w:rsidRDefault="00000000" w:rsidRPr="00000000" w14:paraId="000000C5">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Portanto, é necessário observar, desde as normas, como suas execuções, os direitos humanos (externo) e os direitos fundamentais (interno) dos imigrantes, para o processo de isonomia na relação do imigrante com o Estado brasileiro.</w:t>
      </w:r>
    </w:p>
    <w:p w:rsidR="00000000" w:rsidDel="00000000" w:rsidP="00000000" w:rsidRDefault="00000000" w:rsidRPr="00000000" w14:paraId="000000C6">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C7">
      <w:pPr>
        <w:keepNext w:val="0"/>
        <w:keepLines w:val="0"/>
        <w:pageBreakBefore w:val="0"/>
        <w:widowControl w:val="1"/>
        <w:shd w:fill="auto" w:val="clear"/>
        <w:tabs>
          <w:tab w:val="left" w:leader="none" w:pos="699"/>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1"/>
        <w:shd w:fill="auto" w:val="clear"/>
        <w:tabs>
          <w:tab w:val="left" w:leader="none" w:pos="708"/>
        </w:tabs>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C9">
      <w:pPr>
        <w:tabs>
          <w:tab w:val="left" w:leader="none" w:pos="708"/>
        </w:tabs>
        <w:spacing w:after="0" w:before="0" w:line="36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CA">
      <w:pPr>
        <w:tabs>
          <w:tab w:val="left" w:leader="none" w:pos="708"/>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construção da ideia de Estado, desenvolvida por Rousseau, possui importância para resgatar, desde o seu princípio, a valorização da liberdade do sujeito como garantia para o exercício do poder estatal. O reconhecimento da autonomia humana analisada pela estruturação do dito Contrato Social se “desvalorizou” com o passar do tempo, devido ao distanciamento temporal e à influência da cultura firmada no abuso de poder político.</w:t>
      </w:r>
    </w:p>
    <w:p w:rsidR="00000000" w:rsidDel="00000000" w:rsidP="00000000" w:rsidRDefault="00000000" w:rsidRPr="00000000" w14:paraId="000000CB">
      <w:pPr>
        <w:tabs>
          <w:tab w:val="left" w:leader="none" w:pos="708"/>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vinculação do poder estatal desviado de suas funções iniciais com a “pessoalidade” do representante do poder gera a objetificação das leis e dos atos derivados. Caso assim seja, o Direito Penal, por exemplo, se torna ferramenta de expressão dos poderosos, refletida no ódio, no preconceito e na vingança.</w:t>
      </w:r>
    </w:p>
    <w:p w:rsidR="00000000" w:rsidDel="00000000" w:rsidP="00000000" w:rsidRDefault="00000000" w:rsidRPr="00000000" w14:paraId="000000CC">
      <w:pPr>
        <w:tabs>
          <w:tab w:val="left" w:leader="none" w:pos="699"/>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Ocorre que o Direito Penal passa por um processo de modernização frente à visão ultrapassada da vingança privada, tendo como base a valorização dos direitos humanos e o reconhecimento do homem como ser composto de dignidade invariável.</w:t>
      </w:r>
    </w:p>
    <w:p w:rsidR="00000000" w:rsidDel="00000000" w:rsidP="00000000" w:rsidRDefault="00000000" w:rsidRPr="00000000" w14:paraId="000000CD">
      <w:pPr>
        <w:tabs>
          <w:tab w:val="left" w:leader="none" w:pos="699"/>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reconhecimento destes direitos não só abarca o Direito Penal, mas todo o ordenamento jurídico acolhedor dos direitos humanos, como também no Direito Administrativo e também Civil, diante da hierarquia das normas. A adoção de leis e atos derivados destas deve, portanto, assegurar a proteção dos direitos civis, políticos, econômicos, sociais e culturais.</w:t>
      </w:r>
    </w:p>
    <w:p w:rsidR="00000000" w:rsidDel="00000000" w:rsidP="00000000" w:rsidRDefault="00000000" w:rsidRPr="00000000" w14:paraId="000000CE">
      <w:pPr>
        <w:tabs>
          <w:tab w:val="left" w:leader="none" w:pos="699"/>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Isto se dá, principalmente, pelo histórico de guerras, principalmente as guerras mundiais. A desumanização, a objetificação do homem e a relativização da vida nestes períodos tiveram forte influência para adoção de políticas progressistas em relação a grupos mais vulneráveis, como forma de garantir o tratamento isonômico e de valorização da família humana, como unidade.</w:t>
      </w:r>
    </w:p>
    <w:p w:rsidR="00000000" w:rsidDel="00000000" w:rsidP="00000000" w:rsidRDefault="00000000" w:rsidRPr="00000000" w14:paraId="000000CF">
      <w:pPr>
        <w:tabs>
          <w:tab w:val="left" w:leader="none" w:pos="699"/>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Diante da cultura mundial decorrente das guerras, o Estrangeiro se tornou alvo de políticas discriminatórias, desde políticas administrativas a políticas penais. No Brasil, por exemplo, influenciado pela cultura de proteção à pátria, concebeu o Estatuto do Estrangeiro como a norma central para tratar da figura do estrangeiro e sua relação com o Estado brasileiro.</w:t>
      </w:r>
    </w:p>
    <w:p w:rsidR="00000000" w:rsidDel="00000000" w:rsidP="00000000" w:rsidRDefault="00000000" w:rsidRPr="00000000" w14:paraId="000000D0">
      <w:pPr>
        <w:tabs>
          <w:tab w:val="left" w:leader="none" w:pos="699"/>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norma possuía tipos penais exclusivos para os estrangeiros, que, a depender do crime, impedia o livre exercício da profissão, a liberdade econômica, demonstrando a diferenciação do “nós” e “eles”. A concepção caracterizada por imputar ao estrangeiro a diferenciação normativa, principalmente penal, é implicar uma divisão de cidadãos e inimigos, adepta ao direito penal do autor desenvolvido por Gunther Jakobs.</w:t>
      </w:r>
    </w:p>
    <w:p w:rsidR="00000000" w:rsidDel="00000000" w:rsidP="00000000" w:rsidRDefault="00000000" w:rsidRPr="00000000" w14:paraId="000000D1">
      <w:pPr>
        <w:tabs>
          <w:tab w:val="left" w:leader="none" w:pos="699"/>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 grande avanço, a Lei de Migração, de 2017, revogou o antigo Estatuto de Estrangeiro e acabou com os tipos penais específicos para o imigrante, progredindo para uma relação mais cidadã e fraterna. Atualmente no Código Penal há alguns tipos penais que merecem releitura, como é o caso do art. 309, com pena superior ao tipo penal de “Falsa Identidade” (art. 307), com o mesmo bem jurídico afetado.</w:t>
      </w:r>
    </w:p>
    <w:p w:rsidR="00000000" w:rsidDel="00000000" w:rsidP="00000000" w:rsidRDefault="00000000" w:rsidRPr="00000000" w14:paraId="000000D2">
      <w:pPr>
        <w:tabs>
          <w:tab w:val="left" w:leader="none" w:pos="699"/>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Ainda assim, é importante mencionar o desenvolvimento dos direitos humanos dos estrangeiros no Brasil, mas urge apontar, e é esta a finalidade principal do presente artigo, os obstáculos e as limitações às garantias previstas no ordenamento pátrio.</w:t>
      </w:r>
    </w:p>
    <w:p w:rsidR="00000000" w:rsidDel="00000000" w:rsidP="00000000" w:rsidRDefault="00000000" w:rsidRPr="00000000" w14:paraId="000000D3">
      <w:pPr>
        <w:tabs>
          <w:tab w:val="left" w:leader="none" w:pos="699"/>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progresso dos direitos humanos, por exemplo, possui como bloqueio o patriotismo radical, que exerce na ideia do orgulho nacional a inferioridade do oposto, por meio da cultura, da religião e dos costumes, necessários para reforçar a diferenciação. A figura da nação perfeita, intocável e superior às demais contribui para o distanciamento cultural em relação ao imigrante.</w:t>
      </w:r>
    </w:p>
    <w:p w:rsidR="00000000" w:rsidDel="00000000" w:rsidP="00000000" w:rsidRDefault="00000000" w:rsidRPr="00000000" w14:paraId="000000D4">
      <w:pPr>
        <w:tabs>
          <w:tab w:val="left" w:leader="none" w:pos="699"/>
        </w:tabs>
        <w:spacing w:after="0" w:before="0"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ab/>
        <w:t xml:space="preserve">O resultado  final esperado da universalização dos direitos humanos é a plena liberdade de locomoção e a ausência de obstáculos para o tratamento isonômico, só sendo possível com a redução de normas diferenciadoras de figuras sociais, “nós” e “eles”, desenvolvendo-se assim, a redução de crimes próprios quando o bem jurídico afetado é o mesmo.</w:t>
      </w:r>
      <w:r w:rsidDel="00000000" w:rsidR="00000000" w:rsidRPr="00000000">
        <w:rPr>
          <w:rtl w:val="0"/>
        </w:rPr>
      </w:r>
    </w:p>
    <w:p w:rsidR="00000000" w:rsidDel="00000000" w:rsidP="00000000" w:rsidRDefault="00000000" w:rsidRPr="00000000" w14:paraId="000000D5">
      <w:pPr>
        <w:tabs>
          <w:tab w:val="left" w:leader="none" w:pos="708"/>
        </w:tabs>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tabs>
          <w:tab w:val="left" w:leader="none" w:pos="708"/>
        </w:tabs>
        <w:spacing w:after="0" w:before="0" w:line="36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rtl w:val="0"/>
        </w:rPr>
        <w:t xml:space="preserve">REFERÊNCIAS</w:t>
      </w:r>
      <w:r w:rsidDel="00000000" w:rsidR="00000000" w:rsidRPr="00000000">
        <w:rPr>
          <w:rtl w:val="0"/>
        </w:rPr>
      </w:r>
    </w:p>
    <w:p w:rsidR="00000000" w:rsidDel="00000000" w:rsidP="00000000" w:rsidRDefault="00000000" w:rsidRPr="00000000" w14:paraId="000000D7">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ANSELMO, Márcio Adriano. </w:t>
      </w:r>
      <w:r w:rsidDel="00000000" w:rsidR="00000000" w:rsidRPr="00000000">
        <w:rPr>
          <w:rFonts w:ascii="Times New Roman" w:cs="Times New Roman" w:eastAsia="Times New Roman" w:hAnsi="Times New Roman"/>
          <w:b w:val="1"/>
          <w:sz w:val="24"/>
          <w:szCs w:val="24"/>
          <w:rtl w:val="0"/>
        </w:rPr>
        <w:t xml:space="preserve">Crimigração: A criminalização do estrangeiro no Brasil e seus efeitos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Revista de Informação Legislativa</w:t>
      </w:r>
      <w:r w:rsidDel="00000000" w:rsidR="00000000" w:rsidRPr="00000000">
        <w:rPr>
          <w:rFonts w:ascii="Times New Roman" w:cs="Times New Roman" w:eastAsia="Times New Roman" w:hAnsi="Times New Roman"/>
          <w:sz w:val="24"/>
          <w:szCs w:val="24"/>
          <w:rtl w:val="0"/>
        </w:rPr>
        <w:t xml:space="preserve">, Brasília, v. 50, n. 197, p. 143-162, 2013. Disponível em: &lt;https://www12.senado.leg.br/ril/edicoes/50/197/ril_v50_n197_p143.pdf. Acesso em: 20 de agosto de 2023.</w:t>
      </w:r>
    </w:p>
    <w:p w:rsidR="00000000" w:rsidDel="00000000" w:rsidP="00000000" w:rsidRDefault="00000000" w:rsidRPr="00000000" w14:paraId="000000D9">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i w:val="1"/>
          <w:sz w:val="24"/>
          <w:szCs w:val="24"/>
          <w:rtl w:val="0"/>
        </w:rPr>
        <w:t xml:space="preserve">Decreto-Lei nº 2.848, de 7 de dezembro de 1940.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Código Penal</w:t>
      </w:r>
      <w:r w:rsidDel="00000000" w:rsidR="00000000" w:rsidRPr="00000000">
        <w:rPr>
          <w:rFonts w:ascii="Times New Roman" w:cs="Times New Roman" w:eastAsia="Times New Roman" w:hAnsi="Times New Roman"/>
          <w:sz w:val="24"/>
          <w:szCs w:val="24"/>
          <w:rtl w:val="0"/>
        </w:rPr>
        <w:t xml:space="preserve">. Disponível em: &lt;https://www.planalto.gov.br/ccivil_03/decreto-lei/del2848compilado.htm\&gt;. Acesso em: 20 de agosto de 2023.</w:t>
      </w:r>
    </w:p>
    <w:p w:rsidR="00000000" w:rsidDel="00000000" w:rsidP="00000000" w:rsidRDefault="00000000" w:rsidRPr="00000000" w14:paraId="000000DB">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i w:val="1"/>
          <w:sz w:val="24"/>
          <w:szCs w:val="24"/>
          <w:rtl w:val="0"/>
        </w:rPr>
        <w:t xml:space="preserve">Lei nº 6.815, de 19 de agosto de 1980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Estatuto do Estrangeiro</w:t>
      </w:r>
      <w:r w:rsidDel="00000000" w:rsidR="00000000" w:rsidRPr="00000000">
        <w:rPr>
          <w:rFonts w:ascii="Times New Roman" w:cs="Times New Roman" w:eastAsia="Times New Roman" w:hAnsi="Times New Roman"/>
          <w:sz w:val="24"/>
          <w:szCs w:val="24"/>
          <w:rtl w:val="0"/>
        </w:rPr>
        <w:t xml:space="preserve">. Disponível em: &lt;https://www.planalto.gov.br/ccivil_03/leis/l6815.htm&gt;. Acesso em: 20 de agosto de 2023.</w:t>
      </w:r>
    </w:p>
    <w:p w:rsidR="00000000" w:rsidDel="00000000" w:rsidP="00000000" w:rsidRDefault="00000000" w:rsidRPr="00000000" w14:paraId="000000DD">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i w:val="1"/>
          <w:sz w:val="24"/>
          <w:szCs w:val="24"/>
          <w:rtl w:val="0"/>
        </w:rPr>
        <w:t xml:space="preserve">Lei nº 13.445, de 24 de maio de 2017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Lei de Migração</w:t>
      </w:r>
      <w:r w:rsidDel="00000000" w:rsidR="00000000" w:rsidRPr="00000000">
        <w:rPr>
          <w:rFonts w:ascii="Times New Roman" w:cs="Times New Roman" w:eastAsia="Times New Roman" w:hAnsi="Times New Roman"/>
          <w:sz w:val="24"/>
          <w:szCs w:val="24"/>
          <w:rtl w:val="0"/>
        </w:rPr>
        <w:t xml:space="preserve">. Disponível em: &lt;https://www.planalto.gov.br/ccivil_03/_ato2015-2018/2017/lei/l13445.htm&gt;. Acesso em: 20 de agosto de 2023.</w:t>
      </w:r>
    </w:p>
    <w:p w:rsidR="00000000" w:rsidDel="00000000" w:rsidP="00000000" w:rsidRDefault="00000000" w:rsidRPr="00000000" w14:paraId="000000DF">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CARNELUTTI, Francesco. </w:t>
      </w:r>
      <w:r w:rsidDel="00000000" w:rsidR="00000000" w:rsidRPr="00000000">
        <w:rPr>
          <w:rFonts w:ascii="Times New Roman" w:cs="Times New Roman" w:eastAsia="Times New Roman" w:hAnsi="Times New Roman"/>
          <w:b w:val="1"/>
          <w:sz w:val="24"/>
          <w:szCs w:val="24"/>
          <w:rtl w:val="0"/>
        </w:rPr>
        <w:t xml:space="preserve">As Misérias do Processo Penal.</w:t>
      </w:r>
      <w:r w:rsidDel="00000000" w:rsidR="00000000" w:rsidRPr="00000000">
        <w:rPr>
          <w:rFonts w:ascii="Times New Roman" w:cs="Times New Roman" w:eastAsia="Times New Roman" w:hAnsi="Times New Roman"/>
          <w:sz w:val="24"/>
          <w:szCs w:val="24"/>
          <w:rtl w:val="0"/>
        </w:rPr>
        <w:t xml:space="preserve"> Salvador: Editora Juspodivm, 2020.</w:t>
      </w:r>
    </w:p>
    <w:p w:rsidR="00000000" w:rsidDel="00000000" w:rsidP="00000000" w:rsidRDefault="00000000" w:rsidRPr="00000000" w14:paraId="000000E1">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GOMES, </w:t>
      </w:r>
      <w:r w:rsidDel="00000000" w:rsidR="00000000" w:rsidRPr="00000000">
        <w:rPr>
          <w:rFonts w:ascii="Times New Roman" w:cs="Times New Roman" w:eastAsia="Times New Roman" w:hAnsi="Times New Roman"/>
          <w:b w:val="1"/>
          <w:sz w:val="24"/>
          <w:szCs w:val="24"/>
          <w:rtl w:val="0"/>
        </w:rPr>
        <w:t xml:space="preserve">Luiz Flávio. Direito Penal do Inimigo (ou Inimigos do Direito Penal)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Conteúdo Jurídico</w:t>
      </w:r>
      <w:r w:rsidDel="00000000" w:rsidR="00000000" w:rsidRPr="00000000">
        <w:rPr>
          <w:rFonts w:ascii="Times New Roman" w:cs="Times New Roman" w:eastAsia="Times New Roman" w:hAnsi="Times New Roman"/>
          <w:sz w:val="24"/>
          <w:szCs w:val="24"/>
          <w:rtl w:val="0"/>
        </w:rPr>
        <w:t xml:space="preserve">, Brasília - DF, 2010. Disponível em: &lt;https://conteudojuridico.com.br/consulta/Artigos/22193/direito-penal-do-inimigo-ou-inimigos-do-direito-penal&gt;. Acesso em: 11 nov 2023.</w:t>
      </w:r>
    </w:p>
    <w:p w:rsidR="00000000" w:rsidDel="00000000" w:rsidP="00000000" w:rsidRDefault="00000000" w:rsidRPr="00000000" w14:paraId="000000E3">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GRECO, Luís. </w:t>
      </w:r>
      <w:r w:rsidDel="00000000" w:rsidR="00000000" w:rsidRPr="00000000">
        <w:rPr>
          <w:rFonts w:ascii="Times New Roman" w:cs="Times New Roman" w:eastAsia="Times New Roman" w:hAnsi="Times New Roman"/>
          <w:b w:val="1"/>
          <w:sz w:val="24"/>
          <w:szCs w:val="24"/>
          <w:rtl w:val="0"/>
        </w:rPr>
        <w:t xml:space="preserve">Sobre o chamado direito penal do inimigo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Revista da Faculdade de Direito de Campos</w:t>
      </w:r>
      <w:r w:rsidDel="00000000" w:rsidR="00000000" w:rsidRPr="00000000">
        <w:rPr>
          <w:rFonts w:ascii="Times New Roman" w:cs="Times New Roman" w:eastAsia="Times New Roman" w:hAnsi="Times New Roman"/>
          <w:sz w:val="24"/>
          <w:szCs w:val="24"/>
          <w:rtl w:val="0"/>
        </w:rPr>
        <w:t xml:space="preserve">, Campos, Ano VI, no 7, 2005.</w:t>
      </w:r>
    </w:p>
    <w:p w:rsidR="00000000" w:rsidDel="00000000" w:rsidP="00000000" w:rsidRDefault="00000000" w:rsidRPr="00000000" w14:paraId="000000E5">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JAKOBS, Günther; MELIÁ, Manuel. </w:t>
      </w:r>
      <w:r w:rsidDel="00000000" w:rsidR="00000000" w:rsidRPr="00000000">
        <w:rPr>
          <w:rFonts w:ascii="Times New Roman" w:cs="Times New Roman" w:eastAsia="Times New Roman" w:hAnsi="Times New Roman"/>
          <w:b w:val="1"/>
          <w:sz w:val="24"/>
          <w:szCs w:val="24"/>
          <w:rtl w:val="0"/>
        </w:rPr>
        <w:t xml:space="preserve">Derecho penal del enemigo.</w:t>
      </w:r>
      <w:r w:rsidDel="00000000" w:rsidR="00000000" w:rsidRPr="00000000">
        <w:rPr>
          <w:rFonts w:ascii="Times New Roman" w:cs="Times New Roman" w:eastAsia="Times New Roman" w:hAnsi="Times New Roman"/>
          <w:sz w:val="24"/>
          <w:szCs w:val="24"/>
          <w:rtl w:val="0"/>
        </w:rPr>
        <w:t xml:space="preserve"> Madrid: Civitas, 2003.</w:t>
      </w:r>
    </w:p>
    <w:p w:rsidR="00000000" w:rsidDel="00000000" w:rsidP="00000000" w:rsidRDefault="00000000" w:rsidRPr="00000000" w14:paraId="000000E7">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JAKOBS, Günther. </w:t>
      </w:r>
      <w:r w:rsidDel="00000000" w:rsidR="00000000" w:rsidRPr="00000000">
        <w:rPr>
          <w:rFonts w:ascii="Times New Roman" w:cs="Times New Roman" w:eastAsia="Times New Roman" w:hAnsi="Times New Roman"/>
          <w:b w:val="1"/>
          <w:sz w:val="24"/>
          <w:szCs w:val="24"/>
          <w:rtl w:val="0"/>
        </w:rPr>
        <w:t xml:space="preserve">Kriminalisierung im Vorfeld einer Rechtsgutsverletzung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ZStW</w:t>
      </w:r>
      <w:r w:rsidDel="00000000" w:rsidR="00000000" w:rsidRPr="00000000">
        <w:rPr>
          <w:rFonts w:ascii="Times New Roman" w:cs="Times New Roman" w:eastAsia="Times New Roman" w:hAnsi="Times New Roman"/>
          <w:sz w:val="24"/>
          <w:szCs w:val="24"/>
          <w:rtl w:val="0"/>
        </w:rPr>
        <w:t xml:space="preserve">, 97, 1985.</w:t>
      </w:r>
    </w:p>
    <w:p w:rsidR="00000000" w:rsidDel="00000000" w:rsidP="00000000" w:rsidRDefault="00000000" w:rsidRPr="00000000" w14:paraId="000000E9">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JAKOBS, Günther. </w:t>
      </w:r>
      <w:r w:rsidDel="00000000" w:rsidR="00000000" w:rsidRPr="00000000">
        <w:rPr>
          <w:rFonts w:ascii="Times New Roman" w:cs="Times New Roman" w:eastAsia="Times New Roman" w:hAnsi="Times New Roman"/>
          <w:b w:val="1"/>
          <w:sz w:val="24"/>
          <w:szCs w:val="24"/>
          <w:rtl w:val="0"/>
        </w:rPr>
        <w:t xml:space="preserve">Direito Penal do Inimigo: noções e críticas</w:t>
      </w:r>
      <w:r w:rsidDel="00000000" w:rsidR="00000000" w:rsidRPr="00000000">
        <w:rPr>
          <w:rFonts w:ascii="Times New Roman" w:cs="Times New Roman" w:eastAsia="Times New Roman" w:hAnsi="Times New Roman"/>
          <w:sz w:val="24"/>
          <w:szCs w:val="24"/>
          <w:rtl w:val="0"/>
        </w:rPr>
        <w:t xml:space="preserve">. Rio de Janeiro: Editora Lumen Juris, 2005.</w:t>
      </w:r>
    </w:p>
    <w:p w:rsidR="00000000" w:rsidDel="00000000" w:rsidP="00000000" w:rsidRDefault="00000000" w:rsidRPr="00000000" w14:paraId="000000EB">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 Immanuel. </w:t>
      </w:r>
      <w:r w:rsidDel="00000000" w:rsidR="00000000" w:rsidRPr="00000000">
        <w:rPr>
          <w:rFonts w:ascii="Times New Roman" w:cs="Times New Roman" w:eastAsia="Times New Roman" w:hAnsi="Times New Roman"/>
          <w:b w:val="1"/>
          <w:sz w:val="24"/>
          <w:szCs w:val="24"/>
          <w:rtl w:val="0"/>
        </w:rPr>
        <w:t xml:space="preserve">Fundamentação da Metafísica dos Costumes.</w:t>
      </w:r>
      <w:r w:rsidDel="00000000" w:rsidR="00000000" w:rsidRPr="00000000">
        <w:rPr>
          <w:rFonts w:ascii="Times New Roman" w:cs="Times New Roman" w:eastAsia="Times New Roman" w:hAnsi="Times New Roman"/>
          <w:sz w:val="24"/>
          <w:szCs w:val="24"/>
          <w:rtl w:val="0"/>
        </w:rPr>
        <w:t xml:space="preserve"> Lisboa: Edições 70, 1992.</w:t>
      </w:r>
    </w:p>
    <w:p w:rsidR="00000000" w:rsidDel="00000000" w:rsidP="00000000" w:rsidRDefault="00000000" w:rsidRPr="00000000" w14:paraId="000000ED">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NADDI, Beatriz. </w:t>
      </w:r>
      <w:r w:rsidDel="00000000" w:rsidR="00000000" w:rsidRPr="00000000">
        <w:rPr>
          <w:rFonts w:ascii="Times New Roman" w:cs="Times New Roman" w:eastAsia="Times New Roman" w:hAnsi="Times New Roman"/>
          <w:b w:val="1"/>
          <w:sz w:val="24"/>
          <w:szCs w:val="24"/>
          <w:rtl w:val="0"/>
        </w:rPr>
        <w:t xml:space="preserve">As relações México-Estados Unidos: uma perspectiva histórico-econômica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Revista Interfaces Científicas - Humanas e Sociais</w:t>
      </w:r>
      <w:r w:rsidDel="00000000" w:rsidR="00000000" w:rsidRPr="00000000">
        <w:rPr>
          <w:rFonts w:ascii="Times New Roman" w:cs="Times New Roman" w:eastAsia="Times New Roman" w:hAnsi="Times New Roman"/>
          <w:sz w:val="24"/>
          <w:szCs w:val="24"/>
          <w:rtl w:val="0"/>
        </w:rPr>
        <w:t xml:space="preserve">, v. 5, n. 1, p. 85-95, 2015. Disponível em: &lt;https://periodicos.ufpb.br/index.php/ricri/article/view/23800&gt;. Acesso em: 18 de outubro de 2023.</w:t>
      </w:r>
    </w:p>
    <w:p w:rsidR="00000000" w:rsidDel="00000000" w:rsidP="00000000" w:rsidRDefault="00000000" w:rsidRPr="00000000" w14:paraId="000000EF">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 Código de Hamurabi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DHNet</w:t>
      </w:r>
      <w:r w:rsidDel="00000000" w:rsidR="00000000" w:rsidRPr="00000000">
        <w:rPr>
          <w:rFonts w:ascii="Times New Roman" w:cs="Times New Roman" w:eastAsia="Times New Roman" w:hAnsi="Times New Roman"/>
          <w:sz w:val="24"/>
          <w:szCs w:val="24"/>
          <w:rtl w:val="0"/>
        </w:rPr>
        <w:t xml:space="preserve">, 1995. Disponível em: &lt;http://www.dhnet.org.br/direitos/anthist/hamurabi.htm&gt;. Acesso em 31 de julho de 2023.</w:t>
      </w:r>
    </w:p>
    <w:p w:rsidR="00000000" w:rsidDel="00000000" w:rsidP="00000000" w:rsidRDefault="00000000" w:rsidRPr="00000000" w14:paraId="000000F1">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ROUSSEAU, Jean-Jacques. </w:t>
      </w:r>
      <w:r w:rsidDel="00000000" w:rsidR="00000000" w:rsidRPr="00000000">
        <w:rPr>
          <w:rFonts w:ascii="Times New Roman" w:cs="Times New Roman" w:eastAsia="Times New Roman" w:hAnsi="Times New Roman"/>
          <w:b w:val="1"/>
          <w:sz w:val="24"/>
          <w:szCs w:val="24"/>
          <w:rtl w:val="0"/>
        </w:rPr>
        <w:t xml:space="preserve">Do Contrato Social</w:t>
      </w:r>
      <w:r w:rsidDel="00000000" w:rsidR="00000000" w:rsidRPr="00000000">
        <w:rPr>
          <w:rFonts w:ascii="Times New Roman" w:cs="Times New Roman" w:eastAsia="Times New Roman" w:hAnsi="Times New Roman"/>
          <w:sz w:val="24"/>
          <w:szCs w:val="24"/>
          <w:rtl w:val="0"/>
        </w:rPr>
        <w:t xml:space="preserve">. São Paulo: Livraria Martins Fontes, 1999.</w:t>
      </w:r>
    </w:p>
    <w:p w:rsidR="00000000" w:rsidDel="00000000" w:rsidP="00000000" w:rsidRDefault="00000000" w:rsidRPr="00000000" w14:paraId="000000F3">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STUMPF, Juliet. </w:t>
      </w:r>
      <w:r w:rsidDel="00000000" w:rsidR="00000000" w:rsidRPr="00000000">
        <w:rPr>
          <w:rFonts w:ascii="Times New Roman" w:cs="Times New Roman" w:eastAsia="Times New Roman" w:hAnsi="Times New Roman"/>
          <w:b w:val="1"/>
          <w:sz w:val="24"/>
          <w:szCs w:val="24"/>
          <w:rtl w:val="0"/>
        </w:rPr>
        <w:t xml:space="preserve">The crimmigration crisis: imigrants, crime and sovereign power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American University Law Review</w:t>
      </w:r>
      <w:r w:rsidDel="00000000" w:rsidR="00000000" w:rsidRPr="00000000">
        <w:rPr>
          <w:rFonts w:ascii="Times New Roman" w:cs="Times New Roman" w:eastAsia="Times New Roman" w:hAnsi="Times New Roman"/>
          <w:sz w:val="24"/>
          <w:szCs w:val="24"/>
          <w:rtl w:val="0"/>
        </w:rPr>
        <w:t xml:space="preserve">, Washington, v. 56, n. 2, 2006.</w:t>
      </w:r>
    </w:p>
    <w:p w:rsidR="00000000" w:rsidDel="00000000" w:rsidP="00000000" w:rsidRDefault="00000000" w:rsidRPr="00000000" w14:paraId="000000F5">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tabs>
          <w:tab w:val="left" w:leader="none" w:pos="708"/>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UBIRAJARA, Francisco. </w:t>
      </w:r>
      <w:r w:rsidDel="00000000" w:rsidR="00000000" w:rsidRPr="00000000">
        <w:rPr>
          <w:rFonts w:ascii="Times New Roman" w:cs="Times New Roman" w:eastAsia="Times New Roman" w:hAnsi="Times New Roman"/>
          <w:b w:val="1"/>
          <w:sz w:val="24"/>
          <w:szCs w:val="24"/>
          <w:rtl w:val="0"/>
        </w:rPr>
        <w:t xml:space="preserve">Breve história do Direito Penal e da evolução da pena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Revista Eletrônica Jurídica da UNIFRA</w:t>
      </w:r>
      <w:r w:rsidDel="00000000" w:rsidR="00000000" w:rsidRPr="00000000">
        <w:rPr>
          <w:rFonts w:ascii="Times New Roman" w:cs="Times New Roman" w:eastAsia="Times New Roman" w:hAnsi="Times New Roman"/>
          <w:sz w:val="24"/>
          <w:szCs w:val="24"/>
          <w:rtl w:val="0"/>
        </w:rPr>
        <w:t xml:space="preserve">, Santa Maria, v. 1, n. 11, 2012.</w:t>
      </w:r>
    </w:p>
    <w:p w:rsidR="00000000" w:rsidDel="00000000" w:rsidP="00000000" w:rsidRDefault="00000000" w:rsidRPr="00000000" w14:paraId="000000F7">
      <w:pPr>
        <w:tabs>
          <w:tab w:val="left" w:leader="none" w:pos="708"/>
        </w:tabs>
        <w:spacing w:after="0" w:before="0" w:line="360" w:lineRule="auto"/>
        <w:jc w:val="both"/>
        <w:rPr>
          <w:rFonts w:ascii="Times New Roman" w:cs="Times New Roman" w:eastAsia="Times New Roman" w:hAnsi="Times New Roman"/>
          <w:sz w:val="24"/>
          <w:szCs w:val="24"/>
          <w:highlight w:val="yellow"/>
        </w:rPr>
      </w:pPr>
      <w:r w:rsidDel="00000000" w:rsidR="00000000" w:rsidRPr="00000000">
        <w:rPr>
          <w:rtl w:val="0"/>
        </w:rPr>
      </w:r>
    </w:p>
    <w:sectPr>
      <w:footerReference r:id="rId8" w:type="default"/>
      <w:pgSz w:h="16838" w:w="11906" w:orient="portrait"/>
      <w:pgMar w:bottom="1134" w:top="1701" w:left="1701"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spacing w:after="200" w:before="0" w:line="240" w:lineRule="auto"/>
      <w:rPr>
        <w:rFonts w:ascii="Times New Roman" w:cs="Times New Roman" w:eastAsia="Times New Roman" w:hAnsi="Times New Roman"/>
        <w:highlight w:val="yellow"/>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8">
      <w:pPr>
        <w:spacing w:after="0" w:before="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Graduando do Curso Superior de Bacharelado em Direito da Faculdade de Ciências Sociais e Aplicadas - UNIFACISA. E-mail: p.noronha@hotmail.com</w:t>
      </w:r>
    </w:p>
  </w:footnote>
  <w:footnote w:id="1">
    <w:p w:rsidR="00000000" w:rsidDel="00000000" w:rsidP="00000000" w:rsidRDefault="00000000" w:rsidRPr="00000000" w14:paraId="000000F9">
      <w:pPr>
        <w:spacing w:after="0" w:before="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Especialista em Processo Civil e em Metodologia do Ensino Superior; Professor de Processo Civil da UNIFACISA; Juiz de Direito do Tribunal de Justiça da Paraíba; e-mail agribeirojunior@yahoo.com.br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360" w:lineRule="auto"/>
      <w:ind w:left="0" w:right="0" w:firstLine="0"/>
      <w:jc w:val="both"/>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60" w:before="240" w:line="276" w:lineRule="auto"/>
      <w:ind w:left="720" w:right="0" w:hanging="72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8"/>
      </w:tabs>
      <w:spacing w:after="60" w:before="240" w:line="276" w:lineRule="auto"/>
      <w:ind w:left="1008" w:right="0" w:hanging="1008"/>
      <w:jc w:val="left"/>
    </w:pPr>
    <w:rPr>
      <w:rFonts w:ascii="Times New Roman" w:cs="Times New Roman" w:eastAsia="Times New Roman" w:hAnsi="Times New Roman"/>
      <w:b w:val="1"/>
      <w:i w:val="1"/>
      <w:smallCaps w:val="0"/>
      <w:strike w:val="0"/>
      <w:color w:val="000000"/>
      <w:sz w:val="26"/>
      <w:szCs w:val="26"/>
      <w:u w:val="none"/>
      <w:shd w:fill="auto" w:val="clear"/>
      <w:vertAlign w:val="baseline"/>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120" w:before="240" w:line="276" w:lineRule="auto"/>
      <w:ind w:left="0" w:right="0" w:firstLine="0"/>
      <w:jc w:val="left"/>
    </w:pPr>
    <w:rPr>
      <w:rFonts w:ascii="Arial" w:cs="Arial" w:eastAsia="Arial" w:hAnsi="Arial"/>
      <w:b w:val="0"/>
      <w:i w:val="0"/>
      <w:smallCaps w:val="0"/>
      <w:strike w:val="0"/>
      <w:color w:val="000000"/>
      <w:sz w:val="28"/>
      <w:szCs w:val="28"/>
      <w:u w:val="none"/>
      <w:shd w:fill="auto" w:val="clear"/>
      <w:vertAlign w:val="baseline"/>
    </w:rPr>
  </w:style>
  <w:style w:type="paragraph" w:styleId="Normal" w:default="1">
    <w:name w:val="Normal"/>
    <w:qFormat w:val="1"/>
    <w:rsid w:val="005851FD"/>
    <w:pPr>
      <w:widowControl w:val="1"/>
      <w:suppressAutoHyphens w:val="1"/>
      <w:bidi w:val="0"/>
      <w:spacing w:after="200" w:before="0" w:line="276" w:lineRule="auto"/>
      <w:jc w:val="left"/>
    </w:pPr>
    <w:rPr>
      <w:rFonts w:ascii="Calibri" w:cs="Calibri" w:eastAsia="Calibri" w:hAnsi="Calibri"/>
      <w:color w:val="auto"/>
      <w:kern w:val="0"/>
      <w:sz w:val="22"/>
      <w:szCs w:val="22"/>
      <w:lang w:bidi="hi-IN" w:eastAsia="zh-CN" w:val="en-US"/>
    </w:rPr>
  </w:style>
  <w:style w:type="paragraph" w:styleId="Ttulo1">
    <w:name w:val="Heading 1"/>
    <w:basedOn w:val="Padro"/>
    <w:next w:val="Corpodotexto"/>
    <w:qFormat w:val="1"/>
    <w:rsid w:val="00C338F5"/>
    <w:pPr>
      <w:keepNext w:val="1"/>
      <w:spacing w:after="0" w:before="0" w:line="360" w:lineRule="auto"/>
      <w:jc w:val="both"/>
      <w:outlineLvl w:val="0"/>
    </w:pPr>
    <w:rPr>
      <w:rFonts w:ascii="Times New Roman" w:eastAsia="Times New Roman" w:hAnsi="Times New Roman"/>
      <w:b w:val="1"/>
      <w:sz w:val="24"/>
      <w:szCs w:val="20"/>
      <w:lang w:eastAsia="pt-BR"/>
    </w:rPr>
  </w:style>
  <w:style w:type="paragraph" w:styleId="Ttulo2">
    <w:name w:val="Heading 2"/>
    <w:basedOn w:val="LOnormal"/>
    <w:next w:val="LOnormal"/>
    <w:qFormat w:val="1"/>
    <w:pPr>
      <w:keepNext w:val="1"/>
      <w:keepLines w:val="1"/>
      <w:pageBreakBefore w:val="0"/>
      <w:spacing w:after="80" w:before="360" w:line="240" w:lineRule="auto"/>
    </w:pPr>
    <w:rPr>
      <w:b w:val="1"/>
      <w:sz w:val="36"/>
      <w:szCs w:val="36"/>
    </w:rPr>
  </w:style>
  <w:style w:type="paragraph" w:styleId="Ttulo3">
    <w:name w:val="Heading 3"/>
    <w:basedOn w:val="Padro"/>
    <w:next w:val="Corpodotexto"/>
    <w:qFormat w:val="1"/>
    <w:rsid w:val="00C338F5"/>
    <w:pPr>
      <w:keepNext w:val="1"/>
      <w:tabs>
        <w:tab w:val="clear" w:pos="708"/>
        <w:tab w:val="left" w:leader="none" w:pos="720"/>
      </w:tabs>
      <w:spacing w:after="60" w:before="240" w:line="100" w:lineRule="atLeast"/>
      <w:ind w:left="720" w:hanging="720"/>
      <w:outlineLvl w:val="2"/>
    </w:pPr>
    <w:rPr>
      <w:rFonts w:ascii="Arial" w:cs="Arial" w:eastAsia="Times New Roman" w:hAnsi="Arial"/>
      <w:b w:val="1"/>
      <w:bCs w:val="1"/>
      <w:sz w:val="26"/>
      <w:szCs w:val="26"/>
      <w:lang w:eastAsia="pt-BR"/>
    </w:rPr>
  </w:style>
  <w:style w:type="paragraph" w:styleId="Ttulo4">
    <w:name w:val="Heading 4"/>
    <w:basedOn w:val="LOnormal"/>
    <w:next w:val="LOnormal"/>
    <w:qFormat w:val="1"/>
    <w:pPr>
      <w:keepNext w:val="1"/>
      <w:keepLines w:val="1"/>
      <w:pageBreakBefore w:val="0"/>
      <w:spacing w:after="40" w:before="240" w:line="240" w:lineRule="auto"/>
    </w:pPr>
    <w:rPr>
      <w:b w:val="1"/>
      <w:sz w:val="24"/>
      <w:szCs w:val="24"/>
    </w:rPr>
  </w:style>
  <w:style w:type="paragraph" w:styleId="Ttulo5">
    <w:name w:val="Heading 5"/>
    <w:basedOn w:val="Padro"/>
    <w:next w:val="Corpodotexto"/>
    <w:qFormat w:val="1"/>
    <w:rsid w:val="00C338F5"/>
    <w:pPr>
      <w:tabs>
        <w:tab w:val="clear" w:pos="708"/>
        <w:tab w:val="left" w:leader="none" w:pos="1008"/>
      </w:tabs>
      <w:spacing w:after="60" w:before="240" w:line="100" w:lineRule="atLeast"/>
      <w:ind w:left="1008" w:hanging="1008"/>
      <w:outlineLvl w:val="4"/>
    </w:pPr>
    <w:rPr>
      <w:rFonts w:ascii="Times New Roman" w:eastAsia="Times New Roman" w:hAnsi="Times New Roman"/>
      <w:b w:val="1"/>
      <w:bCs w:val="1"/>
      <w:i w:val="1"/>
      <w:iCs w:val="1"/>
      <w:sz w:val="26"/>
      <w:szCs w:val="26"/>
      <w:lang w:eastAsia="pt-BR"/>
    </w:rPr>
  </w:style>
  <w:style w:type="paragraph" w:styleId="Ttulo6">
    <w:name w:val="Heading 6"/>
    <w:basedOn w:val="LOnormal"/>
    <w:next w:val="LOnormal"/>
    <w:qFormat w:val="1"/>
    <w:pPr>
      <w:keepNext w:val="1"/>
      <w:keepLines w:val="1"/>
      <w:pageBreakBefore w:val="0"/>
      <w:spacing w:after="40" w:before="200" w:line="240" w:lineRule="auto"/>
    </w:pPr>
    <w:rPr>
      <w:b w:val="1"/>
      <w:sz w:val="20"/>
      <w:szCs w:val="20"/>
    </w:rPr>
  </w:style>
  <w:style w:type="character" w:styleId="DefaultParagraphFont" w:default="1">
    <w:name w:val="Default Paragraph Font"/>
    <w:uiPriority w:val="1"/>
    <w:unhideWhenUsed w:val="1"/>
    <w:qFormat w:val="1"/>
    <w:rPr/>
  </w:style>
  <w:style w:type="character" w:styleId="LinkdaInternet">
    <w:name w:val="Link da Internet"/>
    <w:basedOn w:val="DefaultParagraphFont"/>
    <w:uiPriority w:val="99"/>
    <w:unhideWhenUsed w:val="1"/>
    <w:rsid w:val="007831B5"/>
    <w:rPr>
      <w:color w:val="0000ff" w:themeColor="hyperlink"/>
      <w:u w:val="single"/>
    </w:rPr>
  </w:style>
  <w:style w:type="character" w:styleId="Ttulo1Char" w:customStyle="1">
    <w:name w:val="Título 1 Char"/>
    <w:basedOn w:val="DefaultParagraphFont"/>
    <w:qFormat w:val="1"/>
    <w:rsid w:val="00C338F5"/>
    <w:rPr>
      <w:rFonts w:ascii="Times New Roman" w:cs="Times New Roman" w:eastAsia="Times New Roman" w:hAnsi="Times New Roman"/>
      <w:b w:val="1"/>
      <w:sz w:val="24"/>
      <w:szCs w:val="20"/>
      <w:lang w:eastAsia="pt-BR"/>
    </w:rPr>
  </w:style>
  <w:style w:type="character" w:styleId="Ttulo3Char" w:customStyle="1">
    <w:name w:val="Título 3 Char"/>
    <w:basedOn w:val="DefaultParagraphFont"/>
    <w:qFormat w:val="1"/>
    <w:rsid w:val="00C338F5"/>
    <w:rPr>
      <w:rFonts w:ascii="Arial" w:cs="Arial" w:eastAsia="Times New Roman" w:hAnsi="Arial"/>
      <w:b w:val="1"/>
      <w:bCs w:val="1"/>
      <w:sz w:val="26"/>
      <w:szCs w:val="26"/>
      <w:lang w:eastAsia="pt-BR"/>
    </w:rPr>
  </w:style>
  <w:style w:type="character" w:styleId="Ttulo5Char" w:customStyle="1">
    <w:name w:val="Título 5 Char"/>
    <w:basedOn w:val="DefaultParagraphFont"/>
    <w:qFormat w:val="1"/>
    <w:rsid w:val="00C338F5"/>
    <w:rPr>
      <w:rFonts w:ascii="Times New Roman" w:cs="Times New Roman" w:eastAsia="Times New Roman" w:hAnsi="Times New Roman"/>
      <w:b w:val="1"/>
      <w:bCs w:val="1"/>
      <w:i w:val="1"/>
      <w:iCs w:val="1"/>
      <w:sz w:val="26"/>
      <w:szCs w:val="26"/>
      <w:lang w:eastAsia="pt-BR"/>
    </w:rPr>
  </w:style>
  <w:style w:type="character" w:styleId="Recuodecorpodetexto2Char" w:customStyle="1">
    <w:name w:val="Recuo de corpo de texto 2 Char"/>
    <w:basedOn w:val="DefaultParagraphFont"/>
    <w:qFormat w:val="1"/>
    <w:rsid w:val="00C338F5"/>
    <w:rPr>
      <w:rFonts w:ascii="Times New Roman" w:cs="Times New Roman" w:eastAsia="Times New Roman" w:hAnsi="Times New Roman"/>
      <w:sz w:val="28"/>
      <w:szCs w:val="24"/>
      <w:lang w:eastAsia="pt-BR"/>
    </w:rPr>
  </w:style>
  <w:style w:type="character" w:styleId="Ncoradanotaderodap">
    <w:name w:val="Âncora da nota de rodapé"/>
    <w:rPr>
      <w:vertAlign w:val="superscript"/>
    </w:rPr>
  </w:style>
  <w:style w:type="character" w:styleId="FootnoteCharacters">
    <w:name w:val="Footnote Characters"/>
    <w:basedOn w:val="DefaultParagraphFont"/>
    <w:qFormat w:val="1"/>
    <w:rsid w:val="00C338F5"/>
    <w:rPr>
      <w:vertAlign w:val="superscript"/>
    </w:rPr>
  </w:style>
  <w:style w:type="character" w:styleId="TextodenotaderodapChar" w:customStyle="1">
    <w:name w:val="Texto de nota de rodapé Char"/>
    <w:basedOn w:val="DefaultParagraphFont"/>
    <w:qFormat w:val="1"/>
    <w:rsid w:val="00C338F5"/>
    <w:rPr>
      <w:rFonts w:ascii="Times New Roman" w:cs="Times New Roman" w:eastAsia="Times New Roman" w:hAnsi="Times New Roman"/>
      <w:sz w:val="20"/>
      <w:szCs w:val="20"/>
      <w:lang w:eastAsia="pt-BR"/>
    </w:rPr>
  </w:style>
  <w:style w:type="character" w:styleId="TextodebaloChar" w:customStyle="1">
    <w:name w:val="Texto de balão Char"/>
    <w:basedOn w:val="DefaultParagraphFont"/>
    <w:link w:val="BalloonText"/>
    <w:uiPriority w:val="99"/>
    <w:semiHidden w:val="1"/>
    <w:qFormat w:val="1"/>
    <w:rsid w:val="00C93E09"/>
    <w:rPr>
      <w:rFonts w:ascii="Tahoma" w:cs="Tahoma" w:hAnsi="Tahoma"/>
      <w:sz w:val="16"/>
      <w:szCs w:val="16"/>
    </w:rPr>
  </w:style>
  <w:style w:type="character" w:styleId="Strong">
    <w:name w:val="Strong"/>
    <w:basedOn w:val="DefaultParagraphFont"/>
    <w:uiPriority w:val="22"/>
    <w:qFormat w:val="1"/>
    <w:rsid w:val="00877A89"/>
    <w:rPr>
      <w:b w:val="1"/>
      <w:bCs w:val="1"/>
    </w:rPr>
  </w:style>
  <w:style w:type="character" w:styleId="UnresolvedMention">
    <w:name w:val="Unresolved Mention"/>
    <w:basedOn w:val="DefaultParagraphFont"/>
    <w:uiPriority w:val="99"/>
    <w:semiHidden w:val="1"/>
    <w:unhideWhenUsed w:val="1"/>
    <w:qFormat w:val="1"/>
    <w:rsid w:val="005D550F"/>
    <w:rPr>
      <w:color w:val="605e5c"/>
      <w:shd w:fill="e1dfdd" w:val="clear"/>
    </w:rPr>
  </w:style>
  <w:style w:type="character" w:styleId="Caracteresdenotaderodap">
    <w:name w:val="Caracteres de nota de rodapé"/>
    <w:qFormat w:val="1"/>
    <w:rPr/>
  </w:style>
  <w:style w:type="character" w:styleId="Ncoradanotadefim">
    <w:name w:val="Âncora da nota de fim"/>
    <w:rPr>
      <w:vertAlign w:val="superscript"/>
    </w:rPr>
  </w:style>
  <w:style w:type="character" w:styleId="Caracteresdenotadefim">
    <w:name w:val="Caracteres de nota de fim"/>
    <w:qFormat w:val="1"/>
    <w:rPr/>
  </w:style>
  <w:style w:type="paragraph" w:styleId="Ttulo">
    <w:name w:val="Título"/>
    <w:basedOn w:val="LOnormal1"/>
    <w:next w:val="Corpodotexto"/>
    <w:qFormat w:val="1"/>
    <w:pPr>
      <w:keepNext w:val="1"/>
      <w:spacing w:after="120" w:before="240"/>
    </w:pPr>
    <w:rPr>
      <w:rFonts w:ascii="Liberation Sans" w:cs="Lucida Sans" w:eastAsia="Microsoft YaHei" w:hAnsi="Liberation Sans"/>
      <w:sz w:val="28"/>
      <w:szCs w:val="28"/>
    </w:rPr>
  </w:style>
  <w:style w:type="paragraph" w:styleId="Corpodotexto">
    <w:name w:val="Body Text"/>
    <w:basedOn w:val="Padro"/>
    <w:rsid w:val="00C338F5"/>
    <w:pPr>
      <w:spacing w:after="120" w:before="0"/>
    </w:pPr>
    <w:rPr/>
  </w:style>
  <w:style w:type="paragraph" w:styleId="Lista">
    <w:name w:val="List"/>
    <w:basedOn w:val="Corpodotexto"/>
    <w:rsid w:val="00C338F5"/>
    <w:pPr/>
    <w:rPr>
      <w:rFonts w:cs="Mangal"/>
    </w:rPr>
  </w:style>
  <w:style w:type="paragraph" w:styleId="Legenda">
    <w:name w:val="Caption"/>
    <w:basedOn w:val="LOnormal1"/>
    <w:qFormat w:val="1"/>
    <w:pPr>
      <w:suppressLineNumbers w:val="1"/>
      <w:spacing w:after="120" w:before="120"/>
    </w:pPr>
    <w:rPr>
      <w:rFonts w:cs="Lucida Sans"/>
      <w:i w:val="1"/>
      <w:iCs w:val="1"/>
      <w:sz w:val="24"/>
      <w:szCs w:val="24"/>
    </w:rPr>
  </w:style>
  <w:style w:type="paragraph" w:styleId="Ndice" w:customStyle="1">
    <w:name w:val="Índice"/>
    <w:basedOn w:val="Padro"/>
    <w:qFormat w:val="1"/>
    <w:rsid w:val="00C338F5"/>
    <w:pPr>
      <w:suppressLineNumbers w:val="1"/>
    </w:pPr>
    <w:rPr>
      <w:rFonts w:cs="Mangal"/>
    </w:rPr>
  </w:style>
  <w:style w:type="paragraph" w:styleId="Normal1" w:default="1">
    <w:name w:val="LO-normal3"/>
    <w:qFormat w:val="1"/>
    <w:pPr>
      <w:widowControl w:val="1"/>
      <w:bidi w:val="0"/>
      <w:spacing w:after="200" w:before="0" w:line="276" w:lineRule="auto"/>
      <w:jc w:val="left"/>
    </w:pPr>
    <w:rPr>
      <w:rFonts w:ascii="Calibri" w:cs="Calibri" w:eastAsia="Calibri" w:hAnsi="Calibri"/>
      <w:color w:val="auto"/>
      <w:kern w:val="0"/>
      <w:sz w:val="22"/>
      <w:szCs w:val="22"/>
      <w:lang w:bidi="hi-IN" w:eastAsia="zh-CN" w:val="en-US"/>
    </w:rPr>
  </w:style>
  <w:style w:type="paragraph" w:styleId="Ttulododocumento">
    <w:name w:val="Title"/>
    <w:basedOn w:val="Padro"/>
    <w:next w:val="Corpodotexto"/>
    <w:qFormat w:val="1"/>
    <w:rsid w:val="00C338F5"/>
    <w:pPr>
      <w:keepNext w:val="1"/>
      <w:spacing w:after="120" w:before="240"/>
    </w:pPr>
    <w:rPr>
      <w:rFonts w:ascii="Arial" w:cs="Mangal" w:eastAsia="Microsoft YaHei" w:hAnsi="Arial"/>
      <w:sz w:val="28"/>
      <w:szCs w:val="28"/>
    </w:rPr>
  </w:style>
  <w:style w:type="paragraph" w:styleId="LOnormal1" w:default="1">
    <w:name w:val="LO-normal1"/>
    <w:qFormat w:val="1"/>
    <w:pPr>
      <w:widowControl w:val="1"/>
      <w:bidi w:val="0"/>
      <w:spacing w:after="200" w:before="0" w:line="276" w:lineRule="auto"/>
      <w:jc w:val="left"/>
    </w:pPr>
    <w:rPr>
      <w:rFonts w:ascii="Calibri" w:cs="Calibri" w:eastAsia="Calibri" w:hAnsi="Calibri"/>
      <w:color w:val="auto"/>
      <w:kern w:val="0"/>
      <w:sz w:val="22"/>
      <w:szCs w:val="22"/>
      <w:lang w:bidi="hi-IN" w:eastAsia="zh-CN" w:val="en-US"/>
    </w:rPr>
  </w:style>
  <w:style w:type="paragraph" w:styleId="LOnormal" w:default="1">
    <w:name w:val="LO-normal"/>
    <w:qFormat w:val="1"/>
    <w:pPr>
      <w:widowControl w:val="1"/>
      <w:suppressAutoHyphens w:val="1"/>
      <w:bidi w:val="0"/>
      <w:spacing w:after="200" w:before="0" w:line="276" w:lineRule="auto"/>
      <w:jc w:val="left"/>
    </w:pPr>
    <w:rPr>
      <w:rFonts w:ascii="Calibri" w:cs="Calibri" w:eastAsia="Calibri" w:hAnsi="Calibri"/>
      <w:color w:val="auto"/>
      <w:kern w:val="0"/>
      <w:sz w:val="22"/>
      <w:szCs w:val="22"/>
      <w:lang w:bidi="hi-IN" w:eastAsia="zh-CN" w:val="en-US"/>
    </w:rPr>
  </w:style>
  <w:style w:type="paragraph" w:styleId="Padro" w:customStyle="1">
    <w:name w:val="Padrão"/>
    <w:qFormat w:val="1"/>
    <w:rsid w:val="00C338F5"/>
    <w:pPr>
      <w:widowControl w:val="1"/>
      <w:tabs>
        <w:tab w:val="clear" w:pos="720"/>
        <w:tab w:val="left" w:leader="none" w:pos="708"/>
      </w:tabs>
      <w:suppressAutoHyphens w:val="1"/>
      <w:bidi w:val="0"/>
      <w:spacing w:after="200" w:before="0" w:line="276" w:lineRule="auto"/>
      <w:jc w:val="left"/>
    </w:pPr>
    <w:rPr>
      <w:rFonts w:ascii="Calibri" w:cs="Times New Roman" w:eastAsia="Calibri" w:hAnsi="Calibri"/>
      <w:color w:val="auto"/>
      <w:kern w:val="0"/>
      <w:sz w:val="22"/>
      <w:szCs w:val="22"/>
      <w:lang w:bidi="hi-IN" w:eastAsia="en-US" w:val="en-US"/>
    </w:rPr>
  </w:style>
  <w:style w:type="paragraph" w:styleId="Caption">
    <w:name w:val="caption"/>
    <w:basedOn w:val="Padro"/>
    <w:qFormat w:val="1"/>
    <w:rsid w:val="00C338F5"/>
    <w:pPr>
      <w:suppressLineNumbers w:val="1"/>
      <w:spacing w:after="120" w:before="120"/>
    </w:pPr>
    <w:rPr>
      <w:rFonts w:cs="Mangal"/>
      <w:i w:val="1"/>
      <w:iCs w:val="1"/>
      <w:sz w:val="24"/>
      <w:szCs w:val="24"/>
    </w:rPr>
  </w:style>
  <w:style w:type="paragraph" w:styleId="ListParagraph">
    <w:name w:val="List Paragraph"/>
    <w:basedOn w:val="Padro"/>
    <w:qFormat w:val="1"/>
    <w:rsid w:val="00C338F5"/>
    <w:pPr>
      <w:ind w:left="720" w:hanging="0"/>
    </w:pPr>
    <w:rPr/>
  </w:style>
  <w:style w:type="paragraph" w:styleId="Tj" w:customStyle="1">
    <w:name w:val="tj"/>
    <w:basedOn w:val="Padro"/>
    <w:qFormat w:val="1"/>
    <w:rsid w:val="00C338F5"/>
    <w:pPr>
      <w:spacing w:after="28" w:before="28" w:line="100" w:lineRule="atLeast"/>
    </w:pPr>
    <w:rPr>
      <w:rFonts w:ascii="Times New Roman" w:eastAsia="Times New Roman" w:hAnsi="Times New Roman"/>
      <w:sz w:val="24"/>
      <w:szCs w:val="24"/>
      <w:lang w:eastAsia="pt-BR"/>
    </w:rPr>
  </w:style>
  <w:style w:type="paragraph" w:styleId="Text1" w:customStyle="1">
    <w:name w:val="text1"/>
    <w:basedOn w:val="Padro"/>
    <w:qFormat w:val="1"/>
    <w:rsid w:val="00C338F5"/>
    <w:pPr>
      <w:spacing w:after="300" w:before="300" w:line="100" w:lineRule="atLeast"/>
      <w:ind w:left="100" w:right="100" w:hanging="0"/>
    </w:pPr>
    <w:rPr>
      <w:rFonts w:ascii="Times New Roman" w:eastAsia="Times New Roman" w:hAnsi="Times New Roman"/>
      <w:sz w:val="26"/>
      <w:szCs w:val="26"/>
      <w:lang w:eastAsia="pt-BR"/>
    </w:rPr>
  </w:style>
  <w:style w:type="paragraph" w:styleId="NormalWeb">
    <w:name w:val="Normal (Web)"/>
    <w:basedOn w:val="Padro"/>
    <w:uiPriority w:val="99"/>
    <w:qFormat w:val="1"/>
    <w:rsid w:val="00C338F5"/>
    <w:pPr>
      <w:spacing w:after="28" w:before="28" w:line="100" w:lineRule="atLeast"/>
    </w:pPr>
    <w:rPr>
      <w:rFonts w:ascii="Times New Roman" w:eastAsia="Times New Roman" w:hAnsi="Times New Roman"/>
      <w:sz w:val="24"/>
      <w:szCs w:val="24"/>
      <w:lang w:eastAsia="pt-BR"/>
    </w:rPr>
  </w:style>
  <w:style w:type="paragraph" w:styleId="Ecxmsonormal" w:customStyle="1">
    <w:name w:val="ecxmsonormal"/>
    <w:basedOn w:val="Padro"/>
    <w:qFormat w:val="1"/>
    <w:rsid w:val="00C338F5"/>
    <w:pPr>
      <w:spacing w:after="28" w:before="28" w:line="100" w:lineRule="atLeast"/>
    </w:pPr>
    <w:rPr>
      <w:rFonts w:ascii="Times New Roman" w:eastAsia="Times New Roman" w:hAnsi="Times New Roman"/>
      <w:sz w:val="24"/>
      <w:szCs w:val="24"/>
      <w:lang w:eastAsia="pt-BR"/>
    </w:rPr>
  </w:style>
  <w:style w:type="paragraph" w:styleId="BodyTextIndent2">
    <w:name w:val="Body Text Indent 2"/>
    <w:basedOn w:val="Padro"/>
    <w:qFormat w:val="1"/>
    <w:rsid w:val="00C338F5"/>
    <w:pPr>
      <w:spacing w:after="0" w:before="0" w:line="360" w:lineRule="auto"/>
      <w:ind w:firstLine="1418"/>
      <w:jc w:val="both"/>
    </w:pPr>
    <w:rPr>
      <w:rFonts w:ascii="Times New Roman" w:eastAsia="Times New Roman" w:hAnsi="Times New Roman"/>
      <w:sz w:val="28"/>
      <w:szCs w:val="24"/>
      <w:lang w:eastAsia="pt-BR"/>
    </w:rPr>
  </w:style>
  <w:style w:type="paragraph" w:styleId="Notaderodap">
    <w:name w:val="Footnote Text"/>
    <w:basedOn w:val="Padro"/>
    <w:rsid w:val="00C338F5"/>
    <w:pPr>
      <w:spacing w:after="0" w:before="0" w:line="100" w:lineRule="atLeast"/>
    </w:pPr>
    <w:rPr>
      <w:rFonts w:ascii="Times New Roman" w:eastAsia="Times New Roman" w:hAnsi="Times New Roman"/>
      <w:sz w:val="20"/>
      <w:szCs w:val="20"/>
      <w:lang w:eastAsia="pt-BR"/>
    </w:rPr>
  </w:style>
  <w:style w:type="paragraph" w:styleId="BlockText">
    <w:name w:val="Block Text"/>
    <w:basedOn w:val="Padro"/>
    <w:qFormat w:val="1"/>
    <w:rsid w:val="00C338F5"/>
    <w:pPr>
      <w:spacing w:after="0" w:before="0" w:line="100" w:lineRule="atLeast"/>
      <w:ind w:left="1080" w:right="1152" w:hanging="0"/>
      <w:jc w:val="both"/>
    </w:pPr>
    <w:rPr>
      <w:rFonts w:ascii="Times New Roman" w:eastAsia="Times New Roman" w:hAnsi="Times New Roman"/>
      <w:i w:val="1"/>
      <w:sz w:val="28"/>
      <w:szCs w:val="24"/>
      <w:lang w:eastAsia="pt-BR"/>
    </w:rPr>
  </w:style>
  <w:style w:type="paragraph" w:styleId="BalloonText">
    <w:name w:val="Balloon Text"/>
    <w:basedOn w:val="LOnormal"/>
    <w:link w:val="TextodebaloChar"/>
    <w:uiPriority w:val="99"/>
    <w:semiHidden w:val="1"/>
    <w:unhideWhenUsed w:val="1"/>
    <w:qFormat w:val="1"/>
    <w:rsid w:val="00C93E09"/>
    <w:pPr>
      <w:spacing w:after="0" w:before="0" w:line="240" w:lineRule="auto"/>
    </w:pPr>
    <w:rPr>
      <w:rFonts w:ascii="Tahoma" w:cs="Tahoma" w:hAnsi="Tahoma"/>
      <w:sz w:val="16"/>
      <w:szCs w:val="16"/>
    </w:rPr>
  </w:style>
  <w:style w:type="paragraph" w:styleId="Subttulo">
    <w:name w:val="Subtitle"/>
    <w:basedOn w:val="Normal1"/>
    <w:next w:val="Normal1"/>
    <w:qFormat w:val="1"/>
    <w:pPr>
      <w:keepNext w:val="1"/>
      <w:keepLines w:val="1"/>
      <w:pageBreakBefore w:val="0"/>
      <w:widowControl w:val="1"/>
      <w:pBdr/>
      <w:shd w:fill="auto" w:val="clear"/>
      <w:spacing w:after="80" w:before="360" w:line="240" w:lineRule="auto"/>
      <w:ind w:left="0" w:right="0" w:hanging="0"/>
      <w:jc w:val="left"/>
    </w:pPr>
    <w:rPr>
      <w:rFonts w:ascii="Georgia" w:cs="Georgia" w:eastAsia="Georgia" w:hAnsi="Georgia"/>
      <w:b w:val="0"/>
      <w:i w:val="1"/>
      <w:caps w:val="0"/>
      <w:smallCaps w:val="0"/>
      <w:strike w:val="0"/>
      <w:dstrike w:val="0"/>
      <w:color w:val="666666"/>
      <w:position w:val="0"/>
      <w:sz w:val="48"/>
      <w:szCs w:val="48"/>
      <w:u w:val="none"/>
      <w:shd w:fill="auto" w:val="clear"/>
      <w:vertAlign w:val="baseline"/>
    </w:rPr>
  </w:style>
  <w:style w:type="paragraph" w:styleId="CabealhoeRodap">
    <w:name w:val="Cabeçalho e Rodapé"/>
    <w:basedOn w:val="LOnormal1"/>
    <w:qFormat w:val="1"/>
    <w:pPr/>
    <w:rPr/>
  </w:style>
  <w:style w:type="paragraph" w:styleId="Rodap">
    <w:name w:val="Footer"/>
    <w:basedOn w:val="CabealhoeRodap"/>
    <w:pPr/>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TableGrid" w:customStyle="1">
    <w:name w:val="TableGrid"/>
    <w:rsid w:val="007952CE"/>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MCWLV1MlVeTC3++Dsbp6FRdvow==">AMUW2mUjODjR7XCePN3LUgaLipfFl3RmbhESUiKDuM/J13yHXQ+b9HD1s9fFEgEO72mTQXrGON7Nx98q/gbXO0qBmHk5DtSxwCewWJCUsMI0PJUHNFP+oYw=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2023-05-22T20:17:00Z</dcterms:created>
  <dc:creator>PC</dc:creator>
</cp:coreProperties>
</file>