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6250" w14:textId="666C174D" w:rsidR="00101795" w:rsidRPr="00026819" w:rsidRDefault="00101795" w:rsidP="00026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101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O IMPACTO DA PANDEMIA DE COVID-19 NO MANEJO DAS DOENÇAS CRÔNICAS NÃO TRANSMISSÍVEIS: UMA SINDEMIA GLOBAL</w:t>
      </w:r>
    </w:p>
    <w:p w14:paraId="0A774A03" w14:textId="77777777" w:rsidR="00101795" w:rsidRPr="00101795" w:rsidRDefault="00101795" w:rsidP="00101795">
      <w:pPr>
        <w:pStyle w:val="TITULOING"/>
        <w:widowControl w:val="0"/>
        <w:rPr>
          <w:rFonts w:ascii="Times New Roman" w:hAnsi="Times New Roman"/>
          <w:b w:val="0"/>
          <w:bCs/>
          <w:lang w:val="en-US"/>
        </w:rPr>
      </w:pPr>
    </w:p>
    <w:p w14:paraId="2F678922" w14:textId="3204BC70" w:rsidR="00101795" w:rsidRDefault="00101795" w:rsidP="00101795">
      <w:pPr>
        <w:pStyle w:val="TITULOING"/>
        <w:widowControl w:val="0"/>
        <w:rPr>
          <w:rFonts w:ascii="Times New Roman" w:hAnsi="Times New Roman"/>
          <w:lang w:val="en-US"/>
        </w:rPr>
      </w:pPr>
    </w:p>
    <w:p w14:paraId="7ABDDB6B" w14:textId="4DDB191F" w:rsidR="00101795" w:rsidRPr="00026819" w:rsidRDefault="00101795" w:rsidP="00101795">
      <w:pPr>
        <w:pStyle w:val="TITULOING"/>
        <w:widowControl w:val="0"/>
        <w:jc w:val="right"/>
        <w:rPr>
          <w:rFonts w:ascii="Times New Roman" w:hAnsi="Times New Roman"/>
          <w:b w:val="0"/>
          <w:bCs/>
          <w:lang w:val="en-US"/>
        </w:rPr>
      </w:pPr>
      <w:r w:rsidRPr="00026819">
        <w:rPr>
          <w:rFonts w:ascii="Times New Roman" w:hAnsi="Times New Roman"/>
          <w:b w:val="0"/>
          <w:bCs/>
          <w:lang w:val="en-US"/>
        </w:rPr>
        <w:t>Danielle Guimarães Araújo¹</w:t>
      </w:r>
    </w:p>
    <w:p w14:paraId="2F285500" w14:textId="74585791" w:rsidR="00101795" w:rsidRPr="00026819" w:rsidRDefault="00101795" w:rsidP="00101795">
      <w:pPr>
        <w:pStyle w:val="TITULOING"/>
        <w:widowControl w:val="0"/>
        <w:jc w:val="right"/>
        <w:rPr>
          <w:rFonts w:ascii="Times New Roman" w:hAnsi="Times New Roman"/>
          <w:b w:val="0"/>
          <w:bCs/>
          <w:lang w:val="en-US"/>
        </w:rPr>
      </w:pPr>
      <w:proofErr w:type="spellStart"/>
      <w:r w:rsidRPr="00026819">
        <w:rPr>
          <w:rFonts w:ascii="Times New Roman" w:hAnsi="Times New Roman"/>
          <w:b w:val="0"/>
          <w:bCs/>
          <w:lang w:val="en-US"/>
        </w:rPr>
        <w:t>Ericles</w:t>
      </w:r>
      <w:proofErr w:type="spellEnd"/>
      <w:r w:rsidRPr="00026819">
        <w:rPr>
          <w:rFonts w:ascii="Times New Roman" w:hAnsi="Times New Roman"/>
          <w:b w:val="0"/>
          <w:bCs/>
          <w:lang w:val="en-US"/>
        </w:rPr>
        <w:t xml:space="preserve"> Ferreira Valões</w:t>
      </w:r>
      <w:r w:rsidR="00026819" w:rsidRPr="00026819">
        <w:rPr>
          <w:rFonts w:ascii="Times New Roman" w:hAnsi="Times New Roman"/>
          <w:b w:val="0"/>
          <w:bCs/>
          <w:lang w:val="en-US"/>
        </w:rPr>
        <w:t>²</w:t>
      </w:r>
    </w:p>
    <w:p w14:paraId="1DEE6B9D" w14:textId="708BA041" w:rsidR="00101795" w:rsidRPr="00026819" w:rsidRDefault="00101795" w:rsidP="00101795">
      <w:pPr>
        <w:pStyle w:val="TITULOING"/>
        <w:widowControl w:val="0"/>
        <w:jc w:val="right"/>
        <w:rPr>
          <w:rFonts w:ascii="Times New Roman" w:hAnsi="Times New Roman"/>
          <w:b w:val="0"/>
          <w:bCs/>
          <w:lang w:val="en-US"/>
        </w:rPr>
      </w:pPr>
      <w:r w:rsidRPr="00026819">
        <w:rPr>
          <w:rFonts w:ascii="Times New Roman" w:hAnsi="Times New Roman"/>
          <w:b w:val="0"/>
          <w:bCs/>
          <w:lang w:val="en-US"/>
        </w:rPr>
        <w:t>Marina Costa de Moura</w:t>
      </w:r>
      <w:r w:rsidR="00026819" w:rsidRPr="00026819">
        <w:rPr>
          <w:rFonts w:ascii="Times New Roman" w:hAnsi="Times New Roman"/>
          <w:b w:val="0"/>
          <w:bCs/>
          <w:lang w:val="en-US"/>
        </w:rPr>
        <w:t>³</w:t>
      </w:r>
    </w:p>
    <w:p w14:paraId="2F3BF769" w14:textId="0E694DE5" w:rsidR="00101795" w:rsidRPr="00026819" w:rsidRDefault="00101795" w:rsidP="00101795">
      <w:pPr>
        <w:pStyle w:val="TITULOING"/>
        <w:widowControl w:val="0"/>
        <w:jc w:val="right"/>
        <w:rPr>
          <w:rFonts w:ascii="Times New Roman" w:hAnsi="Times New Roman"/>
          <w:b w:val="0"/>
          <w:bCs/>
          <w:vertAlign w:val="superscript"/>
          <w:lang w:val="en-US"/>
        </w:rPr>
      </w:pPr>
      <w:proofErr w:type="spellStart"/>
      <w:r w:rsidRPr="00026819">
        <w:rPr>
          <w:rFonts w:ascii="Times New Roman" w:hAnsi="Times New Roman"/>
          <w:b w:val="0"/>
          <w:bCs/>
          <w:lang w:val="en-US"/>
        </w:rPr>
        <w:t>Roumayne</w:t>
      </w:r>
      <w:proofErr w:type="spellEnd"/>
      <w:r w:rsidRPr="00026819">
        <w:rPr>
          <w:rFonts w:ascii="Times New Roman" w:hAnsi="Times New Roman"/>
          <w:b w:val="0"/>
          <w:bCs/>
          <w:lang w:val="en-US"/>
        </w:rPr>
        <w:t xml:space="preserve"> Fernandes Vieira Andrade</w:t>
      </w:r>
      <w:r w:rsidR="00026819" w:rsidRPr="00026819">
        <w:rPr>
          <w:rFonts w:ascii="Times New Roman" w:hAnsi="Times New Roman"/>
          <w:b w:val="0"/>
          <w:bCs/>
          <w:vertAlign w:val="superscript"/>
          <w:lang w:val="en-US"/>
        </w:rPr>
        <w:t>4</w:t>
      </w:r>
    </w:p>
    <w:p w14:paraId="77C5CB00" w14:textId="297EA430" w:rsidR="005F56D5" w:rsidRDefault="005F56D5"/>
    <w:p w14:paraId="56BE63EB" w14:textId="3EE47084" w:rsidR="00301112" w:rsidRPr="0026255F" w:rsidRDefault="00301112" w:rsidP="00301112">
      <w:pPr>
        <w:pStyle w:val="RESUMO"/>
        <w:widowControl w:val="0"/>
        <w:ind w:left="0"/>
        <w:rPr>
          <w:rFonts w:ascii="Times New Roman" w:hAnsi="Times New Roman"/>
          <w:bCs/>
          <w:sz w:val="24"/>
          <w:szCs w:val="24"/>
        </w:rPr>
      </w:pPr>
      <w:r w:rsidRPr="0026255F">
        <w:rPr>
          <w:rFonts w:ascii="Times New Roman" w:hAnsi="Times New Roman"/>
          <w:bCs/>
          <w:sz w:val="24"/>
          <w:szCs w:val="24"/>
        </w:rPr>
        <w:t>RESUMO</w:t>
      </w:r>
    </w:p>
    <w:p w14:paraId="5CBD5DA1" w14:textId="77777777" w:rsidR="00EC3FCE" w:rsidRPr="00301112" w:rsidRDefault="00EC3FCE" w:rsidP="00301112">
      <w:pPr>
        <w:pStyle w:val="RESUMO"/>
        <w:widowControl w:val="0"/>
        <w:ind w:left="0"/>
        <w:rPr>
          <w:rFonts w:ascii="Times New Roman" w:hAnsi="Times New Roman"/>
          <w:b/>
          <w:sz w:val="24"/>
          <w:szCs w:val="24"/>
        </w:rPr>
      </w:pPr>
    </w:p>
    <w:p w14:paraId="610C0B81" w14:textId="34703A01" w:rsidR="00301112" w:rsidRDefault="00725FCA" w:rsidP="009F7876">
      <w:pPr>
        <w:pStyle w:val="RESUMO"/>
        <w:widowControl w:val="0"/>
        <w:ind w:left="0"/>
        <w:rPr>
          <w:rFonts w:ascii="Times New Roman" w:eastAsia="Times New Roman" w:hAnsi="Times New Roman"/>
          <w:color w:val="000000"/>
          <w:sz w:val="24"/>
          <w:szCs w:val="32"/>
          <w:lang w:eastAsia="pt-BR"/>
        </w:rPr>
      </w:pPr>
      <w:r w:rsidRPr="00725FCA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>Este trabalho te</w:t>
      </w:r>
      <w:r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>ve o</w:t>
      </w:r>
      <w:r w:rsidRPr="00725FCA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 xml:space="preserve"> objetivo</w:t>
      </w:r>
      <w:r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 xml:space="preserve"> de p</w:t>
      </w:r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 xml:space="preserve">romover a discussão acerca do impacto da COVID-19 no manejo das </w:t>
      </w:r>
      <w:proofErr w:type="spellStart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>DCNTs</w:t>
      </w:r>
      <w:proofErr w:type="spellEnd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>.</w:t>
      </w:r>
      <w:r w:rsidR="00301112" w:rsidRPr="00301112">
        <w:rPr>
          <w:rFonts w:ascii="Times New Roman" w:eastAsia="Times New Roman" w:hAnsi="Times New Roman"/>
          <w:b/>
          <w:bCs/>
          <w:color w:val="000000"/>
          <w:sz w:val="24"/>
          <w:szCs w:val="32"/>
          <w:lang w:eastAsia="pt-BR"/>
        </w:rPr>
        <w:t xml:space="preserve"> </w:t>
      </w:r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 xml:space="preserve">Trata-se de uma pesquisa exploratória do tipo revisão de literatura. Foram selecionados artigos publicados nos últimos cinco anos, em inglês e português, extraídos das bases de dados: </w:t>
      </w:r>
      <w:proofErr w:type="spellStart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>PubMed</w:t>
      </w:r>
      <w:proofErr w:type="spellEnd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 xml:space="preserve">, </w:t>
      </w:r>
      <w:proofErr w:type="spellStart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>Scielo</w:t>
      </w:r>
      <w:proofErr w:type="spellEnd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 xml:space="preserve">, </w:t>
      </w:r>
      <w:proofErr w:type="spellStart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>Springerlink</w:t>
      </w:r>
      <w:proofErr w:type="spellEnd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 xml:space="preserve">, utilizando os descritores “Doenças crônicas não transmissíveis”, “COVID-19” e “Pandemia”. Foi realizada uma análise descritiva dos estudos. Um total de 45 estudos foram incluídos nessa revisão, reportando dados que apontavam a inflamação crônica, presente em infecções virais, como fator de impacto direto no aparecimento, progressão ou desenvolvimento de </w:t>
      </w:r>
      <w:proofErr w:type="spellStart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>DCNTs</w:t>
      </w:r>
      <w:proofErr w:type="spellEnd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 xml:space="preserve">. Além disso, a inflamação sistêmica subjacente às comorbidades pode exacerbar a infecção por COVID-19 e constitui fator de risco para complicações associadas aos casos graves da doença causada pelo SARS-CoV-2. </w:t>
      </w:r>
      <w:r w:rsidR="001F2EE9" w:rsidRPr="001F2EE9">
        <w:rPr>
          <w:rFonts w:ascii="Times New Roman" w:eastAsia="Times New Roman" w:hAnsi="Times New Roman"/>
          <w:bCs/>
          <w:color w:val="000000"/>
          <w:sz w:val="24"/>
          <w:szCs w:val="32"/>
          <w:lang w:eastAsia="pt-BR"/>
        </w:rPr>
        <w:t>Conclui-se que a</w:t>
      </w:r>
      <w:r w:rsidR="00301112" w:rsidRPr="001F2EE9">
        <w:rPr>
          <w:rFonts w:ascii="Times New Roman" w:eastAsia="Times New Roman" w:hAnsi="Times New Roman"/>
          <w:bCs/>
          <w:color w:val="000000"/>
          <w:sz w:val="24"/>
          <w:szCs w:val="32"/>
          <w:lang w:eastAsia="pt-BR"/>
        </w:rPr>
        <w:t xml:space="preserve"> </w:t>
      </w:r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 xml:space="preserve">falha na gestão de pacientes com </w:t>
      </w:r>
      <w:proofErr w:type="spellStart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>DCNTs</w:t>
      </w:r>
      <w:proofErr w:type="spellEnd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 xml:space="preserve"> na época da pandemia de Covid-19 representa um grave problema de saúde pública. A adoção de estilos de vida saudáveis e o investimento na atenção primária para garantir o acompanhamento contínuo dos pacientes é crucial. Ressalta-se a necessidade de realizar novos estudos na tentativa de obter dados sobre estratégias seguras e efetivas para o manejo das</w:t>
      </w:r>
      <w:r w:rsid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 xml:space="preserve"> </w:t>
      </w:r>
      <w:proofErr w:type="spellStart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>DCNTs</w:t>
      </w:r>
      <w:proofErr w:type="spellEnd"/>
      <w:r w:rsidR="00301112" w:rsidRPr="00301112">
        <w:rPr>
          <w:rFonts w:ascii="Times New Roman" w:eastAsia="Times New Roman" w:hAnsi="Times New Roman"/>
          <w:color w:val="000000"/>
          <w:sz w:val="24"/>
          <w:szCs w:val="32"/>
          <w:lang w:eastAsia="pt-BR"/>
        </w:rPr>
        <w:t>.</w:t>
      </w:r>
    </w:p>
    <w:p w14:paraId="1B682040" w14:textId="77777777" w:rsidR="00026819" w:rsidRPr="00301112" w:rsidRDefault="00026819" w:rsidP="00301112">
      <w:pPr>
        <w:pStyle w:val="RESUMO"/>
        <w:widowControl w:val="0"/>
        <w:ind w:left="0"/>
        <w:rPr>
          <w:rFonts w:ascii="Times New Roman" w:hAnsi="Times New Roman"/>
          <w:sz w:val="24"/>
          <w:szCs w:val="24"/>
        </w:rPr>
      </w:pPr>
    </w:p>
    <w:p w14:paraId="26224B9A" w14:textId="76823A83" w:rsidR="00301112" w:rsidRDefault="00301112" w:rsidP="00301112">
      <w:pPr>
        <w:pStyle w:val="RESUMO"/>
        <w:widowControl w:val="0"/>
        <w:ind w:left="0"/>
        <w:rPr>
          <w:rFonts w:ascii="Times New Roman" w:hAnsi="Times New Roman"/>
          <w:sz w:val="24"/>
          <w:szCs w:val="24"/>
        </w:rPr>
      </w:pPr>
      <w:r w:rsidRPr="00301112">
        <w:rPr>
          <w:rFonts w:ascii="Times New Roman" w:hAnsi="Times New Roman"/>
          <w:b/>
          <w:sz w:val="24"/>
          <w:szCs w:val="24"/>
        </w:rPr>
        <w:t>Palavras-chave:</w:t>
      </w:r>
      <w:r w:rsidRPr="00301112">
        <w:rPr>
          <w:rFonts w:ascii="Times New Roman" w:hAnsi="Times New Roman"/>
          <w:sz w:val="24"/>
          <w:szCs w:val="24"/>
        </w:rPr>
        <w:t xml:space="preserve"> Doenças crônicas não transmissíveis</w:t>
      </w:r>
      <w:r w:rsidR="00170517">
        <w:rPr>
          <w:rFonts w:ascii="Times New Roman" w:hAnsi="Times New Roman"/>
          <w:sz w:val="24"/>
          <w:szCs w:val="24"/>
        </w:rPr>
        <w:t>;</w:t>
      </w:r>
      <w:r w:rsidRPr="00301112">
        <w:rPr>
          <w:rFonts w:ascii="Times New Roman" w:hAnsi="Times New Roman"/>
          <w:sz w:val="24"/>
          <w:szCs w:val="24"/>
        </w:rPr>
        <w:t xml:space="preserve"> COVID-19</w:t>
      </w:r>
      <w:r w:rsidR="00170517">
        <w:rPr>
          <w:rFonts w:ascii="Times New Roman" w:hAnsi="Times New Roman"/>
          <w:sz w:val="24"/>
          <w:szCs w:val="24"/>
        </w:rPr>
        <w:t>;</w:t>
      </w:r>
      <w:r w:rsidRPr="00301112">
        <w:rPr>
          <w:rFonts w:ascii="Times New Roman" w:hAnsi="Times New Roman"/>
          <w:sz w:val="24"/>
          <w:szCs w:val="24"/>
        </w:rPr>
        <w:t xml:space="preserve"> Pandemia.</w:t>
      </w:r>
    </w:p>
    <w:p w14:paraId="753964B6" w14:textId="35D98C62" w:rsidR="00026819" w:rsidRDefault="00026819" w:rsidP="00301112">
      <w:pPr>
        <w:pStyle w:val="RESUMO"/>
        <w:widowControl w:val="0"/>
        <w:ind w:left="0"/>
        <w:rPr>
          <w:rFonts w:ascii="Times New Roman" w:hAnsi="Times New Roman"/>
          <w:sz w:val="24"/>
          <w:szCs w:val="24"/>
        </w:rPr>
      </w:pPr>
    </w:p>
    <w:p w14:paraId="75EB6596" w14:textId="62A53176" w:rsidR="00026819" w:rsidRDefault="00026819" w:rsidP="00026819">
      <w:pPr>
        <w:pStyle w:val="RESUMO"/>
        <w:widowControl w:val="0"/>
        <w:ind w:left="0"/>
        <w:jc w:val="center"/>
        <w:rPr>
          <w:rFonts w:ascii="Times New Roman" w:hAnsi="Times New Roman"/>
          <w:sz w:val="24"/>
          <w:szCs w:val="24"/>
        </w:rPr>
      </w:pPr>
    </w:p>
    <w:p w14:paraId="79C21F36" w14:textId="77777777" w:rsidR="00026819" w:rsidRPr="00026819" w:rsidRDefault="00026819" w:rsidP="000268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26819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IMPACT OF THE COVID-19 PANDEMIC ON THE MANAGEMENT OF CHRONIC NONCOMMUNICABLE DISEASES: A GLOBAL SYNDEMIC</w:t>
      </w:r>
    </w:p>
    <w:p w14:paraId="76677360" w14:textId="77777777" w:rsidR="00026819" w:rsidRPr="00301112" w:rsidRDefault="00026819" w:rsidP="00301112">
      <w:pPr>
        <w:pStyle w:val="RESUMO"/>
        <w:widowControl w:val="0"/>
        <w:ind w:left="0"/>
        <w:rPr>
          <w:rFonts w:ascii="Times New Roman" w:hAnsi="Times New Roman"/>
          <w:sz w:val="24"/>
          <w:szCs w:val="24"/>
        </w:rPr>
      </w:pPr>
    </w:p>
    <w:p w14:paraId="2B8E3EA1" w14:textId="77777777" w:rsidR="00301112" w:rsidRDefault="00301112" w:rsidP="00301112">
      <w:pPr>
        <w:pStyle w:val="RESUMO"/>
        <w:widowControl w:val="0"/>
        <w:ind w:left="0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7F735D93" w14:textId="67BDD5FB" w:rsidR="00301112" w:rsidRPr="0026255F" w:rsidRDefault="00301112" w:rsidP="00301112">
      <w:pPr>
        <w:pStyle w:val="RESUMO"/>
        <w:widowControl w:val="0"/>
        <w:ind w:left="0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26255F">
        <w:rPr>
          <w:rFonts w:ascii="Times New Roman" w:eastAsia="Times New Roman" w:hAnsi="Times New Roman"/>
          <w:bCs/>
          <w:sz w:val="24"/>
          <w:szCs w:val="24"/>
          <w:lang w:val="en-US"/>
        </w:rPr>
        <w:t>ABSTRACT</w:t>
      </w:r>
    </w:p>
    <w:p w14:paraId="78C6FEFB" w14:textId="77777777" w:rsidR="00EC3FCE" w:rsidRPr="00301112" w:rsidRDefault="00EC3FCE" w:rsidP="00301112">
      <w:pPr>
        <w:pStyle w:val="RESUMO"/>
        <w:widowControl w:val="0"/>
        <w:ind w:left="0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7D9C106" w14:textId="5FBDD5C3" w:rsidR="00301112" w:rsidRPr="00725FCA" w:rsidRDefault="00725FCA" w:rsidP="009F78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725FCA"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pt-BR"/>
        </w:rPr>
        <w:t>This work aimed to promote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" w:eastAsia="pt-BR"/>
        </w:rPr>
        <w:t xml:space="preserve"> the </w:t>
      </w:r>
      <w:r w:rsidR="00301112" w:rsidRPr="00301112">
        <w:rPr>
          <w:rFonts w:ascii="Times New Roman" w:hAnsi="Times New Roman"/>
          <w:sz w:val="24"/>
          <w:szCs w:val="24"/>
          <w:lang w:val="en-US"/>
        </w:rPr>
        <w:t>discussion about the impact of COVID-19 on the management of NCDs</w:t>
      </w:r>
      <w:r w:rsidR="00301112" w:rsidRPr="00301112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This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is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an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exploratory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research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of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literature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review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type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Articles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published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lastRenderedPageBreak/>
        <w:t>last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five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years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English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and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Portuguese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were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selected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from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following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databases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PubMed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Scielo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Springerlink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using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descriptors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“Non-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communicable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chronic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diseases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”, “COVID-19”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and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Pandemic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”. A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descriptive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analysis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of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studies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was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performed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. A total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of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45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studies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were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included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this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review,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reporting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that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pointed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to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chronic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inflammation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present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in viral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infections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, as a direct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impact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factor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onset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progression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or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development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of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NCDs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. In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addition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systemic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inflammation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underlying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comorbidities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can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exacerbate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COVID-19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infection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and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constitute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risk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factor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complications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associated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with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severe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cases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of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illness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caused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by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SARS-CoV-2. </w:t>
      </w:r>
      <w:r w:rsidR="002C57FA">
        <w:rPr>
          <w:rFonts w:ascii="Times New Roman" w:hAnsi="Times New Roman"/>
          <w:bCs/>
          <w:sz w:val="24"/>
          <w:szCs w:val="24"/>
        </w:rPr>
        <w:t xml:space="preserve">It </w:t>
      </w:r>
      <w:proofErr w:type="spellStart"/>
      <w:r w:rsidR="002C57FA">
        <w:rPr>
          <w:rFonts w:ascii="Times New Roman" w:hAnsi="Times New Roman"/>
          <w:bCs/>
          <w:sz w:val="24"/>
          <w:szCs w:val="24"/>
        </w:rPr>
        <w:t>is</w:t>
      </w:r>
      <w:proofErr w:type="spellEnd"/>
      <w:r w:rsidR="002C57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C57FA">
        <w:rPr>
          <w:rFonts w:ascii="Times New Roman" w:hAnsi="Times New Roman"/>
          <w:bCs/>
          <w:sz w:val="24"/>
          <w:szCs w:val="24"/>
        </w:rPr>
        <w:t>concluded</w:t>
      </w:r>
      <w:proofErr w:type="spellEnd"/>
      <w:r w:rsidR="002C57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C57FA">
        <w:rPr>
          <w:rFonts w:ascii="Times New Roman" w:hAnsi="Times New Roman"/>
          <w:bCs/>
          <w:sz w:val="24"/>
          <w:szCs w:val="24"/>
        </w:rPr>
        <w:t>that</w:t>
      </w:r>
      <w:proofErr w:type="spellEnd"/>
      <w:r w:rsidR="002C57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C57FA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2C57F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C57FA">
        <w:rPr>
          <w:rFonts w:ascii="Times New Roman" w:hAnsi="Times New Roman"/>
          <w:bCs/>
          <w:sz w:val="24"/>
          <w:szCs w:val="24"/>
        </w:rPr>
        <w:t>failure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to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manage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patients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with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NCDs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at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time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of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Covid-19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pandemic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represents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serious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public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health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problem.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Adopting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healthy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lifestyles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and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investing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primary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care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to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ensure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continuous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patient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follow-up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is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crucial.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We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emphasize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need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to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carry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out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further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studies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an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attempt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to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obtain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on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safe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and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effective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strategies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the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management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of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1112" w:rsidRPr="00301112">
        <w:rPr>
          <w:rFonts w:ascii="Times New Roman" w:hAnsi="Times New Roman"/>
          <w:sz w:val="24"/>
          <w:szCs w:val="24"/>
        </w:rPr>
        <w:t>NCDs</w:t>
      </w:r>
      <w:proofErr w:type="spellEnd"/>
      <w:r w:rsidR="00301112" w:rsidRPr="00301112">
        <w:rPr>
          <w:rFonts w:ascii="Times New Roman" w:hAnsi="Times New Roman"/>
          <w:sz w:val="24"/>
          <w:szCs w:val="24"/>
        </w:rPr>
        <w:t>.</w:t>
      </w:r>
    </w:p>
    <w:p w14:paraId="070BC2D2" w14:textId="77777777" w:rsidR="00026819" w:rsidRPr="00301112" w:rsidRDefault="00026819" w:rsidP="009F7876">
      <w:pPr>
        <w:pStyle w:val="RESUMO"/>
        <w:ind w:left="0"/>
        <w:rPr>
          <w:rFonts w:ascii="Times New Roman" w:hAnsi="Times New Roman"/>
          <w:sz w:val="24"/>
          <w:szCs w:val="24"/>
          <w:lang w:val="en-US"/>
        </w:rPr>
      </w:pPr>
    </w:p>
    <w:p w14:paraId="55C02C9F" w14:textId="4A05E75C" w:rsidR="00301112" w:rsidRPr="00301112" w:rsidRDefault="00301112" w:rsidP="00301112">
      <w:pPr>
        <w:pStyle w:val="RESUMO"/>
        <w:ind w:left="0"/>
        <w:rPr>
          <w:rFonts w:ascii="Times New Roman" w:hAnsi="Times New Roman"/>
          <w:sz w:val="24"/>
          <w:szCs w:val="24"/>
          <w:lang w:val="en-US"/>
        </w:rPr>
      </w:pPr>
      <w:r w:rsidRPr="00301112">
        <w:rPr>
          <w:rFonts w:ascii="Times New Roman" w:hAnsi="Times New Roman"/>
          <w:b/>
          <w:sz w:val="24"/>
          <w:szCs w:val="24"/>
          <w:lang w:val="en-US"/>
        </w:rPr>
        <w:t>Keywords:</w:t>
      </w:r>
      <w:r w:rsidRPr="00301112">
        <w:rPr>
          <w:rFonts w:ascii="Times New Roman" w:hAnsi="Times New Roman"/>
          <w:sz w:val="24"/>
          <w:szCs w:val="24"/>
          <w:lang w:val="en-US"/>
        </w:rPr>
        <w:t xml:space="preserve"> Pandemic</w:t>
      </w:r>
      <w:r w:rsidR="00170517">
        <w:rPr>
          <w:rFonts w:ascii="Times New Roman" w:hAnsi="Times New Roman"/>
          <w:sz w:val="24"/>
          <w:szCs w:val="24"/>
          <w:lang w:val="en-US"/>
        </w:rPr>
        <w:t>;</w:t>
      </w:r>
      <w:r w:rsidRPr="00301112">
        <w:rPr>
          <w:rFonts w:ascii="Times New Roman" w:hAnsi="Times New Roman"/>
          <w:sz w:val="24"/>
          <w:szCs w:val="24"/>
          <w:lang w:val="en-US"/>
        </w:rPr>
        <w:t xml:space="preserve"> COVID-19</w:t>
      </w:r>
      <w:r w:rsidR="00170517">
        <w:rPr>
          <w:rFonts w:ascii="Times New Roman" w:hAnsi="Times New Roman"/>
          <w:sz w:val="24"/>
          <w:szCs w:val="24"/>
          <w:lang w:val="en-US"/>
        </w:rPr>
        <w:t>;</w:t>
      </w:r>
      <w:r w:rsidRPr="00301112">
        <w:rPr>
          <w:rFonts w:ascii="Times New Roman" w:hAnsi="Times New Roman"/>
          <w:sz w:val="24"/>
          <w:szCs w:val="24"/>
          <w:lang w:val="en-US"/>
        </w:rPr>
        <w:t xml:space="preserve"> Chronic non-communicable diseases.</w:t>
      </w:r>
    </w:p>
    <w:p w14:paraId="75BEF9DC" w14:textId="225A309E" w:rsidR="00301112" w:rsidRDefault="00301112"/>
    <w:p w14:paraId="7907E4E0" w14:textId="77777777" w:rsidR="00EC3FCE" w:rsidRDefault="00EC3FCE" w:rsidP="009F7876">
      <w:pPr>
        <w:spacing w:line="360" w:lineRule="auto"/>
      </w:pPr>
    </w:p>
    <w:p w14:paraId="62CE225B" w14:textId="5CA063D4" w:rsidR="00170517" w:rsidRPr="00003690" w:rsidRDefault="00301112" w:rsidP="0000369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90">
        <w:rPr>
          <w:rFonts w:ascii="Times New Roman" w:hAnsi="Times New Roman" w:cs="Times New Roman"/>
          <w:sz w:val="24"/>
          <w:szCs w:val="24"/>
        </w:rPr>
        <w:t>INTRODUÇÃO</w:t>
      </w:r>
    </w:p>
    <w:p w14:paraId="1022AAB0" w14:textId="77777777" w:rsidR="0026255F" w:rsidRPr="0026255F" w:rsidRDefault="0026255F" w:rsidP="00262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73B75" w14:textId="77777777" w:rsidR="00301112" w:rsidRPr="00075426" w:rsidRDefault="00301112" w:rsidP="009F78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305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Desde a sua origem em dezembro de 2019, em Wuhan, na China, a COVID-19, uma doença infecciosa causada pelo novo SARS-CoV-2, continua sendo a responsável por amplas taxas de morbimortalidade em escala global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eastAsia="pt-BR"/>
        </w:rPr>
        <w:t>1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14:paraId="27F0E606" w14:textId="4080671B" w:rsidR="00301112" w:rsidRPr="00075426" w:rsidRDefault="00301112" w:rsidP="009F78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Devido a seu caráter de alta transmissibilidade - dada através do contato com gotículas que carregam o vírus - e alarmante letalidade, medidas de controle de infecção - como o uso constante de máscaras, o distanciamento social e o lockdown - tornaram-se essenciais na tentativa de prevenir a disseminação da doença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eastAsia="pt-BR"/>
        </w:rPr>
        <w:t>1,2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14:paraId="5FB54B05" w14:textId="77777777" w:rsidR="00301112" w:rsidRPr="00075426" w:rsidRDefault="00301112" w:rsidP="009F78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Torna-se, portanto, essencial avaliar a maneira como a adoção de tais medidas cruciais de prevenção impactaram diretamente o manejo da saúde, principalmente no que diz respeito aos indivíduos portadores de condições que requerem um acompanhamento contínuo - como é o caso dos portadores de Doenças Crônicas Não Transmissíveis (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-.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Nesse contexto, conhecer e descrever a relação das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a COVID-19 e suas medidas de prevenção se mostrou de extrema relevância. As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 caracterizam como um grupo de doenças de causas múltiplas, com longos períodos de latência, que necessitam de cuidados de saúde específicos e acompanhamento continuado. Abrangem enfermidades como o câncer, a hipertensão arterial sistêmica, a diabetes e outras patologias que afetam os sistemas respiratório,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cardiovascular, renal e endócrino, 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configuram como uma das maiores causas de morbimortalidade do mundo, representando atualmente um fardo significativo para os sistemas globais de saúde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2,3,4,5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 </w:t>
      </w:r>
    </w:p>
    <w:p w14:paraId="490BECA9" w14:textId="77777777" w:rsidR="00301112" w:rsidRPr="00075426" w:rsidRDefault="00301112" w:rsidP="009F78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As implicações da adoção das medidas que visam reduzir a propagação do vírus são múltiplas para os pacientes com DCNT. O isolamento social, o distanciamento físico e o consequente acesso restrito às unidades de saúde e aos serviços de transporte podem ocasionar o mau gerenciamento dos cuidados exigidos pelas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Como consequência, o aumento do sedentarismo, a adoção de dietas não saudáveis, o uso nocivo de álcool e tabaco e a interrupção do acesso aos serviços de rotina e aos suprimentos medicamentosos colaboram para o aumento das taxas de prevalência de tais doenças e potencializam a vulnerabilidade dos pacientes portadores de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um maior risco de mortalidade pela infecção por Covid-19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eastAsia="pt-BR"/>
        </w:rPr>
        <w:t>1,6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</w:p>
    <w:p w14:paraId="6982F42C" w14:textId="19004CC1" w:rsidR="00301112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desafio de manter a qualidade e continuidade dos cuidados prestados aos pacientes com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em meio à pandemia adquire enorme significado no contexto da ética e da saúde pública. Destarte, a presente revisão teve como objetivo investigar o impacto da COVID-19 no manejo dessas doenças e avaliar estratégias capazes de mitigar a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sindemia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em curso.</w:t>
      </w:r>
    </w:p>
    <w:p w14:paraId="3B8D48B4" w14:textId="362AEAE5" w:rsidR="00301112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226B26E7" w14:textId="5D54874B" w:rsidR="00301112" w:rsidRPr="00003690" w:rsidRDefault="00301112" w:rsidP="0000369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90">
        <w:rPr>
          <w:rFonts w:ascii="Times New Roman" w:hAnsi="Times New Roman" w:cs="Times New Roman"/>
          <w:sz w:val="24"/>
          <w:szCs w:val="24"/>
        </w:rPr>
        <w:t>MATERIAIS E MÉTODOS</w:t>
      </w:r>
    </w:p>
    <w:p w14:paraId="0ED71E31" w14:textId="77777777" w:rsidR="0026255F" w:rsidRPr="0026255F" w:rsidRDefault="0026255F" w:rsidP="009F78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02CCF" w14:textId="77777777" w:rsidR="00301112" w:rsidRPr="00075426" w:rsidRDefault="00301112" w:rsidP="009F787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5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estudo consiste em uma pesquisa exploratória do tipo revisão de literatura, que sintetiza achados importantes da literatura acerca do tema. O levantamento e organização do material foi realizado entre junho e novembro de 2021. </w:t>
      </w:r>
    </w:p>
    <w:p w14:paraId="7E83C036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processo de seleção foram preferencialmente escolhidos artigos publicados nos últimos 5 anos, incluindo produções na língua inglesa e portuguesa. O material científico foi obtido através das bases de dados: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t>PubMed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t>Scielo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t>Springerlink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t>, utilizando os descritores “Doenças crônicas não transmissíveis”, “COVID-19” e “Pandemia”, com buscas de modo associado e isolado, sintetizados por meio dos operadores booleanos OR e AND.</w:t>
      </w:r>
    </w:p>
    <w:p w14:paraId="1F71CE9B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critérios de inclusão, foram selecionados estudos que contemplaram a relação entre as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t>DCNTs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COVID-19. Estudos que avaliaram temas não relacionados à revisão ou não abordaram o tema em sua integralidade, foram excluídos. </w:t>
      </w:r>
    </w:p>
    <w:p w14:paraId="2782344D" w14:textId="4412C698" w:rsidR="00301112" w:rsidRPr="00301112" w:rsidRDefault="00301112" w:rsidP="009F78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4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Uma lista de referências dos artigos selecionados foi escrutinada, a fim de se identificar estudos potencialmente elegíveis. Foi desenvolvida análise descritiva dos estudos selecionados, procurando estabelecer uma síntese dos resultados dos estudos incluídos. </w:t>
      </w:r>
    </w:p>
    <w:p w14:paraId="2F9AD5F4" w14:textId="6DADFE63" w:rsidR="00301112" w:rsidRPr="00075426" w:rsidRDefault="00301112" w:rsidP="002625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extração dos dados foi feita pelos pesquisadores   de   forma   independente, mediante análise dos estudos de acordo com parâmetros   como:  título, ano de publicação, idioma, autores, base de dados, objetivos, amostra (n) e os principais achados, de modo estes pudessem contribuir de fato para o presente estudo.</w:t>
      </w:r>
    </w:p>
    <w:p w14:paraId="5B43089B" w14:textId="77777777" w:rsidR="00301112" w:rsidRPr="0026255F" w:rsidRDefault="00301112" w:rsidP="009F78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55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7A3CB90" w14:textId="51C51D57" w:rsidR="0026255F" w:rsidRPr="0026255F" w:rsidRDefault="00301112" w:rsidP="00003690">
      <w:pPr>
        <w:pStyle w:val="Textodecomentri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55F">
        <w:rPr>
          <w:rFonts w:ascii="Times New Roman" w:hAnsi="Times New Roman" w:cs="Times New Roman"/>
          <w:sz w:val="24"/>
          <w:szCs w:val="24"/>
        </w:rPr>
        <w:t>RESULTADOS</w:t>
      </w:r>
    </w:p>
    <w:p w14:paraId="6A4DF277" w14:textId="2B845708" w:rsidR="00301112" w:rsidRDefault="00301112" w:rsidP="009F7876">
      <w:pPr>
        <w:pStyle w:val="Textodecomentrio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305D2">
        <w:rPr>
          <w:rFonts w:ascii="Times New Roman" w:hAnsi="Times New Roman" w:cs="Times New Roman"/>
          <w:sz w:val="24"/>
          <w:szCs w:val="24"/>
        </w:rPr>
        <w:tab/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Nossa busca resultou em uma lista de 65 referências, cujos títulos e resumos se adequam à proposta da revisão. Destas, 3 publicações foram removidas por estarem duplicadas. Após análise criteriosa pelos autores, 9 artigos foram excluídos por não abordarem o tema em sua integralidade. Desse modo, o total de 53 artigos foram incluídos nessa revisão, pois, de fato, abordavam o tema na íntegra.  Foram selecionadas revisões sistemáticas (29 estudos), revisões narrativas (9 estudos), estudos de coorte (3 estudos) e outros desenhos (12 estudos). Contudo, após leitura dos textos completos, 49 estudos foram considerados relevantes para serem incluídos nessa revisão (Figura 1).</w:t>
      </w:r>
    </w:p>
    <w:p w14:paraId="4A241F1B" w14:textId="77777777" w:rsidR="00301112" w:rsidRDefault="00301112" w:rsidP="009F7876">
      <w:pPr>
        <w:spacing w:after="0"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5612018B" w14:textId="0F0B9371" w:rsidR="00301112" w:rsidRPr="00003690" w:rsidRDefault="00301112" w:rsidP="009F787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pt-BR"/>
        </w:rPr>
      </w:pPr>
      <w:r w:rsidRPr="00003690">
        <w:rPr>
          <w:rFonts w:ascii="Times New Roman" w:hAnsi="Times New Roman" w:cs="Times New Roman"/>
          <w:b/>
          <w:sz w:val="20"/>
          <w:szCs w:val="20"/>
        </w:rPr>
        <w:t>Figura 1</w:t>
      </w:r>
      <w:r w:rsidRPr="0000369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.</w:t>
      </w:r>
      <w:r w:rsidRPr="0000369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r w:rsidRPr="00003690">
        <w:rPr>
          <w:rFonts w:ascii="Times New Roman" w:eastAsia="Times New Roman" w:hAnsi="Times New Roman" w:cs="Times New Roman"/>
          <w:color w:val="111111"/>
          <w:sz w:val="20"/>
          <w:szCs w:val="20"/>
          <w:lang w:eastAsia="pt-BR"/>
        </w:rPr>
        <w:t>Fluxograma do processo de seleção dos artigos para a revisão integrativa da literatura.</w:t>
      </w:r>
    </w:p>
    <w:p w14:paraId="69CF703F" w14:textId="1BD6F3B0" w:rsidR="00301112" w:rsidRDefault="00301112" w:rsidP="00301112">
      <w:pPr>
        <w:pStyle w:val="Textodecomentri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0AC99BF" w14:textId="66CA2C78" w:rsidR="00301112" w:rsidRPr="00075426" w:rsidRDefault="00301112" w:rsidP="00301112">
      <w:pPr>
        <w:pStyle w:val="Textodecomentri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lastRenderedPageBreak/>
        <w:drawing>
          <wp:inline distT="0" distB="0" distL="0" distR="0" wp14:anchorId="1A1AE61C" wp14:editId="7BA110D6">
            <wp:extent cx="5844174" cy="3125055"/>
            <wp:effectExtent l="0" t="0" r="444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ux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9"/>
                    <a:stretch/>
                  </pic:blipFill>
                  <pic:spPr bwMode="auto">
                    <a:xfrm>
                      <a:off x="0" y="0"/>
                      <a:ext cx="5849783" cy="3128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6A31F1" w14:textId="5879D4C1" w:rsidR="00003690" w:rsidRDefault="00003690" w:rsidP="00003690">
      <w:pPr>
        <w:pStyle w:val="Textodecomentrio"/>
        <w:spacing w:line="360" w:lineRule="auto"/>
        <w:jc w:val="center"/>
        <w:rPr>
          <w:rFonts w:ascii="Times New Roman" w:hAnsi="Times New Roman" w:cs="Times New Roman"/>
        </w:rPr>
      </w:pPr>
    </w:p>
    <w:p w14:paraId="54E3D903" w14:textId="44255B5B" w:rsidR="00003690" w:rsidRPr="00003690" w:rsidRDefault="00003690" w:rsidP="00003690">
      <w:pPr>
        <w:pStyle w:val="Textodecomentrio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Fonte: Dados da pesquisa, 2021.</w:t>
      </w:r>
    </w:p>
    <w:p w14:paraId="02F82637" w14:textId="77777777" w:rsidR="00003690" w:rsidRPr="00003690" w:rsidRDefault="00003690" w:rsidP="009F7876">
      <w:pPr>
        <w:pStyle w:val="Textodecoment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088FC" w14:textId="260AAF69" w:rsidR="00301112" w:rsidRPr="00003690" w:rsidRDefault="00301112" w:rsidP="00003690">
      <w:pPr>
        <w:pStyle w:val="Textodecomentri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90">
        <w:rPr>
          <w:rFonts w:ascii="Times New Roman" w:hAnsi="Times New Roman" w:cs="Times New Roman"/>
          <w:sz w:val="24"/>
          <w:szCs w:val="24"/>
        </w:rPr>
        <w:t>DISCUSSÃO</w:t>
      </w:r>
    </w:p>
    <w:p w14:paraId="657426CD" w14:textId="77777777" w:rsidR="00301112" w:rsidRPr="00075426" w:rsidRDefault="00301112" w:rsidP="009F78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305D2">
        <w:rPr>
          <w:rFonts w:ascii="Times New Roman" w:hAnsi="Times New Roman" w:cs="Times New Roman"/>
          <w:sz w:val="24"/>
          <w:szCs w:val="24"/>
        </w:rPr>
        <w:tab/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Desde que se iniciou, a atual pandemia causada pelo SARS-CoV-2 tem causado repercussões a nível global, sendo responsável por mais de 5 milhões de mortes confirmadas em todo o mundo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7,8,9,10,11,12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Nesse contexto, diversos estudos têm tido como foco a compreensão dos mecanismos envolvidos na infecção viral e na contenção do vírus, entretanto, o impacto da doença, sobretudo nas populações vulneráveis, e sua repercussão nos sistemas de saúde, permanecem com lacunas ainda pouco exploradas e que necessitam de intervenção.</w:t>
      </w:r>
    </w:p>
    <w:p w14:paraId="34017F09" w14:textId="77777777" w:rsidR="00301112" w:rsidRPr="00075426" w:rsidRDefault="00301112" w:rsidP="009F78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COVID-19 e as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coexistem de forma desafiadora, atuando como uma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sindemia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agravada pelas desigualdades sociais e econômicas, cujo efeito amplia as iniquidades, sendo o maior impacto vivido pela população de baixa renda e com menos escolaridade, que são mais suscetíveis à exposição aos fatores de risco para as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o que reduz a possibilidade de promoção da saúde e prevenção de doenças e representa um emergente problema de saúde pública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13,14,15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387339B6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A presença de comorbidades ou doenças crônicas preexistentes em pacientes com COVID-19 é atualmente uma preocupação significativa, sendo estas associadas a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 aumento da gravidade da doença e maior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prevalência de sintomas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em pacientes com SARS-CoV-2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Nesse sentido, a doença impõe cautela no que diz respeito aos pacientes portadores de doenças crônicas não transmissíveis, visto que a inflamação crônica, presente em infecções virais, está implicada no aparecimento, progressão ou desenvolvimento de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Em contrapartida, acredita-se que a inflamação sistêmica subjacente possa exacerbar a infecção por COVID-19 e que a presença de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carrega fatores de risco para complicações associadas aos casos graves da doença causada pelo SARS-CoV-2, sendo responsáveis pelo agravamento da condição clínica, elevação do tempo de internação e das taxas de morbimortalidade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14,16,17,18,19,20,21,22,23,24,25,26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3779D2DC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Um estudo transversal realizado por Hernández-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Galdamez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et al.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27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revelou a presença de comorbidades em 47,40% dos casos de COVID-19, sendo a hipertensão (20,12%) a DCNT mais prevalente, seguida da diabetes (16,44%). Entre os pacientes internados na UTI, esse número torna-se ainda mais expressivo, com cerca de 69,03% de pacientes apresentando pelo menos uma comorbidade. </w:t>
      </w:r>
    </w:p>
    <w:p w14:paraId="104FD894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relação ao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prognóstico, pessoas com comorbidades pré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noBreakHyphen/>
        <w:t>existentes tendem a ter um desfecho desfavorável quando comparados a populações fisicamente saudáveis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eastAsia="pt-BR"/>
        </w:rPr>
        <w:t>2,28,29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eastAsia="pt-BR"/>
        </w:rPr>
        <w:t xml:space="preserve">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 acordo com Arruda et al.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eastAsia="pt-BR"/>
        </w:rPr>
        <w:t>28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os portadores de doenças crônicas são mais propensos a ter COVID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noBreakHyphen/>
        <w:t>19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com gravidade e criticidade maiores, chegando a necessitar de tratamento intensivo em cerca de 27,2% dos casos. Além disso, o estudo supracitado identificou um aumento da mortalidade em 72,7% para essa população. 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estudo semelhante, Santos e colaboradores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30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apontaram maior incidência de óbitos por COVID-19 em pacientes com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sendo 26,48% correspondentes a indivíduos hipertensos, e 19,74% a diabéticos. </w:t>
      </w:r>
    </w:p>
    <w:p w14:paraId="62345B0A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cenário torna o manejo dos pacientes portadores de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ainda mais laborioso, visto que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gerenciamento dos casos de COVID-19 ainda é uma prioridade para a maioria dos estabelecimentos de saúde, o que torna a alocação de recursos humanos e materiais para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prevenção e o manejo de doenças crônicas não transmissíveis limitada ou até mesmo desconsiderada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13,31,32,33,34,35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0D956E18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>O estudo de Coorte realizado por Leite e colaboradores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  <w:lang w:eastAsia="pt-BR"/>
        </w:rPr>
        <w:t>36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revelou que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28,5% dos participantes relataram um manejo prejudicado de suas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durante o distanciamento social, muitos dos quais tiveram seus tratamentos parcialmente ou totalmente interrompidos durante a pandemia COVID-19, o que reforça a hipótese de que as restrições impostas pela situação resultaram em sérios prejuízos para pacientes com doenças crônicas que requerem monitoramento regular de sintomas e ajuste de regimes de medicamentos complexos.</w:t>
      </w:r>
    </w:p>
    <w:p w14:paraId="38AD51EE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As medidas restritivas, embora sejam essenciais com o intuito de promover a contenção viral,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têm potencial repercussão na saúde e qualidade de vida das pessoas com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sendo apontadas como causas para a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redução da prática de atividade física, acesso limitado a alimentos saudáveis, maior consumo de bebidas alcoólicas e tabaco, aumento de problemas de saúde mental e dificuldade de acesso aos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serviçosde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saúde,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acarretando em uma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piora no estado geral das pessoas que vivem com DCNTs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6,11,14,15,37,38,39,40,41,42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6C2CEEAD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Malta et al.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 xml:space="preserve">15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observaram que os portadores de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apresentaram redução na prática de atividade física (58%), bem como aumento do consumo de alimentos não saudáveis (22,85%), quando comparados aos não portadores dessas doenças.  Quanto ao consumo de tabaco e álcool, não houve diferença significativa entre os dois grupos no estudo citado, mas é sabido que houve aumento no consumo de ambos, visto que 17% dos participantes reportaram aumento do consumo de bebidas alcoólicas e que 34% dos fumantes também aumentaram o número de cigarros consumidos.</w:t>
      </w:r>
    </w:p>
    <w:p w14:paraId="12CD4D2D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outro estudo realizado por Chan et al.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38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11% dos participantes relataram dificuldades na gestão de suas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apontando a dificuldade de acesso às consultas médicas ou de acompanhamento como principal causa (62,5%), o que corrobora com o estudo transversal de Pati e colaboradores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43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onde a realização de consultas sofreu uma queda de 43%. É possível identificar na literatura relatos em que os próprios pacientes também têm apresentado relutância em procurar atendimento, devido ao medo de contrair a infecção ao deslocarem-se de suas residências, o que se torna um problema desafiador, uma vez que a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interrupção dos serviços de saúde aumenta a morbidade, a incapacidade e a mortalidade com o passar do tempo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 doentes crônicos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5,6,34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6916613B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A limitação no acesso aos medicamentos também é evidenciada nos estudos como um fator agravante para a atual situação, com o potencial de gerar implicações clínicas relevantes em termos de aderência ao tratamento, o que pode ocasionar um mau controle da doença, aumentando o risco de hospitalizações evitáveis, complicações e mortes. Tal fato é demonstrado por Chan e colaboradores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38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onde 56,3% dos pacientes avaliados reportaram dificuldade na compra ou acesso a produtos farmacêuticos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6,34,36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1A9D02E1" w14:textId="77777777" w:rsidR="00301112" w:rsidRPr="00075426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Visto que a suspensão da prevenção e do cuidado com os pacientes portadores de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longo prazo pode provocar uma deterioração da saúde a nível global, culminando em acentuadas internações e aumento de custos hospitalares, a adoção de medidas de controle faz-se necessária. Isso é evidenciado nos artigos analisados, que associam o aumento das taxas de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bem como o descontrole dos casos existentes, ao comprometimento ainda mais expressivo na sustentabilidade de sistemas de saúde, agravando a condição dos pacientes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22,34,44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14:paraId="79CBF731" w14:textId="77777777" w:rsidR="00301112" w:rsidRPr="00075426" w:rsidRDefault="00301112" w:rsidP="009F78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Uma estratégia eficaz para mitigar os danos à saúde causados ​​pela COVID-19 em associação com as doenças crônicas é controlar as atividades de mediadores inflamatórios por meio de fatores de risco modificáveis, como dieta e exercícios físicos. Em contrapartida, hábitos pouco saudáveis ​​estão associados a inflamação e aumento do estresse oxidativo, o que pode levar ao desenvolvimento das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Torna-se, portanto, vital a realização de ações intersetoriais visando manter a saúde como prioridade, apoiando a adoção de estilos de vida saudáveis a fim de reduzir a vulnerabilidade da COVID-19 e outras doenças a longo prazo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4,11,22,38,40,45,46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</w:p>
    <w:p w14:paraId="20D70DE9" w14:textId="77777777" w:rsidR="00301112" w:rsidRPr="00075426" w:rsidRDefault="00301112" w:rsidP="009F78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Garantir a assistência às pessoas com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é crucial e, para isso, fatores como infraestrutura, vigilância de doenças e melhora no acesso a serviços de saúde específicos durante a pandemia de COVID-19 são medidas importantes. A literatura aponta o fortalecimento dos sistemas de atenção primária à saúde como alternativa mais eficaz para garantir que os pacientes portadores de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continuem a ter acesso aos cuidados necessários para reduzir seu risco de morbimortalidade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13,36,39,47,48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753D67E7" w14:textId="77777777" w:rsidR="00301112" w:rsidRPr="00075426" w:rsidRDefault="00301112" w:rsidP="009F78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Nessa perspectiva,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papel de uma rede de atenção capaz de otimizar a gestão em saúde e conduzir o serviço nos diferentes níveis de complexidade é valioso, o que torna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rede de atenção à saúde das pessoas com DCNT uma ferramenta no processo de reorganização das 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linhas de cuidado, sob o intuito de garantir que o indivíduo portador desta condição seja abordado de forma singula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humanizada e eficiente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49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4FC7F4F7" w14:textId="77777777" w:rsidR="00301112" w:rsidRPr="00075426" w:rsidRDefault="00301112" w:rsidP="009F78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estratificação de pacientes elegíveis para o atendimento por telemedicina surge como uma alternativa promissora, uma vez que a realização de consultas de forma remota equilibra a manutenção do cuidado dos pacientes e a contenção do vírus, possibilitando o atendimento aos pacientes com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DCNTs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alteração do regime medicamentoso e avaliação de sua adesão, interpretação de exames, apoio e suporte físico e mental. Essa metodologia permite ainda que o atendimento presencial em Unidades Básicas de Saúde seja priorizado para pacientes com queixas agudas não respiratórias e para aqueles com agudização de doenças crônicas, evitando a ida de pacientes para unidades hospitalares e de pronto-atendimento, que estarão progressivamente sobrecarregadas no contexto pandêmico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1,31,32,33,47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026CF834" w14:textId="2ADEB88A" w:rsidR="00301112" w:rsidRDefault="00301112" w:rsidP="009F7876">
      <w:pPr>
        <w:spacing w:line="360" w:lineRule="auto"/>
      </w:pPr>
    </w:p>
    <w:p w14:paraId="4BD38B26" w14:textId="7C171491" w:rsidR="00301112" w:rsidRPr="00003690" w:rsidRDefault="00301112" w:rsidP="00003690">
      <w:pPr>
        <w:pStyle w:val="Textodecomentri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90">
        <w:rPr>
          <w:rFonts w:ascii="Times New Roman" w:hAnsi="Times New Roman" w:cs="Times New Roman"/>
          <w:sz w:val="24"/>
          <w:szCs w:val="24"/>
        </w:rPr>
        <w:t>CONCLUSÃO</w:t>
      </w:r>
    </w:p>
    <w:p w14:paraId="0D8E2087" w14:textId="505594A4" w:rsidR="00301112" w:rsidRDefault="00301112" w:rsidP="009F78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5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35F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doenças crônicas não transmissíveis representam atualmente um ônus significativo para os sistemas globais de saúde. Para evitar seu desenvolvimento ou progressão, uma atenção especial deve ser dada à adoção de hábitos saudáveis, bem como para a continuidade das ações da atenção primária à saúde no acompanhamento aos usuários. No cenário atual de pandemia, o grande foco da gestão da saúde tem sido o controle da emergente COVID-19, o que pode levar a relativa negligência em relação a outras condições, afetando criticamente as necessidades de saúde dos pacientes com </w:t>
      </w:r>
      <w:proofErr w:type="spellStart"/>
      <w:r w:rsidRPr="00D35F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DCNTs</w:t>
      </w:r>
      <w:proofErr w:type="spellEnd"/>
      <w:r w:rsidRPr="00D35F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mais vulneráveis, representando um grave problema de saúde pública, passível de intervenção. </w:t>
      </w:r>
    </w:p>
    <w:p w14:paraId="208287DA" w14:textId="1C7D077F" w:rsidR="00301112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D35F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No que diz respeito à comunidade científica, ressalta-se a necessidade de realizar novos estudos na tentativa de trazer evidências mais robustas que sustentem a aplicação de metodologias para o manejo clínico dos pacientes portadores de </w:t>
      </w:r>
      <w:proofErr w:type="spellStart"/>
      <w:r w:rsidRPr="00D35F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DCNTs</w:t>
      </w:r>
      <w:proofErr w:type="spellEnd"/>
      <w:r w:rsidRPr="00D35F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de forma a apresentarem efetividade e contribuições para a estabilização clínica dos pacientes de forma rápida e segura.</w:t>
      </w:r>
    </w:p>
    <w:p w14:paraId="039560B1" w14:textId="14AB19B4" w:rsidR="00301112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7960E449" w14:textId="2CA723F5" w:rsidR="00301112" w:rsidRPr="00003690" w:rsidRDefault="00301112" w:rsidP="00003690">
      <w:pPr>
        <w:pStyle w:val="Textodecomentri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690">
        <w:rPr>
          <w:rFonts w:ascii="Times New Roman" w:hAnsi="Times New Roman" w:cs="Times New Roman"/>
          <w:sz w:val="24"/>
          <w:szCs w:val="24"/>
        </w:rPr>
        <w:t>REFERÊNCIAS BIBLIOGRÁFICAS</w:t>
      </w:r>
    </w:p>
    <w:p w14:paraId="231B3317" w14:textId="6583BEF6" w:rsidR="00301112" w:rsidRDefault="00301112" w:rsidP="009F7876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A7BAD" w14:textId="77777777" w:rsidR="00301112" w:rsidRPr="00075426" w:rsidRDefault="00301112" w:rsidP="009F787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>Basu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S, et al. Non-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management in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vulnerable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patients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during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Covid-19. Indian J Med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Ethics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2, p. 103-105, 2020.</w:t>
      </w:r>
    </w:p>
    <w:p w14:paraId="21577D68" w14:textId="77777777" w:rsidR="00301112" w:rsidRPr="00075426" w:rsidRDefault="00301112" w:rsidP="009F787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Nunes AFC, et al. As doenças crônicas não transmissíveis no contexto da pandemia da Covid-19 no estado da Bahia. Rev. baiana saúde pública, p. 33-45, 2021.</w:t>
      </w:r>
    </w:p>
    <w:p w14:paraId="3472C54A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Estrela FM, et al. Covid-19 e doenças crônicas: impactos e desdobramentos frente à pandemia. Revista Baiana de Enfermagem‏, v. 34, 2020.</w:t>
      </w:r>
    </w:p>
    <w:p w14:paraId="32077ECD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Bello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B,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Useh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U. COVID-19: Are Non-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Risk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Factors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for Its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Severity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? American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Journal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of Health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Promotion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v.35, n.5, p. 720–729, 2021.</w:t>
      </w:r>
    </w:p>
    <w:p w14:paraId="64984CEC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Malta DC, et al. Uso dos serviços de saúde e adesão ao distanciamento social por adultos com doenças crônicas na pandemia de COVID-19, Brasil, 2020. Ciência &amp; Saúde Coletiva, v. 26, p. 2833-2842, 2021.</w:t>
      </w:r>
    </w:p>
    <w:p w14:paraId="41CBDA64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Kluge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HHP, et al. </w:t>
      </w:r>
      <w:hyperlink r:id="rId9" w:history="1"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Prevention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and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control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of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non-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communicable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diseases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in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the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COVID-19 response</w:t>
        </w:r>
      </w:hyperlink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 The Lancet, v. 395, n. 10238, pág. 1678-1680, 2020.</w:t>
      </w:r>
    </w:p>
    <w:p w14:paraId="4486144E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Cuschieri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Grech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S.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diabetes: The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why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what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how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Journal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of Diabetes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its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Complications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34, n. 9, pág. 107637, 2020.</w:t>
      </w:r>
    </w:p>
    <w:p w14:paraId="66C5D657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Gerhard NP, et al. COVID-19 e sua relação com doenças cardiovasculares, hipertensão e diabetes: uma revisão bibliográfica. Produção científica de Acadêmicos do curso de Nutrição e Pós-Graduação de Gestão em Segurança Alimentar e Nutricional, p. 26.</w:t>
      </w:r>
    </w:p>
    <w:p w14:paraId="4EBCB7EC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Bhansal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A. COVID-19, diabetes mellitus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ACE2: The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conundrum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Rimes. Diabetes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Research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Clinical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Practice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162, p. 108132, 2020.</w:t>
      </w:r>
    </w:p>
    <w:p w14:paraId="38E8BD4A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Jennings G, et al. A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Systematic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Review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Persistent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Symptoms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Residual Abnormal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Functioning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following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Acute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COVID-19: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Ongoing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Symptomatic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Phase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vs. Post-COVID-19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Syndrome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Journal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of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Clinical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Medicine, v. 10, n. 24, pág. 5913, 2021.</w:t>
      </w:r>
    </w:p>
    <w:p w14:paraId="53B29094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Muhammad DG,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Abubakar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IA. COVID-19 lockdown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may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increase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cardiovascular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risk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factors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The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Egyptian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Heart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Journal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73, n. 1, pág. 1-3, 2021.</w:t>
      </w:r>
    </w:p>
    <w:p w14:paraId="04616FA9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Da Silva CP, Covid-19: uma análise das notificações de casos positivos no Estado do Paraná em 2020, com ênfase na doença renal crônica. Pesquisa, Sociedade e Desenvolvimento, v. 10, n. 17, 2021.</w:t>
      </w:r>
    </w:p>
    <w:p w14:paraId="29055D78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 xml:space="preserve">Lancet O. COVID-19: a new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lens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for non-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 Lancet (London,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England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), v. 396, n. 10252, pág. 649, 2020.</w:t>
      </w:r>
    </w:p>
    <w:p w14:paraId="4DDF8B7A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Malta DC, et al. Distanciamento social, sentimento de tristeza e estilos de vida da população brasileira durante a pandemia de COVID-19. Saúde em Debate, v. 44, p. 177-190, 2021.</w:t>
      </w:r>
    </w:p>
    <w:p w14:paraId="13F69AB8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Malta DC, et al. Doenças crônicas não transmissíveis e mudanças nos estilos de vida durante a pandemia de COVID-19 no Brasil. Revista Brasileira de Epidemiologia, v. 24, 2021.</w:t>
      </w:r>
    </w:p>
    <w:p w14:paraId="769A3EAF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Liu C, et al. COVID-19 in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cancer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patients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: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risk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clinical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features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management.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Cancer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Biology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&amp; Medicine, v. 17, n. 3, pág. 519, 2020.</w:t>
      </w:r>
    </w:p>
    <w:p w14:paraId="1663C879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Moujaess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Kourie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HR, Ghosn M.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Cancer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patients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research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during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pandemic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: A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systematic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review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current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evidence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Crit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Rev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Oncol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Hematol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., v. 150, p. 102972, 2020.</w:t>
      </w:r>
    </w:p>
    <w:p w14:paraId="0D0E780B" w14:textId="77777777" w:rsidR="00301112" w:rsidRPr="00075426" w:rsidRDefault="00301112" w:rsidP="009F787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Petrilli CM. et al.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Factors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associated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with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hospital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admission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critical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illness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among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5279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people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with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coronavirus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2019 in New York City: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prospective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cohort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study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bmj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369, 2020.</w:t>
      </w:r>
    </w:p>
    <w:p w14:paraId="7F1FE64E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Pititto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BA, Ferreira SRG. Diabetes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covid-19: more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than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sum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two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morbidities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 Revista de saúde pública, v. 54, 2020.</w:t>
      </w:r>
    </w:p>
    <w:p w14:paraId="05D333E7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Rychter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AM, et al.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Should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patients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with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obesity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more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afraid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COVID‐19. </w:t>
      </w:r>
      <w:hyperlink r:id="rId10" w:history="1"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Obes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. Rev.</w:t>
        </w:r>
      </w:hyperlink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, v. 21, n. 9, 2020.</w:t>
      </w:r>
    </w:p>
    <w:p w14:paraId="127AD83F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Takian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Bakhtiati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Ostovar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A.  Universal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health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coverage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for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strengthening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prevention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control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noncommunicable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in COVID-19 era. Medical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Journal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Islamic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Republic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Iran (MJIRI), v. 34, p. 153, 2020.</w:t>
      </w:r>
    </w:p>
    <w:p w14:paraId="0DC6ACA0" w14:textId="77777777" w:rsidR="00301112" w:rsidRPr="00075426" w:rsidRDefault="00301112" w:rsidP="009F787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Zabetakis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I, et al. COVID-19: The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Inflammation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Link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Role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Nutrition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in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Potential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Mitigation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 Nutrientes, v. 12, n. 5, pág. 1466, 2020.</w:t>
      </w:r>
    </w:p>
    <w:p w14:paraId="19D93165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Wang X, et al.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Comorbid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chronic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acute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organ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injuries are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strongly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correlated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with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severity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mortality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among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patients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: a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systematic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review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meta-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analysis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Research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2020, 2020.</w:t>
      </w:r>
    </w:p>
    <w:p w14:paraId="3C48BD2B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 xml:space="preserve">Branco CG, et al. Apresentação e desfechos de pacientes com doença renal crônica com COVID-19. Braz. J.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Nephrol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(J. Bras.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Nefrol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.), n. 00, p. 00-00, 2021.</w:t>
      </w:r>
    </w:p>
    <w:p w14:paraId="4D8DED6B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Mesenburg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MA, et al. Doenças crônicas não transmissíveis e covid-19: resultados do estudo Epicovid-19 Brasil. Revista de Saúde Pública, v. 55, 2021.</w:t>
      </w:r>
    </w:p>
    <w:p w14:paraId="58D9F0B2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Nikoloski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Z, et al.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non-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: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evidence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from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systematic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literature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review. BMC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Public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Health, v. 21, n. 1, p. 1-9, 2021.</w:t>
      </w:r>
    </w:p>
    <w:p w14:paraId="3BF3B9CD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Hernández-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Galdamez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DR, et al.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Increased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Risk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Hospitalization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Death in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Patients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COVID-19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Pre-existing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Noncommunicable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Diseases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Modifiable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Risk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Factors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Mexico.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Arch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Med Res., v. 51, n. 7, p. 683-689, 2020.</w:t>
      </w:r>
    </w:p>
    <w:p w14:paraId="102BBED9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Arruda DEG, et al. Prognóstico de pacientes com COVID-19 e doenças crônicas: uma revisão sistemática. Comunicação em Ciências da Saúde, v. 31, n. 03, p. 79-88, 2020.</w:t>
      </w:r>
    </w:p>
    <w:p w14:paraId="79454858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Deng Y, et al.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Association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Hypertension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with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Severity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Mortality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in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Hospitalized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Patients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with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 in Wuhan, China: A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Singlecentered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Retrospective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Study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 Arquivos Brasileiros de Cardiologia, v. 117, p. 911-921, 2021.</w:t>
      </w:r>
    </w:p>
    <w:p w14:paraId="71F55D0A" w14:textId="77777777" w:rsidR="00301112" w:rsidRPr="00075426" w:rsidRDefault="00301112" w:rsidP="009F7876">
      <w:pPr>
        <w:pStyle w:val="NormalWeb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color w:val="000000" w:themeColor="text1"/>
        </w:rPr>
      </w:pPr>
      <w:r w:rsidRPr="00075426">
        <w:rPr>
          <w:color w:val="000000" w:themeColor="text1"/>
        </w:rPr>
        <w:t>Santos LG, et al. Prevalência de Hipertensão Arterial Sistêmica e Diabetes Mellitus em Indivíduos com COVID-19: Um Estudo Retrospectivo de Óbitos em Pernambuco, Brasil. Arquivos Brasileiros de Cardiologia [online], v. 117, n. 2, p. 416-422, 2021.</w:t>
      </w:r>
    </w:p>
    <w:p w14:paraId="6CFF393F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Domeyer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P, et al. Intervenção Nutricional em Tempos de Pandemia por COVID-19: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Nutritional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Intervention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During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Pandemic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Gazeta Médica, 2020.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Chronic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non-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: a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sacrifice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altar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COVID-19. British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Journal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of General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Practice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70, n. 695, pág. 281-281, 2020.</w:t>
      </w:r>
    </w:p>
    <w:p w14:paraId="16442664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Lim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MA, et al. A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wave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non-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following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pandemic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hyperlink r:id="rId11" w:history="1"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Diabetes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Metab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.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Syndr</w:t>
        </w:r>
        <w:proofErr w:type="spellEnd"/>
      </w:hyperlink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., v. 14, n. 5, pág. 979, 2020.</w:t>
      </w:r>
    </w:p>
    <w:p w14:paraId="4F819196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Mobula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LM, et al.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Protecting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vulnerable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during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COVID-19: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Treating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preventing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chronic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disparities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Gates Open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Research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4, 2020.</w:t>
      </w:r>
    </w:p>
    <w:p w14:paraId="38BAF75E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Palmer K, et al. The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potential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long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noBreakHyphen/>
        <w:t>term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impact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noBreakHyphen/>
        <w:t xml:space="preserve">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outbreak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patients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with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non</w:t>
      </w: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noBreakHyphen/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in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Europe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: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consequences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for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healthy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ageing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Aging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Clinical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Experimental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Research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32, n. 7, pág. 1189-1194, 2020.</w:t>
      </w:r>
    </w:p>
    <w:p w14:paraId="77B09CBF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 xml:space="preserve">Chang AY, et al. The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impact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novel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coronavirus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noncommunicable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patients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health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systems: a review.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Journal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Internal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Medicine, v. 289, n. 4, pág. 450-462, 2021.</w:t>
      </w:r>
    </w:p>
    <w:p w14:paraId="4D7A5627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Leite JS, et al. The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Pandemic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Non-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- A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Wake-up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Call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for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Primary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Health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Care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System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Strengthening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inSub-Saharan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Africa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 Ciência &amp; Saúde Coletiva, v. 26, p. 987-1000, 2021.</w:t>
      </w:r>
    </w:p>
    <w:p w14:paraId="6947FF4A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Abrams </w:t>
      </w:r>
      <w:proofErr w:type="gram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EM,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Szefler</w:t>
      </w:r>
      <w:proofErr w:type="spellEnd"/>
      <w:proofErr w:type="gram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SJ.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impact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social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determinants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health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The Lancet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Respiratory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Medicine, v. 8, n. 7, pág. 659-661, 2020.</w:t>
      </w:r>
    </w:p>
    <w:p w14:paraId="0A19B405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Chan EYY, et al.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What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Happened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to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People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with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Non-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during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COVID-19: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Implications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H-EDRM Policies. </w:t>
      </w:r>
      <w:hyperlink r:id="rId12" w:history="1"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International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Journal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of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Environmental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Research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and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</w:t>
        </w:r>
        <w:proofErr w:type="spellStart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>Public</w:t>
        </w:r>
        <w:proofErr w:type="spellEnd"/>
        <w:r w:rsidRPr="0007542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eastAsia="pt-BR"/>
          </w:rPr>
          <w:t xml:space="preserve"> Health</w:t>
        </w:r>
      </w:hyperlink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17, n. 15, pág. 5588, 2020.</w:t>
      </w:r>
    </w:p>
    <w:p w14:paraId="171BDA24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Kraef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C, et al. The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Pandemic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Non-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communicable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Diseases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- A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Wake-up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Call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for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Primary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Health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Care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System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Strengthening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inSub-Saharan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Africa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Journal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of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Primary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Care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&amp; Community Health, v. 11, 2020.</w:t>
      </w:r>
    </w:p>
    <w:p w14:paraId="228C6501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Oni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T, et al.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Implications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control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measures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for diet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physical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activity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lessons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for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addressing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other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pandemics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facing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rapidly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urbanising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countries. Global Health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Action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13, n. 1, pág. 1810415, 2020.</w:t>
      </w:r>
    </w:p>
    <w:p w14:paraId="7F0BAD9A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Souza-Filho BAB,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Tritany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EF. COVID-19: importância das novas tecnologias para a prática de atividades físicas como estratégia de saúde pública. Cadernos de Saúde Pública, v. 36, p. e00054420, 2020.</w:t>
      </w:r>
    </w:p>
    <w:p w14:paraId="7E0FEFC4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Ribeiro HS,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Wilund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KR, Lima RM. Quarentena da COVID-19 em pacientes com doença renal crônica: Um enfoque nas características de sarcopenia.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Brazilian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Journal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Nephrology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v. 43, p. 293-294, 2021.</w:t>
      </w:r>
    </w:p>
    <w:p w14:paraId="446E381A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Pati S, et al.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Managing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multimorbidity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multiple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chronic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diseases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amid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COVID-19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pandemic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a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community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based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study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Odisha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India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proofErr w:type="spellStart"/>
      <w:r w:rsidRPr="0007542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Frontiers</w:t>
      </w:r>
      <w:proofErr w:type="spellEnd"/>
      <w:r w:rsidRPr="0007542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7542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public</w:t>
      </w:r>
      <w:proofErr w:type="spellEnd"/>
      <w:r w:rsidRPr="0007542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7542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health</w:t>
      </w:r>
      <w:proofErr w:type="spellEnd"/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 v. </w:t>
      </w:r>
      <w:r w:rsidRPr="00075426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8</w:t>
      </w:r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p. 584408, 2021.</w:t>
      </w:r>
    </w:p>
    <w:p w14:paraId="536B07B3" w14:textId="77777777" w:rsidR="00301112" w:rsidRPr="00075426" w:rsidRDefault="00301112" w:rsidP="009F7876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Ashby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MPJ.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Initial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evidence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relationship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between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coronavirus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pandemic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crime in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United States. Crime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Sci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., v. 9, n. 1, p. 6, 2020. </w:t>
      </w:r>
    </w:p>
    <w:p w14:paraId="4C133817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lastRenderedPageBreak/>
        <w:t xml:space="preserve">Dias MPG, Correia C, Moreira AC. Intervenção Nutricional em Tempos de Pandemia por COVID-19: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Nutritional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Intervention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During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Pandemic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 Gazeta Médica, 2020.</w:t>
      </w:r>
    </w:p>
    <w:p w14:paraId="185BB0EF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Martinez-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ferran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M, et al.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Metabolic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Impacts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of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Confinement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during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the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COVID-19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Pandemic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Due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to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Modified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Diet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and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Physical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Activity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Habits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 Nutrientes, v. 12, n. 6, pág. 1549, 2020.</w:t>
      </w:r>
    </w:p>
    <w:p w14:paraId="109F8DDB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Daumas</w:t>
      </w:r>
      <w:proofErr w:type="spellEnd"/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RP, et al. O papel da atenção primária na rede de atenção à saúde no Brasil: limites e possibilidades no enfrentamento da COVID-19. Cadernos de Saúde Pública, v. 36, 2020.</w:t>
      </w:r>
    </w:p>
    <w:p w14:paraId="5411B38B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Barra RP, et al. A importância da gestão correta da condição crônica na Atenção Primária à Saúde para o enfrentamento da COVID-19 em Uberlândia, Minas Gerais. APS em Revista, v. 2, n. 1, p. 38-43, 2020.</w:t>
      </w:r>
    </w:p>
    <w:p w14:paraId="4621C30C" w14:textId="77777777" w:rsidR="00301112" w:rsidRPr="00075426" w:rsidRDefault="00301112" w:rsidP="009F7876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754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BRAGA JCT. Matriz de indicadores para tecnologias em saúde na gestão do cuidado as doenças crônicas na Atenção Primária à Saúde: revisão integrativa. 2021.</w:t>
      </w:r>
    </w:p>
    <w:p w14:paraId="18447E40" w14:textId="77777777" w:rsidR="00301112" w:rsidRDefault="00301112" w:rsidP="009F7876">
      <w:pPr>
        <w:pStyle w:val="Textodecomentrio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1D9C2" w14:textId="77777777" w:rsidR="00301112" w:rsidRPr="002305D2" w:rsidRDefault="00301112" w:rsidP="009F7876">
      <w:pPr>
        <w:pStyle w:val="Textodecomentri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5D919" w14:textId="77777777" w:rsidR="00301112" w:rsidRPr="00D35F8A" w:rsidRDefault="00301112" w:rsidP="009F78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5A49F2" w14:textId="77777777" w:rsidR="00301112" w:rsidRDefault="00301112" w:rsidP="009F7876">
      <w:pPr>
        <w:spacing w:line="360" w:lineRule="auto"/>
      </w:pPr>
    </w:p>
    <w:sectPr w:rsidR="00301112" w:rsidSect="009F7876">
      <w:foot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FFE0" w14:textId="77777777" w:rsidR="001311CC" w:rsidRDefault="001311CC" w:rsidP="00101795">
      <w:pPr>
        <w:spacing w:after="0" w:line="240" w:lineRule="auto"/>
      </w:pPr>
      <w:r>
        <w:separator/>
      </w:r>
    </w:p>
  </w:endnote>
  <w:endnote w:type="continuationSeparator" w:id="0">
    <w:p w14:paraId="4ACF0569" w14:textId="77777777" w:rsidR="001311CC" w:rsidRDefault="001311CC" w:rsidP="0010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DDBD" w14:textId="34DC37C3" w:rsidR="00101795" w:rsidRDefault="00101795" w:rsidP="00101795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¹ </w:t>
    </w:r>
    <w:r w:rsidRPr="00101795">
      <w:rPr>
        <w:rFonts w:ascii="Times New Roman" w:eastAsia="Times New Roman" w:hAnsi="Times New Roman" w:cs="Times New Roman"/>
        <w:sz w:val="24"/>
        <w:szCs w:val="24"/>
        <w:lang w:eastAsia="pt-BR"/>
      </w:rPr>
      <w:t>Discentes do Curso de Medicina do Centro Universitário UNIFACISA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.</w:t>
    </w:r>
    <w:r w:rsidR="00026819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E-mail: danielle.araujo@maisunifacisa.com.br</w:t>
    </w:r>
  </w:p>
  <w:p w14:paraId="6C0446AC" w14:textId="5F90D6F3" w:rsidR="00026819" w:rsidRDefault="00026819" w:rsidP="00026819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sz w:val="24"/>
        <w:szCs w:val="24"/>
        <w:lang w:eastAsia="pt-BR"/>
      </w:rPr>
      <w:t>²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</w:t>
    </w:r>
    <w:r w:rsidRPr="00101795">
      <w:rPr>
        <w:rFonts w:ascii="Times New Roman" w:eastAsia="Times New Roman" w:hAnsi="Times New Roman" w:cs="Times New Roman"/>
        <w:sz w:val="24"/>
        <w:szCs w:val="24"/>
        <w:lang w:eastAsia="pt-BR"/>
      </w:rPr>
      <w:t>Discentes do Curso de Medicina do Centro Universitário UNIFACISA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. E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-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mail: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ericles.valoes@maisunifacisa.com.br</w:t>
    </w:r>
  </w:p>
  <w:p w14:paraId="07CA03E6" w14:textId="79BA03BE" w:rsidR="00026819" w:rsidRDefault="00026819" w:rsidP="00101795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sz w:val="24"/>
        <w:szCs w:val="24"/>
        <w:lang w:eastAsia="pt-BR"/>
      </w:rPr>
      <w:t>³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</w:t>
    </w:r>
    <w:r w:rsidRPr="00101795">
      <w:rPr>
        <w:rFonts w:ascii="Times New Roman" w:eastAsia="Times New Roman" w:hAnsi="Times New Roman" w:cs="Times New Roman"/>
        <w:sz w:val="24"/>
        <w:szCs w:val="24"/>
        <w:lang w:eastAsia="pt-BR"/>
      </w:rPr>
      <w:t>Discentes do Curso de Medicina do Centro Universitário UNIFACISA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. E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-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mail: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marina.moura@maisunifacisa.com.br</w:t>
    </w:r>
  </w:p>
  <w:p w14:paraId="242EC19B" w14:textId="155BF91C" w:rsidR="00101795" w:rsidRPr="00101795" w:rsidRDefault="00026819" w:rsidP="00101795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sz w:val="24"/>
        <w:szCs w:val="24"/>
        <w:vertAlign w:val="superscript"/>
        <w:lang w:eastAsia="pt-BR"/>
      </w:rPr>
      <w:t>4</w:t>
    </w:r>
    <w:r w:rsidR="00101795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</w:t>
    </w:r>
    <w:r w:rsidR="00101795" w:rsidRPr="00101795">
      <w:rPr>
        <w:rFonts w:ascii="Times New Roman" w:hAnsi="Times New Roman" w:cs="Times New Roman"/>
        <w:sz w:val="24"/>
        <w:szCs w:val="24"/>
        <w:shd w:val="clear" w:color="auto" w:fill="FFFFFF"/>
      </w:rPr>
      <w:t>Doutora e Mestre em Saúde Coletiva pela Universidade de Fortaleza.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E-mail: roumayne.andrade@maisunifacisa.com.br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B311" w14:textId="77777777" w:rsidR="001311CC" w:rsidRDefault="001311CC" w:rsidP="00101795">
      <w:pPr>
        <w:spacing w:after="0" w:line="240" w:lineRule="auto"/>
      </w:pPr>
      <w:r>
        <w:separator/>
      </w:r>
    </w:p>
  </w:footnote>
  <w:footnote w:type="continuationSeparator" w:id="0">
    <w:p w14:paraId="46BE94E4" w14:textId="77777777" w:rsidR="001311CC" w:rsidRDefault="001311CC" w:rsidP="00101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0C4"/>
    <w:multiLevelType w:val="hybridMultilevel"/>
    <w:tmpl w:val="E60849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86881"/>
    <w:multiLevelType w:val="hybridMultilevel"/>
    <w:tmpl w:val="A32E9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97AAD"/>
    <w:multiLevelType w:val="hybridMultilevel"/>
    <w:tmpl w:val="45620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95"/>
    <w:rsid w:val="00003690"/>
    <w:rsid w:val="00026819"/>
    <w:rsid w:val="000F4FA9"/>
    <w:rsid w:val="00101795"/>
    <w:rsid w:val="001311CC"/>
    <w:rsid w:val="00155385"/>
    <w:rsid w:val="00170517"/>
    <w:rsid w:val="001F2EE9"/>
    <w:rsid w:val="0026255F"/>
    <w:rsid w:val="002C57FA"/>
    <w:rsid w:val="00301112"/>
    <w:rsid w:val="00540D60"/>
    <w:rsid w:val="005F56D5"/>
    <w:rsid w:val="00725FCA"/>
    <w:rsid w:val="009F7876"/>
    <w:rsid w:val="00A46C04"/>
    <w:rsid w:val="00E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C2C20"/>
  <w15:chartTrackingRefBased/>
  <w15:docId w15:val="{766B5C21-50DF-4AA3-82DC-8F9BACCD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95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ING">
    <w:name w:val=".TITULO ING"/>
    <w:basedOn w:val="Normal"/>
    <w:rsid w:val="00101795"/>
    <w:pPr>
      <w:spacing w:after="0" w:line="240" w:lineRule="auto"/>
      <w:jc w:val="center"/>
    </w:pPr>
    <w:rPr>
      <w:rFonts w:ascii="Century Schoolbook" w:eastAsia="Calibri" w:hAnsi="Century Schoolbook" w:cs="Times New Roman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1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1795"/>
    <w:rPr>
      <w:rFonts w:eastAsiaTheme="minorEastAsia"/>
      <w:sz w:val="21"/>
      <w:szCs w:val="21"/>
    </w:rPr>
  </w:style>
  <w:style w:type="paragraph" w:styleId="Rodap">
    <w:name w:val="footer"/>
    <w:basedOn w:val="Normal"/>
    <w:link w:val="RodapChar"/>
    <w:uiPriority w:val="99"/>
    <w:unhideWhenUsed/>
    <w:rsid w:val="00101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1795"/>
    <w:rPr>
      <w:rFonts w:eastAsiaTheme="minorEastAsia"/>
      <w:sz w:val="21"/>
      <w:szCs w:val="21"/>
    </w:rPr>
  </w:style>
  <w:style w:type="paragraph" w:customStyle="1" w:styleId="RESUMO">
    <w:name w:val=".RESUMO"/>
    <w:basedOn w:val="Normal"/>
    <w:rsid w:val="00301112"/>
    <w:pPr>
      <w:spacing w:after="0" w:line="240" w:lineRule="auto"/>
      <w:ind w:left="709" w:right="851"/>
      <w:jc w:val="both"/>
    </w:pPr>
    <w:rPr>
      <w:rFonts w:ascii="Century Schoolbook" w:eastAsia="Calibri" w:hAnsi="Century Schoolbook" w:cs="Times New Roman"/>
      <w:sz w:val="20"/>
      <w:szCs w:val="20"/>
      <w:shd w:val="clear" w:color="auto" w:fill="FFFFFF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11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1112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unhideWhenUsed/>
    <w:rsid w:val="00301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1112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25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25FC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72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760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6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dpi.com/journal/ijerph/announcements/35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mc/articles/PMC731894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mc/articles/PMC73620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lancet.com/journals/lancet/article/PIIS0140-6736(20)31067-9/fulltex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0D59-8B87-4D58-BC04-287A16B6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4246</Words>
  <Characters>22930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Guimarães</dc:creator>
  <cp:keywords/>
  <dc:description/>
  <cp:lastModifiedBy>Danielle Guimarães</cp:lastModifiedBy>
  <cp:revision>7</cp:revision>
  <dcterms:created xsi:type="dcterms:W3CDTF">2023-07-10T21:27:00Z</dcterms:created>
  <dcterms:modified xsi:type="dcterms:W3CDTF">2023-07-10T21:50:00Z</dcterms:modified>
</cp:coreProperties>
</file>