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5B" w:rsidRPr="00085D5A" w:rsidRDefault="007B025B" w:rsidP="007B025B">
      <w:pPr>
        <w:spacing w:line="360" w:lineRule="auto"/>
        <w:jc w:val="center"/>
        <w:rPr>
          <w:rFonts w:ascii="Arial" w:hAnsi="Arial" w:cs="Arial"/>
          <w:color w:val="000000"/>
          <w:sz w:val="24"/>
          <w:szCs w:val="24"/>
        </w:rPr>
      </w:pPr>
      <w:r w:rsidRPr="00085D5A">
        <w:rPr>
          <w:rFonts w:ascii="Arial" w:hAnsi="Arial" w:cs="Arial"/>
          <w:b/>
          <w:color w:val="000000"/>
          <w:sz w:val="24"/>
          <w:szCs w:val="24"/>
        </w:rPr>
        <w:t>RESUMO</w:t>
      </w:r>
    </w:p>
    <w:p w:rsidR="007B025B" w:rsidRPr="00085D5A" w:rsidRDefault="007B025B" w:rsidP="007B025B">
      <w:pPr>
        <w:spacing w:line="360" w:lineRule="auto"/>
        <w:jc w:val="both"/>
        <w:rPr>
          <w:rFonts w:ascii="Arial" w:hAnsi="Arial" w:cs="Arial"/>
          <w:sz w:val="24"/>
          <w:szCs w:val="24"/>
        </w:rPr>
      </w:pPr>
    </w:p>
    <w:p w:rsidR="007B025B" w:rsidRPr="00085D5A" w:rsidRDefault="007B025B" w:rsidP="007B025B">
      <w:pPr>
        <w:spacing w:line="360" w:lineRule="auto"/>
        <w:ind w:right="-1"/>
        <w:jc w:val="both"/>
        <w:rPr>
          <w:rFonts w:ascii="Arial" w:hAnsi="Arial" w:cs="Arial"/>
          <w:sz w:val="24"/>
          <w:szCs w:val="24"/>
        </w:rPr>
      </w:pPr>
      <w:r w:rsidRPr="00085D5A">
        <w:rPr>
          <w:rFonts w:ascii="Arial" w:hAnsi="Arial" w:cs="Arial"/>
          <w:sz w:val="24"/>
          <w:szCs w:val="24"/>
        </w:rPr>
        <w:t>O presente artigo tem a finalidade de debater os aspectos legais e doutrinários sobre o juiz das garantias, incluído no Código de Processo Penal pela Lei nº 13.964/2019 (pacote anticrime), explorar os aspectos da sua instituição como instrumento da garantia da imparcialidade e de ratificação da adoção expressa do sistema acusatório, bem como realizar uma análise pormenorizada dos possíveis vícios formais e materiais que maculam o instituto e comprometem a segurança jurídica no âmbito da persecução penal.</w:t>
      </w:r>
    </w:p>
    <w:p w:rsidR="007B025B" w:rsidRPr="00085D5A" w:rsidRDefault="007B025B" w:rsidP="007B025B">
      <w:pPr>
        <w:spacing w:line="360" w:lineRule="auto"/>
        <w:jc w:val="both"/>
        <w:rPr>
          <w:rFonts w:ascii="Arial" w:hAnsi="Arial" w:cs="Arial"/>
          <w:sz w:val="24"/>
          <w:szCs w:val="24"/>
        </w:rPr>
      </w:pPr>
      <w:r w:rsidRPr="00085D5A">
        <w:rPr>
          <w:rFonts w:ascii="Arial" w:hAnsi="Arial" w:cs="Arial"/>
          <w:sz w:val="24"/>
          <w:szCs w:val="24"/>
        </w:rPr>
        <w:t>O desenvolvimento da pesquisa baseou-se nos métodos descritivo-analítico, uma vez que descreve as principais nuances que circundam o juiz das garantias, o objetivo do legislador ao trazê-lo ao ordenamento jurídico brasileiro, questionando os dispositivos que possam vir a ensejar na sua inconstitucionalidade.</w:t>
      </w:r>
    </w:p>
    <w:p w:rsidR="007B025B" w:rsidRPr="00085D5A" w:rsidRDefault="007B025B" w:rsidP="007B025B">
      <w:pPr>
        <w:spacing w:line="360" w:lineRule="auto"/>
        <w:jc w:val="both"/>
        <w:rPr>
          <w:rFonts w:ascii="Arial" w:hAnsi="Arial" w:cs="Arial"/>
          <w:color w:val="000000"/>
          <w:sz w:val="24"/>
          <w:szCs w:val="24"/>
        </w:rPr>
      </w:pPr>
      <w:r w:rsidRPr="00085D5A">
        <w:rPr>
          <w:rFonts w:ascii="Arial" w:hAnsi="Arial" w:cs="Arial"/>
          <w:color w:val="000000"/>
          <w:sz w:val="24"/>
          <w:szCs w:val="24"/>
        </w:rPr>
        <w:t xml:space="preserve">PALVRAS-CHAVE: Juiz das Garantias. Imparcialidade. Inconstitucionalidade. </w:t>
      </w:r>
    </w:p>
    <w:p w:rsidR="007B025B" w:rsidRPr="00085D5A" w:rsidRDefault="007B025B" w:rsidP="007B025B">
      <w:pPr>
        <w:tabs>
          <w:tab w:val="left" w:pos="1275"/>
        </w:tabs>
        <w:spacing w:line="360" w:lineRule="auto"/>
        <w:jc w:val="both"/>
        <w:rPr>
          <w:rFonts w:ascii="Arial" w:hAnsi="Arial" w:cs="Arial"/>
          <w:color w:val="000000"/>
          <w:sz w:val="24"/>
          <w:szCs w:val="24"/>
        </w:rPr>
      </w:pPr>
      <w:r w:rsidRPr="00085D5A">
        <w:rPr>
          <w:rFonts w:ascii="Arial" w:hAnsi="Arial" w:cs="Arial"/>
          <w:color w:val="000000"/>
          <w:sz w:val="24"/>
          <w:szCs w:val="24"/>
        </w:rPr>
        <w:tab/>
      </w:r>
    </w:p>
    <w:p w:rsidR="007B025B" w:rsidRPr="00085D5A" w:rsidRDefault="007B025B" w:rsidP="007B025B">
      <w:pPr>
        <w:spacing w:line="360" w:lineRule="auto"/>
        <w:jc w:val="center"/>
        <w:rPr>
          <w:rFonts w:ascii="Arial" w:hAnsi="Arial" w:cs="Arial"/>
          <w:b/>
          <w:color w:val="FF0000"/>
          <w:sz w:val="24"/>
          <w:szCs w:val="24"/>
        </w:rPr>
      </w:pPr>
      <w:r w:rsidRPr="00085D5A">
        <w:rPr>
          <w:rFonts w:ascii="Arial" w:hAnsi="Arial" w:cs="Arial"/>
          <w:b/>
          <w:color w:val="000000"/>
          <w:sz w:val="24"/>
          <w:szCs w:val="24"/>
        </w:rPr>
        <w:t xml:space="preserve">ABSTRACT </w:t>
      </w:r>
    </w:p>
    <w:p w:rsidR="007B025B" w:rsidRPr="00085D5A" w:rsidRDefault="007B025B" w:rsidP="007B025B">
      <w:pPr>
        <w:spacing w:line="360" w:lineRule="auto"/>
        <w:jc w:val="both"/>
        <w:rPr>
          <w:rStyle w:val="Forte"/>
          <w:rFonts w:ascii="Arial" w:hAnsi="Arial" w:cs="Arial"/>
          <w:sz w:val="24"/>
          <w:szCs w:val="24"/>
        </w:rPr>
      </w:pPr>
      <w:r w:rsidRPr="00085D5A">
        <w:rPr>
          <w:rStyle w:val="Forte"/>
          <w:rFonts w:ascii="Arial" w:hAnsi="Arial" w:cs="Arial"/>
          <w:sz w:val="24"/>
          <w:szCs w:val="24"/>
        </w:rPr>
        <w:t>The purpose of this article is to discuss the legal and doctrinal aspects of the judge of guarantees, included in the Code of Criminal Procedure by Law No. 13.964 / 2019 (anti-crime package), to explore aspects of his institution as an instrument for guaranteeing impartiality and ratification of the express adoption of the accusatory system, as well as carrying out a detailed analysis of the possible formal and material defects that taint the institute and compromise legal security in the context of criminal prosecution.</w:t>
      </w:r>
    </w:p>
    <w:p w:rsidR="007B025B" w:rsidRPr="00085D5A" w:rsidRDefault="007B025B" w:rsidP="007B025B">
      <w:pPr>
        <w:spacing w:line="360" w:lineRule="auto"/>
        <w:jc w:val="both"/>
        <w:rPr>
          <w:rStyle w:val="Forte"/>
          <w:rFonts w:ascii="Arial" w:hAnsi="Arial" w:cs="Arial"/>
          <w:sz w:val="24"/>
          <w:szCs w:val="24"/>
        </w:rPr>
      </w:pPr>
      <w:r w:rsidRPr="00085D5A">
        <w:rPr>
          <w:rStyle w:val="Forte"/>
          <w:rFonts w:ascii="Arial" w:hAnsi="Arial" w:cs="Arial"/>
          <w:sz w:val="24"/>
          <w:szCs w:val="24"/>
        </w:rPr>
        <w:t>The development of the research was based on the descriptive-analytical methods, since it describes the main nuances that surround the judge of guarantees, the objective of the legislator when bringing him to the Brazilian legal system, questioning the devices that may come to give rise to his unconstitutionality.</w:t>
      </w:r>
    </w:p>
    <w:p w:rsidR="007B025B" w:rsidRDefault="007B025B" w:rsidP="007B025B">
      <w:pPr>
        <w:spacing w:line="360" w:lineRule="auto"/>
        <w:jc w:val="both"/>
        <w:rPr>
          <w:rFonts w:ascii="Arial" w:hAnsi="Arial" w:cs="Arial"/>
          <w:b/>
          <w:color w:val="000000"/>
          <w:sz w:val="24"/>
          <w:szCs w:val="24"/>
        </w:rPr>
      </w:pPr>
    </w:p>
    <w:p w:rsidR="00F16FD5" w:rsidRPr="00085D5A" w:rsidRDefault="00F16FD5" w:rsidP="007B025B">
      <w:pPr>
        <w:spacing w:line="360" w:lineRule="auto"/>
        <w:jc w:val="both"/>
        <w:rPr>
          <w:rFonts w:ascii="Arial" w:hAnsi="Arial" w:cs="Arial"/>
          <w:b/>
          <w:color w:val="000000"/>
          <w:sz w:val="24"/>
          <w:szCs w:val="24"/>
        </w:rPr>
      </w:pPr>
    </w:p>
    <w:p w:rsidR="007B025B" w:rsidRPr="00085D5A" w:rsidRDefault="007B025B" w:rsidP="007B025B">
      <w:pPr>
        <w:spacing w:line="360" w:lineRule="auto"/>
        <w:rPr>
          <w:rFonts w:ascii="Arial" w:hAnsi="Arial" w:cs="Arial"/>
          <w:b/>
          <w:color w:val="000000"/>
          <w:sz w:val="24"/>
          <w:szCs w:val="24"/>
        </w:rPr>
      </w:pPr>
      <w:r w:rsidRPr="00085D5A">
        <w:rPr>
          <w:rFonts w:ascii="Arial" w:hAnsi="Arial" w:cs="Arial"/>
          <w:b/>
          <w:color w:val="000000"/>
          <w:sz w:val="24"/>
          <w:szCs w:val="24"/>
        </w:rPr>
        <w:lastRenderedPageBreak/>
        <w:t>1 INTRODUÇÃO</w:t>
      </w:r>
    </w:p>
    <w:p w:rsidR="007B025B" w:rsidRPr="00085D5A" w:rsidRDefault="007B025B" w:rsidP="007B025B">
      <w:pPr>
        <w:spacing w:line="360" w:lineRule="auto"/>
        <w:rPr>
          <w:rFonts w:ascii="Arial" w:hAnsi="Arial" w:cs="Arial"/>
          <w:b/>
          <w:color w:val="000000"/>
          <w:sz w:val="24"/>
          <w:szCs w:val="24"/>
        </w:rPr>
      </w:pPr>
    </w:p>
    <w:p w:rsidR="007B025B" w:rsidRPr="00085D5A" w:rsidRDefault="007B025B" w:rsidP="00F16FD5">
      <w:pPr>
        <w:spacing w:line="360" w:lineRule="auto"/>
        <w:ind w:firstLine="709"/>
        <w:jc w:val="both"/>
        <w:rPr>
          <w:rFonts w:ascii="Arial" w:hAnsi="Arial" w:cs="Arial"/>
          <w:sz w:val="24"/>
          <w:szCs w:val="24"/>
        </w:rPr>
      </w:pPr>
      <w:r w:rsidRPr="00085D5A">
        <w:rPr>
          <w:rFonts w:ascii="Arial" w:hAnsi="Arial" w:cs="Arial"/>
          <w:b/>
          <w:color w:val="000000"/>
          <w:sz w:val="24"/>
          <w:szCs w:val="24"/>
        </w:rPr>
        <w:tab/>
      </w:r>
      <w:r w:rsidRPr="00085D5A">
        <w:rPr>
          <w:rFonts w:ascii="Arial" w:hAnsi="Arial" w:cs="Arial"/>
          <w:sz w:val="24"/>
          <w:szCs w:val="24"/>
        </w:rPr>
        <w:t>A lei nº 13.964/2014, intitulada “projeto anticrime” ou “pacote anticrime”, sancionada em 24 de dezembro de 2019, entrando em vigor em 23 e janeiro de 2020, trouxe diversas alterações para o Código Penal, Código de Processo Penal, bem como para a legislação penal extravagante, buscando maior rigor e efetividade para o âmbito da persecução penal.</w:t>
      </w:r>
    </w:p>
    <w:p w:rsidR="007B025B" w:rsidRPr="00085D5A" w:rsidRDefault="007B025B" w:rsidP="00F16FD5">
      <w:pPr>
        <w:spacing w:line="360" w:lineRule="auto"/>
        <w:ind w:firstLine="709"/>
        <w:jc w:val="both"/>
        <w:rPr>
          <w:rFonts w:ascii="Arial" w:hAnsi="Arial" w:cs="Arial"/>
          <w:sz w:val="24"/>
          <w:szCs w:val="24"/>
        </w:rPr>
      </w:pPr>
      <w:r w:rsidRPr="00085D5A">
        <w:rPr>
          <w:rFonts w:ascii="Arial" w:hAnsi="Arial" w:cs="Arial"/>
          <w:sz w:val="24"/>
          <w:szCs w:val="24"/>
        </w:rPr>
        <w:t>Não obstante as inúmeras mudanças substanciais trazidas pela novel legislação, este artigo irá se reservar a realizar ponderações apenas acerca do instituto do juiz das garantias, previsto entre os arts. 3º-A a 3º-F do Código de Processo penal, cuja eficácia encontra-se atualmente suspensa, conforme decidido cautelarmente pelo Min. Luiz Fux, enquanto relator das ADI’s 6.298, 6.300 e 6.305, que buscam a declaração da inconstitucionalidade da inovação ora em comento.</w:t>
      </w:r>
    </w:p>
    <w:p w:rsidR="007B025B" w:rsidRPr="00085D5A" w:rsidRDefault="007B025B" w:rsidP="00F16FD5">
      <w:pPr>
        <w:spacing w:line="360" w:lineRule="auto"/>
        <w:ind w:firstLine="709"/>
        <w:jc w:val="both"/>
        <w:rPr>
          <w:rFonts w:ascii="Arial" w:hAnsi="Arial" w:cs="Arial"/>
          <w:sz w:val="24"/>
          <w:szCs w:val="24"/>
        </w:rPr>
      </w:pPr>
      <w:r w:rsidRPr="00085D5A">
        <w:rPr>
          <w:rFonts w:ascii="Arial" w:hAnsi="Arial" w:cs="Arial"/>
          <w:sz w:val="24"/>
          <w:szCs w:val="24"/>
        </w:rPr>
        <w:t>De acordo com André Maya Machado (2014, p. 193) consiste, pois, na outorga exclusiva a um determinado órgão jurisdicional da competência para o exercício da função de garantidor dos direitos fundamentais na fase investigatória da persecução penal, o qual ficará, na sequência, impedido de funcionar no processo judicial desse mesmo caso penal.</w:t>
      </w:r>
    </w:p>
    <w:p w:rsidR="007B025B" w:rsidRPr="00085D5A" w:rsidRDefault="007B025B" w:rsidP="00F16FD5">
      <w:pPr>
        <w:spacing w:line="360" w:lineRule="auto"/>
        <w:ind w:firstLine="709"/>
        <w:jc w:val="both"/>
        <w:rPr>
          <w:rFonts w:ascii="Arial" w:hAnsi="Arial" w:cs="Arial"/>
          <w:sz w:val="24"/>
          <w:szCs w:val="24"/>
        </w:rPr>
      </w:pPr>
      <w:r w:rsidRPr="00085D5A">
        <w:rPr>
          <w:rFonts w:ascii="Arial" w:hAnsi="Arial" w:cs="Arial"/>
          <w:sz w:val="24"/>
          <w:szCs w:val="24"/>
        </w:rPr>
        <w:t>De acordo com Lopes Junior (2020), nessa perspectiva incube ao juiz das garantias assegurar todos os direitos ao investigado incluindo o acesso (vista) aos elementos informativos do inquérito policial (ou de qualquer investigação preliminar a ele submetida) ressalvadas, é claro, as diligências ainda em andamento.</w:t>
      </w:r>
    </w:p>
    <w:p w:rsidR="007B025B" w:rsidRPr="00085D5A" w:rsidRDefault="007B025B" w:rsidP="00F16FD5">
      <w:pPr>
        <w:spacing w:line="360" w:lineRule="auto"/>
        <w:ind w:firstLine="709"/>
        <w:jc w:val="both"/>
        <w:rPr>
          <w:rFonts w:ascii="Arial" w:hAnsi="Arial" w:cs="Arial"/>
          <w:sz w:val="24"/>
          <w:szCs w:val="24"/>
        </w:rPr>
      </w:pPr>
      <w:r w:rsidRPr="00085D5A">
        <w:rPr>
          <w:rFonts w:ascii="Arial" w:hAnsi="Arial" w:cs="Arial"/>
          <w:sz w:val="24"/>
          <w:szCs w:val="24"/>
        </w:rPr>
        <w:t xml:space="preserve">Logo, a criação do juiz das garantias tem por fundamento a imparcialidade do magistrado, cuja previsão expressa está no art. 8º da Convenção Americana de Direitos Humanos. </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Dentre as teorias justificadoras da necessidade de instituição do juiz das garantias para consecução da imparcialidade, tem-se a teoria da dissonância cognitiva, que, de acordo com os estudos de Solomon Asch (1977, p. 182/183)</w:t>
      </w:r>
      <w:r w:rsidRPr="00085D5A">
        <w:rPr>
          <w:rFonts w:ascii="Arial" w:hAnsi="Arial" w:cs="Arial"/>
        </w:rPr>
        <w:t xml:space="preserve"> </w:t>
      </w:r>
      <w:r w:rsidRPr="00085D5A">
        <w:rPr>
          <w:rFonts w:ascii="Arial" w:hAnsi="Arial" w:cs="Arial"/>
          <w:sz w:val="24"/>
          <w:szCs w:val="24"/>
        </w:rPr>
        <w:t xml:space="preserve">os primeiros termos estabelecem uma direção, e esta exerce uma influência contínua sobre os últimos termos. Quando se ouve o primeiro termo nasce uma impressão, ampla e não cristalizada, mas dirigida. A característica seguinte está relacionada com </w:t>
      </w:r>
      <w:r w:rsidRPr="00085D5A">
        <w:rPr>
          <w:rFonts w:ascii="Arial" w:hAnsi="Arial" w:cs="Arial"/>
          <w:sz w:val="24"/>
          <w:szCs w:val="24"/>
        </w:rPr>
        <w:lastRenderedPageBreak/>
        <w:t>a direção estabelecida. A opinião formada adquire rapidamente uma certa estabilidade; as características posteriores são ajustadas à direção dominante, quando as condições o permitem.</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Sendo assim, de acordo com os que concordam com esse viés da imparcialidade à luz da teoria da dissonância cognitiva, na persecução penal a concomitância de atuação de um mesmo juiz no âmbito da fase investigativa e processual impediriam a garantia da imparcialidade.</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Além disso, outro aspecto relevante é a confirmação da adoção do sistema acusatório, nos termos do art. 3º-A, em harmonia com o que dispõe o art. 129, I, da Constituição Federal. Desta feita, haverá a separação do papel de cada sujeito processual (acusação, defesa e julgamento), sendo vedado ao juiz a produção de provas de ofício. Desse modo, a gestão das provas recairá sobre as partes, o que confirma a vedação à figura do juiz inquisidor.</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 xml:space="preserve">Concordando com esse entendimento, afirma Renato Brasileiro (2020, p. 112) que quando se confere ao juiz tamanho protagonismo no curso do processo penal, podendo buscar e produzir a prova que quiser, praticamente desonerando as partes do seu </w:t>
      </w:r>
      <w:r w:rsidRPr="00085D5A">
        <w:rPr>
          <w:rFonts w:ascii="Arial" w:hAnsi="Arial" w:cs="Arial"/>
          <w:i/>
          <w:sz w:val="24"/>
          <w:szCs w:val="24"/>
        </w:rPr>
        <w:t>ônus probandi</w:t>
      </w:r>
      <w:r w:rsidRPr="00085D5A">
        <w:rPr>
          <w:rFonts w:ascii="Arial" w:hAnsi="Arial" w:cs="Arial"/>
          <w:sz w:val="24"/>
          <w:szCs w:val="24"/>
        </w:rPr>
        <w:t xml:space="preserve"> (CPP, art. 156, </w:t>
      </w:r>
      <w:r w:rsidRPr="00085D5A">
        <w:rPr>
          <w:rFonts w:ascii="Arial" w:hAnsi="Arial" w:cs="Arial"/>
          <w:i/>
          <w:sz w:val="24"/>
          <w:szCs w:val="24"/>
        </w:rPr>
        <w:t>caput</w:t>
      </w:r>
      <w:r w:rsidRPr="00085D5A">
        <w:rPr>
          <w:rFonts w:ascii="Arial" w:hAnsi="Arial" w:cs="Arial"/>
          <w:sz w:val="24"/>
          <w:szCs w:val="24"/>
        </w:rPr>
        <w:t>), o juiz põe em risco toda aquela cadeia de alheamento aos interesses em jogo, inerentes à imparcialidade, que deve nortear sua atuação tornando despicienda inclusive a própria existência do órgão acusatório.</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Conclui, então, que não mais será admitida qualquer iniciativa do magistrado, nem mesmo no curso do processo judicial. Não apenas por força do art. 3º-A, do CPP, mas também pelo fato de o Pacote Anticrime ter vedado expressamente a possibilidade de decretação de qualquer medida cautelar pessoal de ofício seja durante a fase investigatória, seja no curso do processo penal (BRASILEIRO, 2020, p. 111).</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 xml:space="preserve">No entanto, a urgência em adotar uma política criminal mais incisiva no combate à criminalidade, por parte do Executivo Federal, resultou na inobservância de regras constitucionais que são condições </w:t>
      </w:r>
      <w:r w:rsidRPr="00085D5A">
        <w:rPr>
          <w:rFonts w:ascii="Arial" w:hAnsi="Arial" w:cs="Arial"/>
          <w:i/>
          <w:sz w:val="24"/>
          <w:szCs w:val="24"/>
        </w:rPr>
        <w:t>sine qua non</w:t>
      </w:r>
      <w:r w:rsidRPr="00085D5A">
        <w:rPr>
          <w:rFonts w:ascii="Arial" w:hAnsi="Arial" w:cs="Arial"/>
          <w:sz w:val="24"/>
          <w:szCs w:val="24"/>
        </w:rPr>
        <w:t xml:space="preserve"> a norma não poderá surtir efeitos no ordenamento jurídico, a exemplo das regras relativas à exigência de prévia dotação orçamentária e à competência legislativa para ditar as normas de organização judiciária.</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lastRenderedPageBreak/>
        <w:t>Isso posto, o presente trabalho tem por objetivo geral analisar a questão da constitucionalidade da introdução do juiz das garantias no direito penal brasileiro. Como objetivos específicos buscamos apresentar a figura do juiz das garantias e suas atribuições legais, o entendimento dos estudiosos e da decisão provisória do Supremo Tribunal Federal sobre sua possível inconstitucionalidade.</w:t>
      </w:r>
    </w:p>
    <w:p w:rsidR="007B025B" w:rsidRPr="00085D5A" w:rsidRDefault="007B025B" w:rsidP="007B025B">
      <w:pPr>
        <w:tabs>
          <w:tab w:val="left" w:pos="709"/>
        </w:tabs>
        <w:spacing w:line="360" w:lineRule="auto"/>
        <w:jc w:val="both"/>
        <w:rPr>
          <w:rFonts w:ascii="Arial" w:hAnsi="Arial" w:cs="Arial"/>
          <w:color w:val="000000"/>
          <w:sz w:val="24"/>
          <w:szCs w:val="24"/>
        </w:rPr>
      </w:pPr>
      <w:r w:rsidRPr="00085D5A">
        <w:rPr>
          <w:rFonts w:ascii="Arial" w:hAnsi="Arial" w:cs="Arial"/>
          <w:b/>
          <w:color w:val="000000"/>
          <w:sz w:val="24"/>
          <w:szCs w:val="24"/>
        </w:rPr>
        <w:t>2 CONCEITO</w:t>
      </w:r>
      <w:r w:rsidRPr="00085D5A">
        <w:rPr>
          <w:rFonts w:ascii="Arial" w:hAnsi="Arial" w:cs="Arial"/>
          <w:color w:val="000000"/>
          <w:sz w:val="24"/>
          <w:szCs w:val="24"/>
        </w:rPr>
        <w:tab/>
        <w:t xml:space="preserve"> </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 xml:space="preserve">A figura do Juiz das Garantias, introduzida no Código de Processo Penal pela Lei nº 13.964/2019 é a autoridade judiciária </w:t>
      </w:r>
      <w:r w:rsidRPr="00085D5A">
        <w:rPr>
          <w:rFonts w:ascii="Arial" w:hAnsi="Arial" w:cs="Arial"/>
          <w:i/>
          <w:sz w:val="24"/>
          <w:szCs w:val="24"/>
        </w:rPr>
        <w:t>“responsável pelo controle da legalidade da investigação criminal e pela salvaguarda dos direitos individuais cuja franquia tenha sido reservada à autorização prévia do Judiciário”</w:t>
      </w:r>
      <w:r w:rsidRPr="00085D5A">
        <w:rPr>
          <w:rFonts w:ascii="Arial" w:hAnsi="Arial" w:cs="Arial"/>
          <w:sz w:val="24"/>
          <w:szCs w:val="24"/>
        </w:rPr>
        <w:t xml:space="preserve"> (Art. 3º-B, </w:t>
      </w:r>
      <w:r w:rsidRPr="00085D5A">
        <w:rPr>
          <w:rFonts w:ascii="Arial" w:hAnsi="Arial" w:cs="Arial"/>
          <w:i/>
          <w:sz w:val="24"/>
          <w:szCs w:val="24"/>
        </w:rPr>
        <w:t>caput</w:t>
      </w:r>
      <w:r w:rsidRPr="00085D5A">
        <w:rPr>
          <w:rFonts w:ascii="Arial" w:hAnsi="Arial" w:cs="Arial"/>
          <w:sz w:val="24"/>
          <w:szCs w:val="24"/>
        </w:rPr>
        <w:t>).</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Nesse sentido, é válido ressaltar que, não obstante a determinação expressa no sentido de salvaguardar os direitos individuais, isso não resulta na interpretação de que o Juiz de garantias se trata de figura inédita no ordenamento jurídico, porquanto sempre existiu, e sempre existirá, em um Estado Democrático de Direito, uma autoridade judiciária competente para a tutela dos direitos e garantias fundamentais em qualquer fase da persecução penal, inclusive na fase de investigação preliminar (BRASILEIRO, 2020, P. 115).</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Em verdade, a proposta visa realizar separação o Juiz que atuará, quando necessário, em sede de investigação preliminar daquele que julgará o feito em cognição exauriente. Nos dizeres de Sanches (2020), o juiz que julgará o caso – juiz de instrução – somente terá contato com o resultado da investigação depois de oferecida e recebida a inicial acusatória. A ideia que permeia a criação do instituto do juiz das garantias é a de distanciar o juiz de instrução da fase anterior, o que, acredita-se, lhe dará maior imparcialidade.</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 xml:space="preserve">Sendo assim, o art. 3º-D, do Código de Processo Penal, incluído pela Lei nº 13.964/2019, </w:t>
      </w:r>
      <w:r w:rsidRPr="00085D5A">
        <w:rPr>
          <w:rFonts w:ascii="Arial" w:hAnsi="Arial" w:cs="Arial"/>
          <w:i/>
          <w:sz w:val="24"/>
          <w:szCs w:val="24"/>
        </w:rPr>
        <w:t>ao dispor que “o juiz que, na fase de investigação, praticar qualquer ato incluído nas competências dos arts. 4o e 5o deste Código ficará impedido de funcionar no processo</w:t>
      </w:r>
      <w:r w:rsidRPr="00085D5A">
        <w:rPr>
          <w:rFonts w:ascii="Arial" w:hAnsi="Arial" w:cs="Arial"/>
          <w:sz w:val="24"/>
          <w:szCs w:val="24"/>
        </w:rPr>
        <w:t>” deixa claro o novo panorama em que atuarão duas figuras distintas para cada fase da persecução penal: um Juiz para fase investigativa e outro para fase de instrução e julgamento.</w:t>
      </w:r>
    </w:p>
    <w:p w:rsidR="007B025B" w:rsidRPr="00085D5A" w:rsidRDefault="007B025B" w:rsidP="007B025B">
      <w:pPr>
        <w:spacing w:line="360" w:lineRule="auto"/>
        <w:jc w:val="both"/>
        <w:rPr>
          <w:rFonts w:ascii="Arial" w:hAnsi="Arial" w:cs="Arial"/>
          <w:b/>
          <w:color w:val="000000"/>
          <w:sz w:val="24"/>
          <w:szCs w:val="24"/>
        </w:rPr>
      </w:pPr>
      <w:r w:rsidRPr="00085D5A">
        <w:rPr>
          <w:rFonts w:ascii="Arial" w:hAnsi="Arial" w:cs="Arial"/>
          <w:b/>
          <w:color w:val="000000"/>
          <w:sz w:val="24"/>
          <w:szCs w:val="24"/>
        </w:rPr>
        <w:t>3 NATUREZA JURÍDICA E FUNDAMENTO</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color w:val="000000"/>
          <w:sz w:val="24"/>
          <w:szCs w:val="24"/>
        </w:rPr>
        <w:lastRenderedPageBreak/>
        <w:tab/>
      </w:r>
      <w:r w:rsidRPr="00085D5A">
        <w:rPr>
          <w:rFonts w:ascii="Arial" w:hAnsi="Arial" w:cs="Arial"/>
          <w:sz w:val="24"/>
          <w:szCs w:val="24"/>
        </w:rPr>
        <w:t>No que diz respeito à natureza jurídica, o Juiz das Garantias pode ser entendido como uma nova regra de determinação de competência. Corroborando com esse entendimento, preleciona Brasileiro (2020):</w:t>
      </w:r>
    </w:p>
    <w:p w:rsidR="007B025B" w:rsidRPr="00085D5A" w:rsidRDefault="007B025B" w:rsidP="007B025B">
      <w:pPr>
        <w:spacing w:line="240" w:lineRule="auto"/>
        <w:ind w:left="2268"/>
        <w:jc w:val="both"/>
        <w:rPr>
          <w:rFonts w:ascii="Arial" w:hAnsi="Arial" w:cs="Arial"/>
        </w:rPr>
      </w:pPr>
      <w:r w:rsidRPr="00085D5A">
        <w:rPr>
          <w:rFonts w:ascii="Arial" w:hAnsi="Arial" w:cs="Arial"/>
        </w:rPr>
        <w:t xml:space="preserve">Cuida-se de verdadeira espécie de </w:t>
      </w:r>
      <w:r w:rsidRPr="00085D5A">
        <w:rPr>
          <w:rFonts w:ascii="Arial" w:hAnsi="Arial" w:cs="Arial"/>
          <w:b/>
        </w:rPr>
        <w:t>competência funcional por fase de processo</w:t>
      </w:r>
      <w:r w:rsidRPr="00085D5A">
        <w:rPr>
          <w:rFonts w:ascii="Arial" w:hAnsi="Arial" w:cs="Arial"/>
        </w:rPr>
        <w:t>, é dizer, a depender da fase processual a que estivermos, a competência será de um ou outro juiz: entre a instauração da investigação criminal e o recebimento da denúncia (ou queixa), a competência será do juiz das garantias, que ficará impedido de funcionar no processo; após o recebimento da peça acusatória e, pelo menos em tese, até o trânsito em julgado de eventual sentença condenatória (ou absolutória), a competência será do juiz da instrução e fundamento (BRASILEIRO, 2020, p. 115).</w:t>
      </w:r>
    </w:p>
    <w:p w:rsidR="007B025B" w:rsidRPr="00085D5A" w:rsidRDefault="007B025B" w:rsidP="007B025B">
      <w:pPr>
        <w:spacing w:line="240" w:lineRule="auto"/>
        <w:ind w:left="2268"/>
        <w:jc w:val="both"/>
        <w:rPr>
          <w:rFonts w:ascii="Arial" w:hAnsi="Arial" w:cs="Arial"/>
          <w:sz w:val="24"/>
          <w:szCs w:val="24"/>
        </w:rPr>
      </w:pP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Em relação ao fundamento jurídico que justifica a criação do instituto ora em comento, é correto afirmar que o juiz das garantias tem como principal desiderato a garantia da imparcialidade, tão almejada pelos aplicadores do direito no âmbito jurisdicional.</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Para entender essa justificativa, se faz necessário tecer comentários acerca dos desdobramentos do princípio da imparcialidade. Inicialmente esta pode ser entendida como a ideia da existência de um terceiro desinteressado totalmente no conflito de interesses que irá julgar, sendo essencial para regularidade do processo (NEVES 2016). Possui, assim, aspecto objetivo, qual seja, a atuação do juiz no sentido de não gerar dúvidas acerca da sua atuação, e também subjetivo, devendo ser equidistante do interesse das partes.</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sz w:val="24"/>
          <w:szCs w:val="24"/>
        </w:rPr>
        <w:t xml:space="preserve">Essa análise em aspecto objetivo e subjetivo teve início no caso </w:t>
      </w:r>
      <w:r w:rsidRPr="00085D5A">
        <w:rPr>
          <w:rFonts w:ascii="Arial" w:hAnsi="Arial" w:cs="Arial"/>
          <w:color w:val="1A1A1A"/>
          <w:sz w:val="24"/>
          <w:szCs w:val="24"/>
          <w:shd w:val="clear" w:color="auto" w:fill="FFFFFF"/>
        </w:rPr>
        <w:t xml:space="preserve">Piersack vs. Bélgica, no qual restou decidido que </w:t>
      </w:r>
      <w:r w:rsidRPr="00085D5A">
        <w:rPr>
          <w:rFonts w:ascii="Arial" w:hAnsi="Arial" w:cs="Arial"/>
          <w:i/>
          <w:color w:val="1A1A1A"/>
          <w:sz w:val="24"/>
          <w:szCs w:val="24"/>
          <w:shd w:val="clear" w:color="auto" w:fill="FFFFFF"/>
        </w:rPr>
        <w:t>“</w:t>
      </w:r>
      <w:r w:rsidRPr="00085D5A">
        <w:rPr>
          <w:rStyle w:val="nfase"/>
          <w:rFonts w:ascii="Arial" w:hAnsi="Arial" w:cs="Arial"/>
          <w:i w:val="0"/>
          <w:color w:val="1A1A1A"/>
          <w:sz w:val="24"/>
          <w:szCs w:val="24"/>
          <w:shd w:val="clear" w:color="auto" w:fill="FFFFFF"/>
        </w:rPr>
        <w:t>Qualquer juiz sobre o qual exista uma razão legítima que inspire o temor à ausência de imparcialidade, deve abster-se do julgamento. O que está em jogo é também a confiança que a Corte deve inspirar nos cidadãos de uma sociedade democrática</w:t>
      </w:r>
      <w:r w:rsidRPr="00085D5A">
        <w:rPr>
          <w:rFonts w:ascii="Arial" w:hAnsi="Arial" w:cs="Arial"/>
          <w:i/>
          <w:color w:val="000000"/>
          <w:sz w:val="24"/>
          <w:szCs w:val="24"/>
          <w:shd w:val="clear" w:color="auto" w:fill="FFFFFF"/>
        </w:rPr>
        <w:t>”</w:t>
      </w:r>
      <w:r w:rsidRPr="00085D5A">
        <w:rPr>
          <w:rFonts w:ascii="Arial" w:hAnsi="Arial" w:cs="Arial"/>
          <w:color w:val="000000"/>
          <w:sz w:val="24"/>
          <w:szCs w:val="24"/>
          <w:shd w:val="clear" w:color="auto" w:fill="FFFFFF"/>
        </w:rPr>
        <w:t xml:space="preserve"> (TEDH, Piersack vs. Belgium. Strasbourg: 1982. Disponível em </w:t>
      </w:r>
      <w:hyperlink r:id="rId5" w:history="1">
        <w:r w:rsidRPr="00085D5A">
          <w:rPr>
            <w:rStyle w:val="Hyperlink"/>
            <w:rFonts w:ascii="Arial" w:hAnsi="Arial" w:cs="Arial"/>
            <w:color w:val="000000"/>
            <w:sz w:val="24"/>
            <w:szCs w:val="24"/>
            <w:shd w:val="clear" w:color="auto" w:fill="FFFFFF"/>
          </w:rPr>
          <w:t>http://hudoc.echr.coe.int/sites/eng/pages/search.aspx?i=001-57557#{"itemid":["001-57557"]}</w:t>
        </w:r>
      </w:hyperlink>
      <w:r w:rsidRPr="00085D5A">
        <w:rPr>
          <w:rFonts w:ascii="Arial" w:hAnsi="Arial" w:cs="Arial"/>
          <w:color w:val="000000"/>
          <w:sz w:val="24"/>
          <w:szCs w:val="24"/>
          <w:shd w:val="clear" w:color="auto" w:fill="FFFFFF"/>
        </w:rPr>
        <w:t>, acessado em 28/05/2020, tradução livre).</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t xml:space="preserve">É  o que se denomina de teoria da aparência, pautada no adágio </w:t>
      </w:r>
      <w:r w:rsidRPr="00085D5A">
        <w:rPr>
          <w:rFonts w:ascii="Arial" w:hAnsi="Arial" w:cs="Arial"/>
          <w:i/>
          <w:color w:val="000000"/>
          <w:sz w:val="24"/>
          <w:szCs w:val="24"/>
          <w:shd w:val="clear" w:color="auto" w:fill="FFFFFF"/>
        </w:rPr>
        <w:t>inglês justice must not only be done; it  must also be seen to be done</w:t>
      </w:r>
      <w:r w:rsidRPr="00085D5A">
        <w:rPr>
          <w:rFonts w:ascii="Arial" w:hAnsi="Arial" w:cs="Arial"/>
          <w:color w:val="000000"/>
          <w:sz w:val="24"/>
          <w:szCs w:val="24"/>
          <w:shd w:val="clear" w:color="auto" w:fill="FFFFFF"/>
        </w:rPr>
        <w:t xml:space="preserve">. Por força dela, havendo dúvida razoável e fundada acerca da parcialidade do julgador, justifica-se seu </w:t>
      </w:r>
      <w:r w:rsidRPr="00085D5A">
        <w:rPr>
          <w:rFonts w:ascii="Arial" w:hAnsi="Arial" w:cs="Arial"/>
          <w:color w:val="000000"/>
          <w:sz w:val="24"/>
          <w:szCs w:val="24"/>
          <w:shd w:val="clear" w:color="auto" w:fill="FFFFFF"/>
        </w:rPr>
        <w:lastRenderedPageBreak/>
        <w:t>afastamento, mesmo que, subjetivamente, possa não haver influência na condução do processo ou do julgamento (BRASILEIRO, 2020, p. 121).</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t>Sobre o assunto, assevera Aury Lopes Jr. (2020):</w:t>
      </w:r>
    </w:p>
    <w:p w:rsidR="007B025B" w:rsidRPr="00085D5A" w:rsidRDefault="007B025B" w:rsidP="007B025B">
      <w:pPr>
        <w:ind w:left="2268"/>
        <w:jc w:val="both"/>
        <w:rPr>
          <w:rFonts w:ascii="Arial" w:hAnsi="Arial" w:cs="Arial"/>
        </w:rPr>
      </w:pPr>
      <w:r w:rsidRPr="00085D5A">
        <w:rPr>
          <w:rFonts w:ascii="Arial" w:hAnsi="Arial" w:cs="Arial"/>
        </w:rPr>
        <w:t>A imparcialidade, no decorrer do tempo, desde pelo menos o julgamento do Tribunal Europeu de Direitos Humanos (TEDH), no caso Piersack vs. Bélgica, distinguiu-se entre objetiva (em relação ao caso penal) e subjetiva (no tocante aos envolvidos). Também deve-se valorizar a “estética de imparcialidade”, ou seja, a aparência, a percepção que as partes precisam ter de que o juiz é realmente um “juiz imparcial”, ou seja, que não tenha tido um envolvimento prévio com o caso penal (por exemplo, na fase pré-processual, decretando prisões cautelares ou medidas cautelares reais) que o contamine, que fomente os pré-juízos que geram um imenso prejuízo cognitivo. É importante que o juiz mantenha um afastamento que lhe confira uma “estética de julgador”’ e não de acusador, investigador ou inquisidor. Isso é crucial para que se tenha a “confiança” do jurisdicionado na figura do julgador. Mas todas essas questões perpassam por um núcleo imantador, que é a originalidade cognitiva.</w:t>
      </w:r>
    </w:p>
    <w:p w:rsidR="007B025B" w:rsidRPr="00085D5A" w:rsidRDefault="007B025B" w:rsidP="007B025B">
      <w:pPr>
        <w:spacing w:line="360" w:lineRule="auto"/>
        <w:ind w:firstLine="567"/>
        <w:jc w:val="both"/>
        <w:rPr>
          <w:rFonts w:ascii="Arial" w:hAnsi="Arial" w:cs="Arial"/>
          <w:sz w:val="24"/>
          <w:szCs w:val="24"/>
        </w:rPr>
      </w:pP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 xml:space="preserve">Finalmente, insta ressaltar que, embora não esteja previsto de forma expressa no texto constitucional, seu respaldo legal está contido no art. 8º, I, da Convenção Americana de Direitos Humanos (CADH). </w:t>
      </w:r>
      <w:r w:rsidRPr="00085D5A">
        <w:rPr>
          <w:rFonts w:ascii="Arial" w:hAnsi="Arial" w:cs="Arial"/>
          <w:i/>
          <w:sz w:val="24"/>
          <w:szCs w:val="24"/>
        </w:rPr>
        <w:t>Verbis</w:t>
      </w:r>
      <w:r w:rsidRPr="00085D5A">
        <w:rPr>
          <w:rFonts w:ascii="Arial" w:hAnsi="Arial" w:cs="Arial"/>
          <w:sz w:val="24"/>
          <w:szCs w:val="24"/>
        </w:rPr>
        <w:t>:</w:t>
      </w:r>
    </w:p>
    <w:p w:rsidR="007B025B" w:rsidRPr="00085D5A" w:rsidRDefault="007B025B" w:rsidP="007B025B">
      <w:pPr>
        <w:spacing w:line="240" w:lineRule="auto"/>
        <w:ind w:left="2268"/>
        <w:jc w:val="both"/>
        <w:rPr>
          <w:rFonts w:ascii="Arial" w:hAnsi="Arial" w:cs="Arial"/>
        </w:rPr>
      </w:pPr>
      <w:r w:rsidRPr="00085D5A">
        <w:rPr>
          <w:rFonts w:ascii="Arial" w:hAnsi="Arial" w:cs="Arial"/>
        </w:rPr>
        <w:t>Convenção Americana de Direitos Humanos</w:t>
      </w:r>
    </w:p>
    <w:p w:rsidR="007B025B" w:rsidRPr="00085D5A" w:rsidRDefault="007B025B" w:rsidP="007B025B">
      <w:pPr>
        <w:spacing w:line="240" w:lineRule="auto"/>
        <w:ind w:left="2268"/>
        <w:jc w:val="both"/>
        <w:rPr>
          <w:rFonts w:ascii="Arial" w:hAnsi="Arial" w:cs="Arial"/>
        </w:rPr>
      </w:pPr>
      <w:r w:rsidRPr="00085D5A">
        <w:rPr>
          <w:rFonts w:ascii="Arial" w:hAnsi="Arial" w:cs="Arial"/>
        </w:rPr>
        <w:t>(Assinada na Conferência Especializada Interamericana sobre Direitos Humanos, San José, Costa Rica, em 22 de novembro de 1969)</w:t>
      </w:r>
    </w:p>
    <w:p w:rsidR="007B025B" w:rsidRPr="00085D5A" w:rsidRDefault="007B025B" w:rsidP="007B025B">
      <w:pPr>
        <w:spacing w:line="240" w:lineRule="auto"/>
        <w:ind w:left="2268"/>
        <w:jc w:val="both"/>
        <w:rPr>
          <w:rFonts w:ascii="Arial" w:hAnsi="Arial" w:cs="Arial"/>
        </w:rPr>
      </w:pPr>
      <w:r w:rsidRPr="00085D5A">
        <w:rPr>
          <w:rFonts w:ascii="Arial" w:hAnsi="Arial" w:cs="Arial"/>
        </w:rPr>
        <w:t>(...)</w:t>
      </w:r>
    </w:p>
    <w:p w:rsidR="007B025B" w:rsidRPr="00085D5A" w:rsidRDefault="007B025B" w:rsidP="007B025B">
      <w:pPr>
        <w:spacing w:line="240" w:lineRule="auto"/>
        <w:ind w:left="2268"/>
        <w:jc w:val="both"/>
        <w:rPr>
          <w:rFonts w:ascii="Arial" w:hAnsi="Arial" w:cs="Arial"/>
        </w:rPr>
      </w:pPr>
      <w:r w:rsidRPr="00085D5A">
        <w:rPr>
          <w:rFonts w:ascii="Arial" w:hAnsi="Arial" w:cs="Arial"/>
        </w:rPr>
        <w:t>Artigo 8. Garantias judiciais</w:t>
      </w:r>
    </w:p>
    <w:p w:rsidR="007B025B" w:rsidRPr="00085D5A" w:rsidRDefault="007B025B" w:rsidP="007B025B">
      <w:pPr>
        <w:pStyle w:val="PargrafodaLista"/>
        <w:numPr>
          <w:ilvl w:val="0"/>
          <w:numId w:val="1"/>
        </w:numPr>
        <w:spacing w:line="240" w:lineRule="auto"/>
        <w:jc w:val="both"/>
        <w:rPr>
          <w:rFonts w:ascii="Arial" w:hAnsi="Arial" w:cs="Arial"/>
        </w:rPr>
      </w:pPr>
      <w:r w:rsidRPr="00085D5A">
        <w:rPr>
          <w:rFonts w:ascii="Arial" w:hAnsi="Arial" w:cs="Arial"/>
        </w:rPr>
        <w:t>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Sob este aspecto, o juiz das garantias, ao menos em tese, se mostra essencial à diminuição dos riscos à imparcialidade decorrentes da adoção de uma figura um único julgador em todas as fases da persecução.</w:t>
      </w:r>
    </w:p>
    <w:p w:rsidR="007B025B" w:rsidRPr="00085D5A" w:rsidRDefault="007B025B" w:rsidP="007B025B">
      <w:pPr>
        <w:spacing w:line="360" w:lineRule="auto"/>
        <w:jc w:val="both"/>
        <w:rPr>
          <w:rFonts w:ascii="Arial" w:hAnsi="Arial" w:cs="Arial"/>
          <w:b/>
          <w:color w:val="000000"/>
          <w:sz w:val="24"/>
          <w:szCs w:val="24"/>
        </w:rPr>
      </w:pPr>
      <w:r w:rsidRPr="00085D5A">
        <w:rPr>
          <w:rFonts w:ascii="Arial" w:hAnsi="Arial" w:cs="Arial"/>
          <w:b/>
          <w:color w:val="000000"/>
          <w:sz w:val="24"/>
          <w:szCs w:val="24"/>
        </w:rPr>
        <w:t>4 IMPARCIALIDADE E TEORIA DA DISSONÂNCIA COGNITIVA</w:t>
      </w:r>
    </w:p>
    <w:p w:rsidR="007B025B" w:rsidRPr="00085D5A" w:rsidRDefault="007B025B" w:rsidP="007B025B">
      <w:pPr>
        <w:spacing w:line="360" w:lineRule="auto"/>
        <w:jc w:val="both"/>
        <w:rPr>
          <w:rFonts w:ascii="Arial" w:hAnsi="Arial" w:cs="Arial"/>
          <w:b/>
          <w:color w:val="000000"/>
          <w:sz w:val="24"/>
          <w:szCs w:val="24"/>
        </w:rPr>
      </w:pPr>
    </w:p>
    <w:p w:rsidR="007B025B" w:rsidRPr="00085D5A" w:rsidRDefault="007B025B" w:rsidP="007B025B">
      <w:pPr>
        <w:spacing w:line="360" w:lineRule="auto"/>
        <w:ind w:firstLine="567"/>
        <w:jc w:val="both"/>
        <w:rPr>
          <w:rFonts w:ascii="Arial" w:hAnsi="Arial" w:cs="Arial"/>
          <w:spacing w:val="2"/>
          <w:sz w:val="24"/>
          <w:szCs w:val="24"/>
          <w:shd w:val="clear" w:color="auto" w:fill="FFFFFF"/>
        </w:rPr>
      </w:pPr>
      <w:r w:rsidRPr="00085D5A">
        <w:rPr>
          <w:rFonts w:ascii="Arial" w:hAnsi="Arial" w:cs="Arial"/>
          <w:color w:val="000000"/>
          <w:sz w:val="24"/>
          <w:szCs w:val="24"/>
        </w:rPr>
        <w:lastRenderedPageBreak/>
        <w:tab/>
      </w:r>
      <w:r w:rsidRPr="00085D5A">
        <w:rPr>
          <w:rFonts w:ascii="Arial" w:hAnsi="Arial" w:cs="Arial"/>
          <w:sz w:val="24"/>
          <w:szCs w:val="24"/>
        </w:rPr>
        <w:t>A teoria da dissonância cognitiva, que se tornou conhecida através da obra</w:t>
      </w:r>
      <w:r w:rsidRPr="00085D5A">
        <w:rPr>
          <w:rFonts w:ascii="Arial" w:hAnsi="Arial" w:cs="Arial"/>
          <w:i/>
          <w:sz w:val="24"/>
          <w:szCs w:val="24"/>
        </w:rPr>
        <w:t xml:space="preserve"> “</w:t>
      </w:r>
      <w:r w:rsidRPr="00085D5A">
        <w:rPr>
          <w:rFonts w:ascii="Arial" w:hAnsi="Arial" w:cs="Arial"/>
          <w:i/>
          <w:spacing w:val="2"/>
          <w:sz w:val="24"/>
          <w:szCs w:val="24"/>
          <w:shd w:val="clear" w:color="auto" w:fill="FFFFFF"/>
        </w:rPr>
        <w:t xml:space="preserve">A Theory of Cognitive Dissonance”, </w:t>
      </w:r>
      <w:r w:rsidRPr="00085D5A">
        <w:rPr>
          <w:rFonts w:ascii="Arial" w:hAnsi="Arial" w:cs="Arial"/>
          <w:spacing w:val="2"/>
          <w:sz w:val="24"/>
          <w:szCs w:val="24"/>
          <w:shd w:val="clear" w:color="auto" w:fill="FFFFFF"/>
        </w:rPr>
        <w:t>idealizada de Leon Festinger, pode ser basicamente conceituada como a tendência, voluntária ou involuntária, que os humanos possuem de se condicionar em sua zona de conforto mental, um estado de coerência de opiniões, que os torna intolerantes a incongruências em havendo confronto de ideias que o coloca em estado de dissonância cognitiva.</w:t>
      </w:r>
    </w:p>
    <w:p w:rsidR="007B025B" w:rsidRPr="00085D5A" w:rsidRDefault="007B025B" w:rsidP="007B025B">
      <w:pPr>
        <w:spacing w:line="360" w:lineRule="auto"/>
        <w:ind w:firstLine="567"/>
        <w:jc w:val="both"/>
        <w:rPr>
          <w:rFonts w:ascii="Arial" w:hAnsi="Arial" w:cs="Arial"/>
          <w:spacing w:val="2"/>
          <w:sz w:val="24"/>
          <w:szCs w:val="24"/>
          <w:shd w:val="clear" w:color="auto" w:fill="FFFFFF"/>
        </w:rPr>
      </w:pPr>
      <w:r w:rsidRPr="00085D5A">
        <w:rPr>
          <w:rFonts w:ascii="Arial" w:hAnsi="Arial" w:cs="Arial"/>
          <w:spacing w:val="2"/>
          <w:sz w:val="24"/>
          <w:szCs w:val="24"/>
          <w:shd w:val="clear" w:color="auto" w:fill="FFFFFF"/>
        </w:rPr>
        <w:t xml:space="preserve"> Sobre o tema, afirma Ritter (2016, P. 112) que “crer que se tem razão (autoconvencer-se disso) é mais importante do que, de fato, a ter. Afinal, a preocupação está sempre voltada ao (re)estabelecimento da consonância cognitiva, justificando-se até mesmo a prática de ações estúpidas e aparentemente irracionais.”</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 xml:space="preserve">O responsável por trazer a teoria para o âmbito do direito processual penal foi </w:t>
      </w:r>
      <w:r w:rsidRPr="00085D5A">
        <w:rPr>
          <w:rFonts w:ascii="Arial" w:hAnsi="Arial" w:cs="Arial"/>
          <w:i/>
          <w:sz w:val="24"/>
          <w:szCs w:val="24"/>
        </w:rPr>
        <w:t>Bernand Schünemann</w:t>
      </w:r>
      <w:r w:rsidRPr="00085D5A">
        <w:rPr>
          <w:rFonts w:ascii="Arial" w:hAnsi="Arial" w:cs="Arial"/>
          <w:sz w:val="24"/>
          <w:szCs w:val="24"/>
        </w:rPr>
        <w:t>, que, pelas lições de Lopes Junior (2020):</w:t>
      </w:r>
    </w:p>
    <w:p w:rsidR="007B025B" w:rsidRPr="00085D5A" w:rsidRDefault="007B025B" w:rsidP="007B025B">
      <w:pPr>
        <w:spacing w:line="240" w:lineRule="auto"/>
        <w:ind w:left="2268"/>
        <w:jc w:val="both"/>
        <w:rPr>
          <w:rFonts w:ascii="Arial" w:hAnsi="Arial" w:cs="Arial"/>
        </w:rPr>
      </w:pPr>
      <w:r w:rsidRPr="00085D5A">
        <w:rPr>
          <w:rFonts w:ascii="Arial" w:hAnsi="Arial" w:cs="Arial"/>
        </w:rPr>
        <w:t>“desenvolve uma interessante pesquisa de campo que acaba confirmando várias hipóteses, entre elas a já sabida – ainda que empiricamente – por todos: quanto maior for o nível de conhecimento/envolvimento do juiz com a investigação preliminar e o próprio recebimento da acusação, menor é o interesse dele pelas perguntas que a defesa faz para a testemunha e (muito) mais provável é a frequência com que ele condenará. Toda pessoa procura um equilíbrio do seu sistema cognitivo, uma relação não contraditória.”</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 xml:space="preserve">Por conseguinte, como reflexos dessa dissonância, e objetivando retomar aquele estado de coerência entre suas cognições o indivíduo passa a desenvolver diversos processos cognitivos-comportamentais reflexos (BRASILEIRO 2020, p.123). </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 xml:space="preserve">Segundo Ritter (2016, p. 90), esses processos podem se desenvolver por meio de </w:t>
      </w:r>
      <w:r w:rsidRPr="00085D5A">
        <w:rPr>
          <w:rFonts w:ascii="Arial" w:hAnsi="Arial" w:cs="Arial"/>
          <w:color w:val="1A1A1A"/>
          <w:sz w:val="24"/>
          <w:szCs w:val="24"/>
          <w:shd w:val="clear" w:color="auto" w:fill="FFFFFF"/>
        </w:rPr>
        <w:t>(1) mudança de elementos cognitivos dissonantes; (2) desvalorização de elementos cognitivos dissonantes; (3) adição de novos elementos cognitivos consonantes com a cognição existente; e, (4) evitação ativa do aumento desses elementos dissonantes”</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 xml:space="preserve">Aplicando a referida teoria à persecução penal,  afirma Lopes Junior (2020) que “a instrução para um juiz contaminado é marcada: a) pela autoconfirmação de hipóteses, superestimando as informações anteriormente consideradas corretas (como as informações fornecidas pelo inquérito ou a denúncia, tanto que ele as acolhe para aceitar a acusação, pedido de medida cautelar etc.); b) busca seletiva de </w:t>
      </w:r>
      <w:r w:rsidRPr="00085D5A">
        <w:rPr>
          <w:rFonts w:ascii="Arial" w:hAnsi="Arial" w:cs="Arial"/>
          <w:sz w:val="24"/>
          <w:szCs w:val="24"/>
        </w:rPr>
        <w:lastRenderedPageBreak/>
        <w:t>informações, onde se procuram, predominantemente, informações que confirmam a hipótese que em algum momento prévio foi aceita(acolhida pelo ego), gerando o efeito confirmador-tranquilizador.</w:t>
      </w: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sz w:val="24"/>
          <w:szCs w:val="24"/>
        </w:rPr>
        <w:t>Em suma, esse estudo comportamental se mostra como um justificador do juiz das garantias, que surge no ordenamento jurídico como uma tentativa de diminuir os riscos à imparcialidade do magistrado, uma vez que a atuação de um mesmo juiz na fase investigatória, pode vir a influenciar de forma direta ou indireta no mérito da decisão condenatória ou absolutória.</w:t>
      </w:r>
    </w:p>
    <w:p w:rsidR="007B025B" w:rsidRPr="00085D5A" w:rsidRDefault="007B025B" w:rsidP="007B025B">
      <w:pPr>
        <w:spacing w:line="360" w:lineRule="auto"/>
        <w:jc w:val="both"/>
        <w:rPr>
          <w:rFonts w:ascii="Arial" w:hAnsi="Arial" w:cs="Arial"/>
          <w:color w:val="000000"/>
          <w:sz w:val="24"/>
          <w:szCs w:val="24"/>
        </w:rPr>
      </w:pPr>
    </w:p>
    <w:p w:rsidR="007B025B" w:rsidRPr="00085D5A" w:rsidRDefault="007B025B" w:rsidP="007B025B">
      <w:pPr>
        <w:spacing w:line="360" w:lineRule="auto"/>
        <w:jc w:val="both"/>
        <w:rPr>
          <w:rFonts w:ascii="Arial" w:hAnsi="Arial" w:cs="Arial"/>
          <w:b/>
          <w:sz w:val="24"/>
          <w:szCs w:val="24"/>
        </w:rPr>
      </w:pPr>
      <w:r w:rsidRPr="00085D5A">
        <w:rPr>
          <w:rFonts w:ascii="Arial" w:hAnsi="Arial" w:cs="Arial"/>
          <w:b/>
          <w:bCs/>
          <w:color w:val="000000"/>
          <w:sz w:val="24"/>
          <w:szCs w:val="24"/>
        </w:rPr>
        <w:t>5</w:t>
      </w:r>
      <w:r w:rsidRPr="00085D5A">
        <w:rPr>
          <w:rFonts w:ascii="Arial" w:hAnsi="Arial" w:cs="Arial"/>
          <w:color w:val="000000"/>
          <w:sz w:val="24"/>
          <w:szCs w:val="24"/>
        </w:rPr>
        <w:t xml:space="preserve"> </w:t>
      </w:r>
      <w:r w:rsidRPr="00085D5A">
        <w:rPr>
          <w:rFonts w:ascii="Arial" w:hAnsi="Arial" w:cs="Arial"/>
          <w:b/>
          <w:sz w:val="24"/>
          <w:szCs w:val="24"/>
        </w:rPr>
        <w:t>JUIZ DAS GARANTIAS E A ADOÇÃO EXPRESSA DO SISTEMA ACUSATÓRIO NO PROCESSO PENAL</w:t>
      </w:r>
    </w:p>
    <w:p w:rsidR="007B025B" w:rsidRPr="00085D5A" w:rsidRDefault="007B025B" w:rsidP="007B025B">
      <w:pPr>
        <w:jc w:val="both"/>
        <w:rPr>
          <w:rFonts w:ascii="Arial" w:hAnsi="Arial" w:cs="Arial"/>
          <w:color w:val="000000"/>
          <w:sz w:val="24"/>
          <w:szCs w:val="24"/>
        </w:rPr>
      </w:pPr>
    </w:p>
    <w:p w:rsidR="007B025B" w:rsidRPr="00085D5A" w:rsidRDefault="007B025B" w:rsidP="007B025B">
      <w:pPr>
        <w:spacing w:line="360" w:lineRule="auto"/>
        <w:ind w:firstLine="567"/>
        <w:jc w:val="both"/>
        <w:rPr>
          <w:rFonts w:ascii="Arial" w:hAnsi="Arial" w:cs="Arial"/>
          <w:sz w:val="24"/>
          <w:szCs w:val="24"/>
        </w:rPr>
      </w:pPr>
      <w:r w:rsidRPr="00085D5A">
        <w:rPr>
          <w:rFonts w:ascii="Arial" w:hAnsi="Arial" w:cs="Arial"/>
          <w:color w:val="000000"/>
          <w:sz w:val="24"/>
          <w:szCs w:val="24"/>
        </w:rPr>
        <w:br/>
      </w:r>
      <w:r w:rsidRPr="00085D5A">
        <w:rPr>
          <w:rFonts w:ascii="Arial" w:hAnsi="Arial" w:cs="Arial"/>
          <w:color w:val="000000"/>
          <w:sz w:val="24"/>
          <w:szCs w:val="24"/>
        </w:rPr>
        <w:tab/>
      </w:r>
      <w:r w:rsidRPr="00085D5A">
        <w:rPr>
          <w:rFonts w:ascii="Arial" w:hAnsi="Arial" w:cs="Arial"/>
          <w:sz w:val="24"/>
          <w:szCs w:val="24"/>
        </w:rPr>
        <w:t>Os sistemas processuais penais se subdividem em: inquisitorial, acusatório e misto (ou francês). O primeiro, adotado pelo Direito Canônico a partir do século XVIII, tem como principal característica a unificação dos poderes de acusar, defender e julgar concentrados no juiz inquisidor.</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sz w:val="24"/>
          <w:szCs w:val="24"/>
        </w:rPr>
        <w:t xml:space="preserve">Segundo Coutinho (2001, p. 24), </w:t>
      </w:r>
      <w:r w:rsidRPr="00085D5A">
        <w:rPr>
          <w:rFonts w:ascii="Arial" w:hAnsi="Arial" w:cs="Arial"/>
          <w:color w:val="000000"/>
          <w:sz w:val="24"/>
          <w:szCs w:val="24"/>
          <w:shd w:val="clear" w:color="auto" w:fill="FFFFFF"/>
        </w:rPr>
        <w:t xml:space="preserve">a característica fundamental do sistema inquisitório, em verdade, está na gestão da prova, cominada essencialmente ao magistrado que, em geral, no modelo em análise, recolhe-a secretamente, sendo que “a vantagem (aparente) de uma tal estrutura residiria em que o juiz poderia mais fácil e amplamente informar-se sobre a verdade dos fatos. </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t>Outrossim, o acusado era mero objeto para satisfação do direito de punir do Estado, não era considerado sujeito de direitos, o que resultava na ampla utilização de métodos de tortura como forma de obter a confissão. Sendo assim, há uma nítida conexão entre o processo penal e a natureza do Estado que o institui (BRASILEIRO, 2020, p. 43).</w:t>
      </w:r>
    </w:p>
    <w:p w:rsidR="007B025B" w:rsidRPr="00085D5A" w:rsidRDefault="007B025B" w:rsidP="007B025B">
      <w:pPr>
        <w:spacing w:line="360" w:lineRule="auto"/>
        <w:ind w:firstLine="567"/>
        <w:jc w:val="both"/>
        <w:rPr>
          <w:rFonts w:ascii="Arial" w:hAnsi="Arial" w:cs="Arial"/>
          <w:color w:val="333333"/>
          <w:sz w:val="24"/>
          <w:szCs w:val="24"/>
          <w:shd w:val="clear" w:color="auto" w:fill="FFFFFF"/>
        </w:rPr>
      </w:pPr>
      <w:r w:rsidRPr="00085D5A">
        <w:rPr>
          <w:rFonts w:ascii="Arial" w:hAnsi="Arial" w:cs="Arial"/>
          <w:color w:val="000000"/>
          <w:sz w:val="24"/>
          <w:szCs w:val="24"/>
          <w:shd w:val="clear" w:color="auto" w:fill="FFFFFF"/>
        </w:rPr>
        <w:t xml:space="preserve">O sistema acusatório, </w:t>
      </w:r>
      <w:r w:rsidRPr="00085D5A">
        <w:rPr>
          <w:rFonts w:ascii="Arial" w:hAnsi="Arial" w:cs="Arial"/>
          <w:color w:val="333333"/>
          <w:sz w:val="24"/>
          <w:szCs w:val="24"/>
          <w:shd w:val="clear" w:color="auto" w:fill="FFFFFF"/>
        </w:rPr>
        <w:t>de acordo com as lições de Luigi Ferrajoli (2006, p. 518), tem por característica a </w:t>
      </w:r>
      <w:hyperlink r:id="rId6" w:history="1">
        <w:r w:rsidRPr="00085D5A">
          <w:rPr>
            <w:rStyle w:val="Hyperlink"/>
            <w:rFonts w:ascii="Arial" w:hAnsi="Arial" w:cs="Arial"/>
            <w:color w:val="000000"/>
            <w:sz w:val="24"/>
            <w:szCs w:val="24"/>
            <w:shd w:val="clear" w:color="auto" w:fill="FFFFFF"/>
          </w:rPr>
          <w:t>separação</w:t>
        </w:r>
      </w:hyperlink>
      <w:r w:rsidRPr="00085D5A">
        <w:rPr>
          <w:rFonts w:ascii="Arial" w:hAnsi="Arial" w:cs="Arial"/>
          <w:color w:val="333333"/>
          <w:sz w:val="24"/>
          <w:szCs w:val="24"/>
          <w:shd w:val="clear" w:color="auto" w:fill="FFFFFF"/>
        </w:rPr>
        <w:t> rígida entre o juiz e acusação, a paridade entre acusação e defesa, e a publicidade e a oralidade do julgamento”.</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lastRenderedPageBreak/>
        <w:t>Em consequência dessa polarização dos sujeitos do processo, a gestão da prova migra das mãos do magistrado para a acusação e defesa. Tem-se, assim, a substituição da verdade real (até então imposta pelo juiz) pela busca da verdade, com paridade de armas na produção dos meios de provas.</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t>Como esclarece Lima (2020, p. 44), o sistema acusatório vigorou durante toda a antiguidade grega e romana, bem como na idade média, nos domínios do direito germano. A partir do século XIII entra em declínio, passando a ter prevalência o sistema inquisitivo, comentado anteriormente.</w:t>
      </w:r>
    </w:p>
    <w:p w:rsidR="007B025B" w:rsidRPr="00085D5A" w:rsidRDefault="007B025B" w:rsidP="007B025B">
      <w:pPr>
        <w:spacing w:line="360" w:lineRule="auto"/>
        <w:ind w:firstLine="567"/>
        <w:jc w:val="both"/>
        <w:rPr>
          <w:rFonts w:ascii="Arial" w:hAnsi="Arial" w:cs="Arial"/>
          <w:color w:val="000000"/>
          <w:sz w:val="24"/>
          <w:szCs w:val="24"/>
          <w:shd w:val="clear" w:color="auto" w:fill="FFFFFF"/>
        </w:rPr>
      </w:pPr>
      <w:r w:rsidRPr="00085D5A">
        <w:rPr>
          <w:rFonts w:ascii="Arial" w:hAnsi="Arial" w:cs="Arial"/>
          <w:color w:val="000000"/>
          <w:sz w:val="24"/>
          <w:szCs w:val="24"/>
          <w:shd w:val="clear" w:color="auto" w:fill="FFFFFF"/>
        </w:rPr>
        <w:t>Finalmente, a decadência do sistema inquisitorial deu lugar ao surgimento do sistema misto (ou francês). É assim chamado por subdividir-se em duas fases, uma tipicamente inquisitorial, sem a tríade acusação, defesa e juiz e, por conseguinte, sem as garantias fundamentais do contraditório e ampla defesa, e uma segunda fase em que o acusador apresenta a acusação, o réu a sua defesa e o juiz julga a demanda, ou seja, primeiro há a apuração acerca da autoria e materialidade do delito para, posteriormente, ter início a fase processual em si.</w:t>
      </w:r>
    </w:p>
    <w:p w:rsidR="007B025B" w:rsidRPr="00085D5A" w:rsidRDefault="007B025B" w:rsidP="007B025B">
      <w:pPr>
        <w:spacing w:line="360" w:lineRule="auto"/>
        <w:ind w:firstLine="567"/>
        <w:jc w:val="both"/>
        <w:rPr>
          <w:rFonts w:ascii="Arial" w:hAnsi="Arial" w:cs="Arial"/>
          <w:color w:val="222222"/>
          <w:sz w:val="24"/>
          <w:szCs w:val="24"/>
          <w:shd w:val="clear" w:color="auto" w:fill="FFFFFF"/>
        </w:rPr>
      </w:pPr>
      <w:r w:rsidRPr="00085D5A">
        <w:rPr>
          <w:rFonts w:ascii="Arial" w:hAnsi="Arial" w:cs="Arial"/>
          <w:color w:val="000000"/>
          <w:sz w:val="24"/>
          <w:szCs w:val="24"/>
          <w:shd w:val="clear" w:color="auto" w:fill="FFFFFF"/>
        </w:rPr>
        <w:t xml:space="preserve">Em crítica a esse sistema, Nucci (2007) alega que </w:t>
      </w:r>
      <w:r w:rsidRPr="00085D5A">
        <w:rPr>
          <w:rFonts w:ascii="Arial" w:hAnsi="Arial" w:cs="Arial"/>
          <w:color w:val="222222"/>
          <w:sz w:val="24"/>
          <w:szCs w:val="24"/>
          <w:shd w:val="clear" w:color="auto" w:fill="FFFFFF"/>
        </w:rPr>
        <w:t xml:space="preserve">no mundo inteiro o sistema adotado no processo penal é o misto, pois seria humanamente impossível de adotar um sistema puro, só acusatório ou só inquisitório. Por isso, com a entrada em vigor do Código de Processo Penal, em 1941, prevaleceu o entendimento de que, no Brasil, houve a adoção do sistema misto, no qual a fase inquisitorial era a fase de inquérito policial, e, logo em seguida, com o início do processo teria início a fase acusatória. </w:t>
      </w:r>
    </w:p>
    <w:p w:rsidR="007B025B" w:rsidRPr="00085D5A" w:rsidRDefault="007B025B" w:rsidP="007B025B">
      <w:pPr>
        <w:spacing w:line="360" w:lineRule="auto"/>
        <w:ind w:firstLine="567"/>
        <w:jc w:val="both"/>
        <w:rPr>
          <w:rFonts w:ascii="Arial" w:hAnsi="Arial" w:cs="Arial"/>
          <w:color w:val="222222"/>
          <w:sz w:val="24"/>
          <w:szCs w:val="24"/>
          <w:shd w:val="clear" w:color="auto" w:fill="FFFFFF"/>
        </w:rPr>
      </w:pPr>
      <w:r w:rsidRPr="00085D5A">
        <w:rPr>
          <w:rFonts w:ascii="Arial" w:hAnsi="Arial" w:cs="Arial"/>
          <w:color w:val="222222"/>
          <w:sz w:val="24"/>
          <w:szCs w:val="24"/>
          <w:shd w:val="clear" w:color="auto" w:fill="FFFFFF"/>
        </w:rPr>
        <w:t>Todavia, com a entrada em vigor da Constituição Federal, passou a existir a previsão de maneira expressa do sistema acusatório, com a previsão da separação de acusar, defender e jugar, estando assegurado o contraditório e a ampla defesa, além do princípio da presunção de não culpabilidade.</w:t>
      </w:r>
    </w:p>
    <w:p w:rsidR="007B025B" w:rsidRPr="00085D5A" w:rsidRDefault="007B025B" w:rsidP="007B025B">
      <w:pPr>
        <w:spacing w:line="360" w:lineRule="auto"/>
        <w:ind w:firstLine="567"/>
        <w:jc w:val="both"/>
        <w:rPr>
          <w:rFonts w:ascii="Arial" w:hAnsi="Arial" w:cs="Arial"/>
          <w:i/>
          <w:color w:val="222222"/>
          <w:sz w:val="24"/>
          <w:szCs w:val="24"/>
          <w:shd w:val="clear" w:color="auto" w:fill="FFFFFF"/>
        </w:rPr>
      </w:pPr>
      <w:r w:rsidRPr="00085D5A">
        <w:rPr>
          <w:rFonts w:ascii="Arial" w:hAnsi="Arial" w:cs="Arial"/>
          <w:color w:val="222222"/>
          <w:sz w:val="24"/>
          <w:szCs w:val="24"/>
          <w:shd w:val="clear" w:color="auto" w:fill="FFFFFF"/>
        </w:rPr>
        <w:t xml:space="preserve">Este posicionamento veio, então, a ser ratificado pelo art. 3º-A do Código de Processo Penal, passando a prever expressamente que </w:t>
      </w:r>
      <w:r w:rsidRPr="00085D5A">
        <w:rPr>
          <w:rFonts w:ascii="Arial" w:hAnsi="Arial" w:cs="Arial"/>
          <w:i/>
          <w:color w:val="222222"/>
          <w:sz w:val="24"/>
          <w:szCs w:val="24"/>
          <w:shd w:val="clear" w:color="auto" w:fill="FFFFFF"/>
        </w:rPr>
        <w:t xml:space="preserve">“o processo penal </w:t>
      </w:r>
      <w:r w:rsidRPr="00085D5A">
        <w:rPr>
          <w:rFonts w:ascii="Arial" w:hAnsi="Arial" w:cs="Arial"/>
          <w:b/>
          <w:i/>
          <w:color w:val="222222"/>
          <w:sz w:val="24"/>
          <w:szCs w:val="24"/>
          <w:u w:val="single"/>
          <w:shd w:val="clear" w:color="auto" w:fill="FFFFFF"/>
        </w:rPr>
        <w:t>terá estrutura acusatória</w:t>
      </w:r>
      <w:r w:rsidRPr="00085D5A">
        <w:rPr>
          <w:rFonts w:ascii="Arial" w:hAnsi="Arial" w:cs="Arial"/>
          <w:i/>
          <w:color w:val="222222"/>
          <w:sz w:val="24"/>
          <w:szCs w:val="24"/>
          <w:shd w:val="clear" w:color="auto" w:fill="FFFFFF"/>
        </w:rPr>
        <w:t xml:space="preserve">, vedada a iniciativa do juiz na fase de investigação e a substituição da atuação probatória do órgão de acusação” </w:t>
      </w:r>
      <w:r w:rsidRPr="00085D5A">
        <w:rPr>
          <w:rFonts w:ascii="Arial" w:hAnsi="Arial" w:cs="Arial"/>
          <w:color w:val="222222"/>
          <w:sz w:val="24"/>
          <w:szCs w:val="24"/>
          <w:shd w:val="clear" w:color="auto" w:fill="FFFFFF"/>
        </w:rPr>
        <w:t>(grifo nosso)</w:t>
      </w:r>
      <w:r w:rsidRPr="00085D5A">
        <w:rPr>
          <w:rFonts w:ascii="Arial" w:hAnsi="Arial" w:cs="Arial"/>
          <w:i/>
          <w:color w:val="222222"/>
          <w:sz w:val="24"/>
          <w:szCs w:val="24"/>
          <w:shd w:val="clear" w:color="auto" w:fill="FFFFFF"/>
        </w:rPr>
        <w:t>.</w:t>
      </w:r>
    </w:p>
    <w:p w:rsidR="007B025B" w:rsidRPr="00085D5A" w:rsidRDefault="007B025B" w:rsidP="007B025B">
      <w:pPr>
        <w:spacing w:line="360" w:lineRule="auto"/>
        <w:ind w:firstLine="567"/>
        <w:jc w:val="both"/>
        <w:rPr>
          <w:rFonts w:ascii="Arial" w:hAnsi="Arial" w:cs="Arial"/>
          <w:color w:val="222222"/>
          <w:sz w:val="24"/>
          <w:szCs w:val="24"/>
          <w:shd w:val="clear" w:color="auto" w:fill="FFFFFF"/>
        </w:rPr>
      </w:pPr>
      <w:r w:rsidRPr="00085D5A">
        <w:rPr>
          <w:rFonts w:ascii="Arial" w:hAnsi="Arial" w:cs="Arial"/>
          <w:color w:val="222222"/>
          <w:sz w:val="24"/>
          <w:szCs w:val="24"/>
          <w:shd w:val="clear" w:color="auto" w:fill="FFFFFF"/>
        </w:rPr>
        <w:t xml:space="preserve">Sendo assim, teve fim a dúvida acerca da adoção do sistema processual adotado no ordenamento jurídico pátrio, pois, agora a estrutura acusatória está expressamente </w:t>
      </w:r>
      <w:r w:rsidRPr="00085D5A">
        <w:rPr>
          <w:rFonts w:ascii="Arial" w:hAnsi="Arial" w:cs="Arial"/>
          <w:color w:val="222222"/>
          <w:sz w:val="24"/>
          <w:szCs w:val="24"/>
          <w:shd w:val="clear" w:color="auto" w:fill="FFFFFF"/>
        </w:rPr>
        <w:lastRenderedPageBreak/>
        <w:t xml:space="preserve">consagrada no CPP e não há mais espaço para juiz-ator-inquisidor, que atue de ofício, violando o </w:t>
      </w:r>
      <w:r w:rsidRPr="00085D5A">
        <w:rPr>
          <w:rFonts w:ascii="Arial" w:hAnsi="Arial" w:cs="Arial"/>
          <w:i/>
          <w:color w:val="222222"/>
          <w:sz w:val="24"/>
          <w:szCs w:val="24"/>
          <w:shd w:val="clear" w:color="auto" w:fill="FFFFFF"/>
        </w:rPr>
        <w:t>ne procedat iudex ex officio,</w:t>
      </w:r>
      <w:r w:rsidRPr="00085D5A">
        <w:rPr>
          <w:rFonts w:ascii="Arial" w:hAnsi="Arial" w:cs="Arial"/>
          <w:color w:val="222222"/>
          <w:sz w:val="24"/>
          <w:szCs w:val="24"/>
          <w:shd w:val="clear" w:color="auto" w:fill="FFFFFF"/>
        </w:rPr>
        <w:t xml:space="preserve"> ou que produza prova de ofício (Lopes Junior, 2020).</w:t>
      </w:r>
    </w:p>
    <w:p w:rsidR="007B025B" w:rsidRPr="00085D5A" w:rsidRDefault="007B025B" w:rsidP="007B025B">
      <w:pPr>
        <w:spacing w:line="360" w:lineRule="auto"/>
        <w:jc w:val="both"/>
        <w:rPr>
          <w:rFonts w:ascii="Arial" w:hAnsi="Arial" w:cs="Arial"/>
          <w:b/>
          <w:color w:val="222222"/>
          <w:sz w:val="24"/>
          <w:szCs w:val="24"/>
          <w:shd w:val="clear" w:color="auto" w:fill="FFFFFF"/>
        </w:rPr>
      </w:pPr>
      <w:r w:rsidRPr="00085D5A">
        <w:rPr>
          <w:rFonts w:ascii="Arial" w:hAnsi="Arial" w:cs="Arial"/>
          <w:b/>
          <w:color w:val="222222"/>
          <w:sz w:val="24"/>
          <w:szCs w:val="24"/>
          <w:shd w:val="clear" w:color="auto" w:fill="FFFFFF"/>
        </w:rPr>
        <w:t>6 COMPETÊNCIA DO JUIZ DAS GARANTIAS</w:t>
      </w:r>
    </w:p>
    <w:p w:rsidR="007B025B" w:rsidRPr="00085D5A" w:rsidRDefault="007B025B" w:rsidP="007B025B">
      <w:pPr>
        <w:spacing w:line="360" w:lineRule="auto"/>
        <w:jc w:val="both"/>
        <w:rPr>
          <w:rFonts w:ascii="Arial" w:hAnsi="Arial" w:cs="Arial"/>
          <w:b/>
          <w:color w:val="222222"/>
          <w:sz w:val="24"/>
          <w:szCs w:val="24"/>
          <w:shd w:val="clear" w:color="auto" w:fill="FFFFFF"/>
        </w:rPr>
      </w:pPr>
    </w:p>
    <w:p w:rsidR="007B025B" w:rsidRPr="00085D5A" w:rsidRDefault="007B025B" w:rsidP="007B025B">
      <w:pPr>
        <w:spacing w:line="360" w:lineRule="auto"/>
        <w:ind w:firstLine="567"/>
        <w:jc w:val="both"/>
        <w:rPr>
          <w:rFonts w:ascii="Arial" w:hAnsi="Arial" w:cs="Arial"/>
          <w:i/>
          <w:color w:val="222222"/>
          <w:sz w:val="24"/>
          <w:szCs w:val="24"/>
          <w:shd w:val="clear" w:color="auto" w:fill="FFFFFF"/>
        </w:rPr>
      </w:pPr>
      <w:r w:rsidRPr="00085D5A">
        <w:rPr>
          <w:rFonts w:ascii="Arial" w:hAnsi="Arial" w:cs="Arial"/>
          <w:color w:val="222222"/>
          <w:sz w:val="24"/>
          <w:szCs w:val="24"/>
          <w:shd w:val="clear" w:color="auto" w:fill="FFFFFF"/>
        </w:rPr>
        <w:t xml:space="preserve">O art. 3º-B, traz, nos incisos I a XVIII, um amplo rol de competências do juiz das garantias, e, ao utilizar o termo </w:t>
      </w:r>
      <w:r w:rsidRPr="00085D5A">
        <w:rPr>
          <w:rFonts w:ascii="Arial" w:hAnsi="Arial" w:cs="Arial"/>
          <w:i/>
          <w:color w:val="222222"/>
          <w:sz w:val="24"/>
          <w:szCs w:val="24"/>
          <w:shd w:val="clear" w:color="auto" w:fill="FFFFFF"/>
        </w:rPr>
        <w:t>especialmente</w:t>
      </w:r>
      <w:r w:rsidRPr="00085D5A">
        <w:rPr>
          <w:rFonts w:ascii="Arial" w:hAnsi="Arial" w:cs="Arial"/>
          <w:color w:val="222222"/>
          <w:sz w:val="24"/>
          <w:szCs w:val="24"/>
          <w:shd w:val="clear" w:color="auto" w:fill="FFFFFF"/>
        </w:rPr>
        <w:t xml:space="preserve">, deu a entender que o rol é exemplificativo, admitindo outras hipóteses de atuação, o que também se depreende da leitura do inciso XVIII, que deixa clara a possibilidade de atuação </w:t>
      </w:r>
      <w:r w:rsidRPr="00085D5A">
        <w:rPr>
          <w:rFonts w:ascii="Arial" w:hAnsi="Arial" w:cs="Arial"/>
          <w:i/>
          <w:color w:val="222222"/>
          <w:sz w:val="24"/>
          <w:szCs w:val="24"/>
          <w:shd w:val="clear" w:color="auto" w:fill="FFFFFF"/>
        </w:rPr>
        <w:t>“em outras matérias inerentes às atribuições definidas no caput deste artigo. ”</w:t>
      </w:r>
    </w:p>
    <w:p w:rsidR="007B025B" w:rsidRPr="00085D5A" w:rsidRDefault="007B025B" w:rsidP="007B025B">
      <w:pPr>
        <w:pStyle w:val="NormalWeb"/>
        <w:ind w:firstLine="525"/>
        <w:jc w:val="both"/>
        <w:rPr>
          <w:rFonts w:ascii="Arial" w:hAnsi="Arial" w:cs="Arial"/>
          <w:color w:val="222222"/>
          <w:shd w:val="clear" w:color="auto" w:fill="FFFFFF"/>
        </w:rPr>
      </w:pPr>
      <w:r w:rsidRPr="00085D5A">
        <w:rPr>
          <w:rFonts w:ascii="Arial" w:hAnsi="Arial" w:cs="Arial"/>
          <w:color w:val="222222"/>
          <w:shd w:val="clear" w:color="auto" w:fill="FFFFFF"/>
        </w:rPr>
        <w:t xml:space="preserve">Resumidamente, o rol de atribuições prevê: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I - receber a comunicação imediata da prisão, nos termos do inciso LXII do </w:t>
      </w:r>
      <w:r w:rsidRPr="007B025B">
        <w:rPr>
          <w:rFonts w:ascii="Arial" w:hAnsi="Arial" w:cs="Arial"/>
          <w:b/>
          <w:bCs/>
          <w:color w:val="000000"/>
          <w:sz w:val="22"/>
          <w:szCs w:val="22"/>
        </w:rPr>
        <w:t>caput</w:t>
      </w:r>
      <w:r w:rsidRPr="007B025B">
        <w:rPr>
          <w:rFonts w:ascii="Arial" w:hAnsi="Arial" w:cs="Arial"/>
          <w:color w:val="000000"/>
          <w:sz w:val="22"/>
          <w:szCs w:val="22"/>
        </w:rPr>
        <w:t xml:space="preserve"> do art. 5º da Constituição Federal;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II - receber o auto da prisão em flagrante para o controle da legalidade da prisão, observado o disposto no art. 310 deste Código;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III - zelar pela observância dos direitos do preso, podendo determinar que este seja conduzido à sua presença, a qualquer tempo;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IV - ser informado sobre a instauração de qualquer investigação criminal</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V - decidir sobre o requerimento de prisão provisória ou outra medida cautelar, observado o disposto no § 1º deste artigo;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VI - prorrogar a prisão provisória ou outra medida cautelar, bem como substituí-las ou revogá-las, assegurado, no primeiro caso, o exercício do contraditório em audiência pública e oral, na forma do disposto neste Código ou em legislação especial pertinente;</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VII - decidir sobre o requerimento de produção antecipada de provas consideradas urgentes e não repetíveis, assegurados o contraditório e a ampla defesa em audiência pública e oral;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 VIII - prorrogar o prazo de duração do inquérito, estando o investigado preso, em vista das razões apresentadas pela autoridade policial e observado o disposto no § 2º deste artigo;</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IX - determinar o trancamento do inquérito policial quando não houver fundamento razoável para sua instauração ou prosseguimento;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X - requisitar documentos, laudos e informações ao delegado de polícia sobre o andamento da investigação</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XI - decidir sobre os requerimentos de:     a) interceptação telefônica, do fluxo de comunicações em sistemas de informática e telemática ou de outras formas de comunicação;      b) afastamento dos sigilos fiscal, bancário, de dados e telefônico c) busca e apreensão domiciliar;      d) acesso a informações sigilosas;     e) outros meios de obtenção da prova que restrinjam direitos fundamentais do investigado;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XII - julgar o </w:t>
      </w:r>
      <w:r w:rsidRPr="007B025B">
        <w:rPr>
          <w:rFonts w:ascii="Arial" w:hAnsi="Arial" w:cs="Arial"/>
          <w:b/>
          <w:bCs/>
          <w:color w:val="000000"/>
          <w:sz w:val="22"/>
          <w:szCs w:val="22"/>
        </w:rPr>
        <w:t>habeas corpus</w:t>
      </w:r>
      <w:r w:rsidRPr="007B025B">
        <w:rPr>
          <w:rFonts w:ascii="Arial" w:hAnsi="Arial" w:cs="Arial"/>
          <w:color w:val="000000"/>
          <w:sz w:val="22"/>
          <w:szCs w:val="22"/>
        </w:rPr>
        <w:t> impetrado antes do oferecimento da denúncia;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 XIII - determinar a instauração de incidente de insanidade mental</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lastRenderedPageBreak/>
        <w:t xml:space="preserve">XIV - decidir sobre o recebimento da denúncia ou queixa, nos termos do art. 399 deste Código;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XV - assegurar prontamente, quando se fizer necessário, o direito outorgado ao investigado e ao seu defensor de acesso a todos os elementos informativos e provas produzidos no âmbito da investigação criminal, salvo no que concerne, estritamente, às diligências em andamento;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XVI - deferir pedido de admissão de assistente técnico para acompanhar a produção da perícia;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 xml:space="preserve"> XVII - decidir sobre a homologação de acordo de não persecução penal ou os de colaboração premiada, quando formalizados durante a investigação; </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r w:rsidRPr="007B025B">
        <w:rPr>
          <w:rFonts w:ascii="Arial" w:hAnsi="Arial" w:cs="Arial"/>
          <w:color w:val="000000"/>
          <w:sz w:val="22"/>
          <w:szCs w:val="22"/>
        </w:rPr>
        <w:t>XVIII - outras matérias inerentes às atribuições definidas no </w:t>
      </w:r>
      <w:r w:rsidRPr="007B025B">
        <w:rPr>
          <w:rFonts w:ascii="Arial" w:hAnsi="Arial" w:cs="Arial"/>
          <w:b/>
          <w:bCs/>
          <w:color w:val="000000"/>
          <w:sz w:val="22"/>
          <w:szCs w:val="22"/>
        </w:rPr>
        <w:t>caput</w:t>
      </w:r>
      <w:r w:rsidRPr="007B025B">
        <w:rPr>
          <w:rFonts w:ascii="Arial" w:hAnsi="Arial" w:cs="Arial"/>
          <w:color w:val="000000"/>
          <w:sz w:val="22"/>
          <w:szCs w:val="22"/>
        </w:rPr>
        <w:t> deste artigo.</w:t>
      </w:r>
    </w:p>
    <w:p w:rsidR="007B025B" w:rsidRPr="007B025B" w:rsidRDefault="007B025B" w:rsidP="007B025B">
      <w:pPr>
        <w:pStyle w:val="NormalWeb"/>
        <w:spacing w:before="0" w:beforeAutospacing="0" w:after="0" w:afterAutospacing="0"/>
        <w:ind w:left="2268"/>
        <w:jc w:val="both"/>
        <w:rPr>
          <w:rFonts w:ascii="Arial" w:hAnsi="Arial" w:cs="Arial"/>
          <w:color w:val="000000"/>
          <w:sz w:val="22"/>
          <w:szCs w:val="22"/>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No que toca à abrangência da competência, pela literalidade da primeira parte do art. 3º C, a competência do juiz das garantias abrange todas as infrações penais, excluídas as de menor potencial ofensivo.</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Essa ressalva feita pelo legislador se justifica em virtude de a prática dessas infrações de menor potencial ofensivo, darem ensejo, pelo menos em regra, à lavratura de um mero termo circunstanciado, e não da instauração de inquéritos policiais (Lima, 2020).</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Contudo, a referida norma também possui os seus reflexos em outras áreas, a exemplo da Justiça Militar, Justiça Eleitoral, em que não há consenso doutrinário e jurisprudencial sobre a sua possibilidade de aplicação.</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 xml:space="preserve">Passada a análise acerca das generalidades do instituto, o próximo tópico irá tratar os aspectos formais e materiais que levam ao entendimento pela sua inconstitucionalidade, e que levaram à concessão da medida liminar, em sede de julgamento das ADI’s 6.298, 6.300 e 6.305, suspendendo, </w:t>
      </w:r>
      <w:r w:rsidRPr="00085D5A">
        <w:rPr>
          <w:rFonts w:ascii="Arial" w:hAnsi="Arial" w:cs="Arial"/>
          <w:i/>
          <w:color w:val="000000"/>
        </w:rPr>
        <w:t xml:space="preserve">sine die, </w:t>
      </w:r>
      <w:r w:rsidRPr="00085D5A">
        <w:rPr>
          <w:rFonts w:ascii="Arial" w:hAnsi="Arial" w:cs="Arial"/>
          <w:color w:val="000000"/>
        </w:rPr>
        <w:t>a integralidade dos dispositivos que tratam do tema abordado no presente trabalho.</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p>
    <w:p w:rsidR="007B025B" w:rsidRPr="00085D5A" w:rsidRDefault="007B025B" w:rsidP="007B025B">
      <w:pPr>
        <w:spacing w:line="360" w:lineRule="auto"/>
        <w:jc w:val="both"/>
        <w:rPr>
          <w:rFonts w:ascii="Arial" w:hAnsi="Arial" w:cs="Arial"/>
          <w:b/>
          <w:color w:val="222222"/>
          <w:sz w:val="24"/>
          <w:szCs w:val="24"/>
          <w:shd w:val="clear" w:color="auto" w:fill="FFFFFF"/>
        </w:rPr>
      </w:pPr>
      <w:r w:rsidRPr="00085D5A">
        <w:rPr>
          <w:rFonts w:ascii="Arial" w:hAnsi="Arial" w:cs="Arial"/>
          <w:b/>
          <w:color w:val="222222"/>
          <w:sz w:val="24"/>
          <w:szCs w:val="24"/>
          <w:shd w:val="clear" w:color="auto" w:fill="FFFFFF"/>
        </w:rPr>
        <w:t>7ASPECTOS FORMAIS E MATERIAIS DA SUA (IN) CONSTITUCIONALIDADE</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 xml:space="preserve">Como mencionado anteriormente, as normas que disciplinam o juiz das garantias foram suspensas cautelarmente pelo Min. Luiz Fux, </w:t>
      </w:r>
      <w:r w:rsidRPr="00085D5A">
        <w:rPr>
          <w:rFonts w:ascii="Arial" w:hAnsi="Arial" w:cs="Arial"/>
          <w:i/>
          <w:color w:val="000000"/>
        </w:rPr>
        <w:t>ad referendum</w:t>
      </w:r>
      <w:r w:rsidRPr="00085D5A">
        <w:rPr>
          <w:rFonts w:ascii="Arial" w:hAnsi="Arial" w:cs="Arial"/>
          <w:color w:val="000000"/>
        </w:rPr>
        <w:t xml:space="preserve"> do Plenário, na condição de relator das ADI’s 6.298, 6.300 e 6.305, ajuizadas pelas Associação de Magistrados Brasileiros (AMB) e Associação de Juízes Federais do Brasil, Diretório Nacional do Partido Social Liberal (PSL) e Associação Nacional do Ministério Público, respectivamente.</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lastRenderedPageBreak/>
        <w:t>Em que pese a decisão pela suspensão, restou determinado que a concessão de tal medida não teria o condão de interferir nem de suspender os inquéritos policiais e processos em andamento.</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 xml:space="preserve">Por oportuno, antes de qualquer explanação, é necessário ressaltar que a suspensão do instituto por meio de medida cautelar é uma forma de garantir a segurança jurídica no âmbito da persecução penal, uma vez que, segundo Gonçalves (2018): </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p>
    <w:p w:rsidR="007B025B" w:rsidRPr="00085D5A" w:rsidRDefault="007B025B" w:rsidP="007B025B">
      <w:pPr>
        <w:pStyle w:val="NormalWeb"/>
        <w:spacing w:before="0" w:beforeAutospacing="0" w:after="0" w:afterAutospacing="0"/>
        <w:ind w:left="2268"/>
        <w:jc w:val="both"/>
        <w:rPr>
          <w:rFonts w:ascii="Arial" w:hAnsi="Arial" w:cs="Arial"/>
          <w:color w:val="000000"/>
          <w:sz w:val="22"/>
          <w:szCs w:val="22"/>
        </w:rPr>
      </w:pPr>
      <w:r w:rsidRPr="00085D5A">
        <w:rPr>
          <w:rFonts w:ascii="Arial" w:hAnsi="Arial" w:cs="Arial"/>
          <w:color w:val="000000"/>
          <w:sz w:val="22"/>
          <w:szCs w:val="22"/>
        </w:rPr>
        <w:t xml:space="preserve">Na cautelar, a regra é </w:t>
      </w:r>
      <w:r w:rsidRPr="00085D5A">
        <w:rPr>
          <w:rFonts w:ascii="Arial" w:hAnsi="Arial" w:cs="Arial"/>
          <w:i/>
          <w:color w:val="000000"/>
          <w:sz w:val="22"/>
          <w:szCs w:val="22"/>
        </w:rPr>
        <w:t>ex nunc</w:t>
      </w:r>
      <w:r w:rsidRPr="00085D5A">
        <w:rPr>
          <w:rFonts w:ascii="Arial" w:hAnsi="Arial" w:cs="Arial"/>
          <w:color w:val="000000"/>
          <w:sz w:val="22"/>
          <w:szCs w:val="22"/>
        </w:rPr>
        <w:t xml:space="preserve"> e </w:t>
      </w:r>
      <w:r w:rsidRPr="00085D5A">
        <w:rPr>
          <w:rFonts w:ascii="Arial" w:hAnsi="Arial" w:cs="Arial"/>
          <w:i/>
          <w:color w:val="000000"/>
          <w:sz w:val="22"/>
          <w:szCs w:val="22"/>
        </w:rPr>
        <w:t>erga omnes</w:t>
      </w:r>
      <w:r w:rsidRPr="00085D5A">
        <w:rPr>
          <w:rFonts w:ascii="Arial" w:hAnsi="Arial" w:cs="Arial"/>
          <w:color w:val="000000"/>
          <w:sz w:val="22"/>
          <w:szCs w:val="22"/>
        </w:rPr>
        <w:t>. O efeito regra será o e nunc por questões nitidamente de segurança jurídica. Vejamos que o mérito da ADI não foi julgado ainda. E se no mérito da ADI, o STF julgar a lei inconstitucional? Temos, aqui, uma posição estratégica do legislador, para conceder estabilidade ao sistema. Por isso, a regra será apenas a de suspender a lei ou ato normativo (ex nunc) até o julgamento final da ADI (GOLÇALVES, 2018, p. 1629).</w:t>
      </w:r>
    </w:p>
    <w:p w:rsidR="007B025B" w:rsidRPr="00085D5A" w:rsidRDefault="007B025B" w:rsidP="007B025B">
      <w:pPr>
        <w:pStyle w:val="NormalWeb"/>
        <w:spacing w:before="0" w:beforeAutospacing="0" w:after="0" w:afterAutospacing="0"/>
        <w:ind w:left="2268"/>
        <w:jc w:val="both"/>
        <w:rPr>
          <w:rFonts w:ascii="Arial" w:hAnsi="Arial" w:cs="Arial"/>
          <w:color w:val="000000"/>
          <w:sz w:val="22"/>
          <w:szCs w:val="22"/>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Feitas essas acepções, serão analisados a seguir os aspectos inconstitucionais do juiz das garantias.</w:t>
      </w:r>
    </w:p>
    <w:p w:rsidR="007B025B" w:rsidRPr="00085D5A" w:rsidRDefault="007B025B" w:rsidP="007B025B">
      <w:pPr>
        <w:pStyle w:val="NormalWeb"/>
        <w:spacing w:before="0" w:beforeAutospacing="0" w:after="0" w:afterAutospacing="0" w:line="360" w:lineRule="auto"/>
        <w:jc w:val="both"/>
        <w:rPr>
          <w:rFonts w:ascii="Arial" w:hAnsi="Arial" w:cs="Arial"/>
          <w:color w:val="000000"/>
        </w:rPr>
      </w:pPr>
      <w:r w:rsidRPr="00085D5A">
        <w:rPr>
          <w:rFonts w:ascii="Arial" w:hAnsi="Arial" w:cs="Arial"/>
          <w:color w:val="000000"/>
        </w:rPr>
        <w:t>7.1 INCONSTITUCIONALIDADE FORMAL DA LEI Nº 13.964/2019, QUE INSTITUIU A FIGURA DO JUIZ DAS GARANTIAS.</w:t>
      </w:r>
    </w:p>
    <w:p w:rsidR="007B025B" w:rsidRPr="00085D5A" w:rsidRDefault="007B025B" w:rsidP="007B025B">
      <w:pPr>
        <w:pStyle w:val="NormalWeb"/>
        <w:spacing w:before="0" w:beforeAutospacing="0" w:after="0" w:afterAutospacing="0" w:line="360" w:lineRule="auto"/>
        <w:ind w:firstLine="567"/>
        <w:jc w:val="both"/>
        <w:rPr>
          <w:rFonts w:ascii="Arial" w:hAnsi="Arial" w:cs="Arial"/>
          <w:b/>
          <w:color w:val="000000"/>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Uma das justificativas daqueles que defendem a inconstitucionalidade do juiz das garantias é a de que a norma que o instituiu no ordenamento jurídico (Lei nº 13.964/2019) estaria eivada pelo vício de iniciativa, haja vista que, nos termos do art. 24, XI, é de competência da União, dos Estados e do Distrito Federal legislar concorrentemente sobre procedimento em matéria processual.</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Desta feita, a União edita as normas gerais e os Estados e o Distrito Federal deverão suplementar essas normas gerais para atender aos seus interesses regionais (GONÇALVES, 2018, p. 973).</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Lado outro, também se fala em ofensa ao art. 96 da Constituição Federal, que trata da autonomia orgânico – administrativa do poder Judiciário. De acordo com Lenza (2018, p. 832), manifesta-se na estruturação e funcionamento dos órgãos, na medida em que se atribui aos Tribunais competência para a) eleger seus órgãos diretivos, sem qualquer participação de outros poderes; b) elaborar regimento interno; c) organizar a estrutura administrativa interna de modo geral (...).</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 xml:space="preserve">A ofensa ao poder de auto-organização do Poder Judiciário, precisamente ao art. 96, II, d, da Constituição Federal ocorre ao dispor o art. 3º-D, parágrafo único, do </w:t>
      </w:r>
      <w:r w:rsidRPr="00085D5A">
        <w:rPr>
          <w:rFonts w:ascii="Arial" w:hAnsi="Arial" w:cs="Arial"/>
          <w:color w:val="000000"/>
        </w:rPr>
        <w:lastRenderedPageBreak/>
        <w:t xml:space="preserve">Código de Processo Penal que </w:t>
      </w:r>
      <w:r w:rsidRPr="00085D5A">
        <w:rPr>
          <w:rFonts w:ascii="Arial" w:hAnsi="Arial" w:cs="Arial"/>
          <w:i/>
          <w:color w:val="000000"/>
        </w:rPr>
        <w:t>“ nas comarcas em que funcionar apenas um juiz, os Tribunais criarão um sistema de rodízio de magistrados, à fim de atender às disposições deste capítulo”</w:t>
      </w:r>
      <w:r w:rsidRPr="00085D5A">
        <w:rPr>
          <w:rFonts w:ascii="Arial" w:hAnsi="Arial" w:cs="Arial"/>
          <w:color w:val="000000"/>
        </w:rPr>
        <w:t>.</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Lado outro, o art. 22, I, dispõe ser de competência privativa da União Legislar sobre direito processual, podendo, nos termos do parágrafo único do dispositivo legal ora em comento, a União, por meio de Lei Complementar, autorizar os Estados a legislar sobre questões específicas no referido art. 22 (LENZA, 2020, p.504).</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 xml:space="preserve">No caso da Lei nº 13.964/2019, intitulada de “pacote anticrime”, foi proposta pelo Poder Executivo em nível federal. Entretanto, as disposições concernentes ao Juiz das garantias foram incluídas por meio de emenda parlamentar, o que poderia levar à afirmação de que se tratam de leis gerais processuais, sem, portanto, qualquer vício de inconstitucionalidade. Discordando desse entendimento, assevera o Min. Luiz Fux que: </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p>
    <w:p w:rsidR="007B025B" w:rsidRPr="00085D5A" w:rsidRDefault="007B025B" w:rsidP="007B025B">
      <w:pPr>
        <w:pStyle w:val="NormalWeb"/>
        <w:spacing w:before="0" w:beforeAutospacing="0" w:after="0" w:afterAutospacing="0"/>
        <w:ind w:left="2268"/>
        <w:jc w:val="both"/>
        <w:rPr>
          <w:rFonts w:ascii="Arial" w:hAnsi="Arial" w:cs="Arial"/>
          <w:sz w:val="22"/>
          <w:szCs w:val="22"/>
        </w:rPr>
      </w:pPr>
      <w:r w:rsidRPr="00085D5A">
        <w:rPr>
          <w:rFonts w:ascii="Arial" w:hAnsi="Arial" w:cs="Arial"/>
          <w:sz w:val="22"/>
          <w:szCs w:val="22"/>
        </w:rPr>
        <w:t>“ (...) a criação do juiz das garantias não apenas reforma, mas refunda o processo penal brasileiro e altera direta e estruturalmente o funcionamento de qualquer unidade judiciária criminal do país. Nesse ponto, os dispositivos questionados têm natureza materialmente híbrida, sendo simultaneamente norma geral processual e norma de organização judiciária, a reclamar a restrição do artigo 96 da Constituição. ”</w:t>
      </w:r>
    </w:p>
    <w:p w:rsidR="007B025B" w:rsidRPr="00085D5A" w:rsidRDefault="007B025B" w:rsidP="007B025B">
      <w:pPr>
        <w:pStyle w:val="NormalWeb"/>
        <w:spacing w:before="0" w:beforeAutospacing="0" w:after="0" w:afterAutospacing="0"/>
        <w:ind w:left="2268"/>
        <w:jc w:val="both"/>
        <w:rPr>
          <w:rFonts w:ascii="Arial" w:hAnsi="Arial" w:cs="Arial"/>
          <w:sz w:val="22"/>
          <w:szCs w:val="22"/>
        </w:rPr>
      </w:pPr>
    </w:p>
    <w:p w:rsidR="007B025B" w:rsidRPr="00085D5A" w:rsidRDefault="007B025B" w:rsidP="007B025B">
      <w:pPr>
        <w:pStyle w:val="NormalWeb"/>
        <w:spacing w:before="0" w:beforeAutospacing="0" w:after="0" w:afterAutospacing="0"/>
        <w:ind w:firstLine="567"/>
        <w:jc w:val="both"/>
        <w:rPr>
          <w:rFonts w:ascii="Arial" w:hAnsi="Arial" w:cs="Arial"/>
        </w:rPr>
      </w:pPr>
      <w:r w:rsidRPr="00085D5A">
        <w:rPr>
          <w:rFonts w:ascii="Arial" w:hAnsi="Arial" w:cs="Arial"/>
        </w:rPr>
        <w:t>Compartilhando deste entendimento, lecionam Sanches e Batista:</w:t>
      </w:r>
    </w:p>
    <w:p w:rsidR="007B025B" w:rsidRPr="00085D5A" w:rsidRDefault="007B025B" w:rsidP="007B025B">
      <w:pPr>
        <w:pStyle w:val="NormalWeb"/>
        <w:spacing w:before="0" w:beforeAutospacing="0" w:after="0" w:afterAutospacing="0"/>
        <w:ind w:firstLine="567"/>
        <w:jc w:val="both"/>
        <w:rPr>
          <w:rFonts w:ascii="Arial" w:hAnsi="Arial" w:cs="Arial"/>
        </w:rPr>
      </w:pPr>
    </w:p>
    <w:p w:rsidR="007B025B" w:rsidRPr="00085D5A" w:rsidRDefault="007B025B" w:rsidP="007B025B">
      <w:pPr>
        <w:pStyle w:val="NormalWeb"/>
        <w:spacing w:before="0" w:beforeAutospacing="0" w:after="0" w:afterAutospacing="0"/>
        <w:ind w:left="2268"/>
        <w:jc w:val="both"/>
        <w:rPr>
          <w:rFonts w:ascii="Arial" w:hAnsi="Arial" w:cs="Arial"/>
          <w:sz w:val="22"/>
          <w:szCs w:val="22"/>
        </w:rPr>
      </w:pPr>
      <w:r w:rsidRPr="00085D5A">
        <w:rPr>
          <w:rFonts w:ascii="Arial" w:hAnsi="Arial" w:cs="Arial"/>
          <w:sz w:val="22"/>
          <w:szCs w:val="22"/>
        </w:rPr>
        <w:t xml:space="preserve">Inconstitucionalidade – já existe corrente no sentido de que a Lei 13.964/19 padece de vício formal, mais precisamente, de iniciativa. O projeto, nesse ponto (sistema do juiz das garantias), deveria ter vindo de proposta do Judiciário (art. 93, “d”, CF/88). Essa tese seduziu o Min. Fux, servindo como um dos fundamentos da liminar acima referida. A ADI proposta pela AMB (Associação dos Magistrados do Brasil) e a Ajufe (Associação dos Juízes Federais) aduzem que a Lei 13.964/19 não somente padece de vício formal, como também ignora princípios basilares, como o da isonomia, ao não prever o juízo das garantias no âmbito dos Tribunais. As entidades autoras da ADI argumentam, também, que a criação do juiz das garantias representa ofensa ao princípio do juiz natural decorrente da inobservância da jurisdição una e indivisível. Afinal, em primeiro grau há apenas um juiz natural criminal (estadual ou federal).  </w:t>
      </w:r>
    </w:p>
    <w:p w:rsidR="007B025B" w:rsidRPr="00085D5A" w:rsidRDefault="007B025B" w:rsidP="007B025B">
      <w:pPr>
        <w:pStyle w:val="NormalWeb"/>
        <w:spacing w:before="0" w:beforeAutospacing="0" w:after="0" w:afterAutospacing="0"/>
        <w:ind w:left="2268"/>
        <w:jc w:val="both"/>
        <w:rPr>
          <w:rFonts w:ascii="Arial" w:hAnsi="Arial" w:cs="Arial"/>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Por conseguinte, mostra-se evidente a afronta direta do regramento previsto no art. 3º-D do CPP aos dispositivos constitucionais alhures mencionados.</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p>
    <w:p w:rsidR="007B025B" w:rsidRPr="00085D5A" w:rsidRDefault="007B025B" w:rsidP="007B025B">
      <w:pPr>
        <w:pStyle w:val="NormalWeb"/>
        <w:spacing w:before="0" w:beforeAutospacing="0" w:after="0" w:afterAutospacing="0" w:line="360" w:lineRule="auto"/>
        <w:jc w:val="both"/>
        <w:rPr>
          <w:rFonts w:ascii="Arial" w:hAnsi="Arial" w:cs="Arial"/>
          <w:color w:val="000000"/>
        </w:rPr>
      </w:pPr>
      <w:r w:rsidRPr="00085D5A">
        <w:rPr>
          <w:rFonts w:ascii="Arial" w:hAnsi="Arial" w:cs="Arial"/>
          <w:color w:val="000000"/>
        </w:rPr>
        <w:lastRenderedPageBreak/>
        <w:t>7.2 INCONSTITUCIONALIDADE MATERIAL POR VIOLAÇÃO À REGRA DA AUTONOMIA ADMINISTRATIVA E FINANCEIRA DO PODER JUDICIÁRIO</w:t>
      </w:r>
    </w:p>
    <w:p w:rsidR="007B025B" w:rsidRPr="00085D5A" w:rsidRDefault="007B025B" w:rsidP="007B025B">
      <w:pPr>
        <w:pStyle w:val="NormalWeb"/>
        <w:spacing w:before="0" w:beforeAutospacing="0" w:after="0" w:afterAutospacing="0" w:line="360" w:lineRule="auto"/>
        <w:jc w:val="both"/>
        <w:rPr>
          <w:rFonts w:ascii="Arial" w:hAnsi="Arial" w:cs="Arial"/>
          <w:color w:val="000000"/>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O art. 99 da Constituição Federal atribui ao Poder Judiciário autonomia administrativa e financeira. Assim, os tribunais elaborarão as suas propostas orçamentárias dentro dos limites estipulador conjuntamente com os demais Poderes na lei de diretrizes orçamentárias (LENZA, 2018, p. 832).</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Nesses termos, resta claro que o Poder Judiciário, dentro dos limites estabelecidos na LDO, decide qual será a proposta de seu orçamento que será encaminhada ao parlamento para ser votada (GONÇALVES, 2018, p. 1259).</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rPr>
      </w:pPr>
      <w:r w:rsidRPr="00085D5A">
        <w:rPr>
          <w:rFonts w:ascii="Arial" w:hAnsi="Arial" w:cs="Arial"/>
          <w:color w:val="000000"/>
        </w:rPr>
        <w:t>Sobre a relevância da independência dos órgãos do Poder Judiciário, ressalta Alexandre de Moraes:</w:t>
      </w:r>
    </w:p>
    <w:p w:rsidR="007B025B" w:rsidRPr="00085D5A" w:rsidRDefault="007B025B" w:rsidP="007B025B">
      <w:pPr>
        <w:pStyle w:val="NormalWeb"/>
        <w:spacing w:before="0" w:beforeAutospacing="0" w:after="0" w:afterAutospacing="0"/>
        <w:ind w:left="2268"/>
        <w:jc w:val="both"/>
        <w:rPr>
          <w:rFonts w:ascii="Arial" w:hAnsi="Arial" w:cs="Arial"/>
          <w:color w:val="000000"/>
          <w:sz w:val="22"/>
          <w:szCs w:val="22"/>
        </w:rPr>
      </w:pPr>
      <w:r w:rsidRPr="00085D5A">
        <w:rPr>
          <w:rFonts w:ascii="Arial" w:hAnsi="Arial" w:cs="Arial"/>
          <w:color w:val="000000"/>
          <w:sz w:val="22"/>
          <w:szCs w:val="22"/>
        </w:rPr>
        <w:t xml:space="preserve"> Essa autonomia e independência ampla encontra resguardo em todos os Estados Democráticos de Direito, pois os tribunais têm, sob o ponto de vista estrutural-constitucional, uma posição idêntica à dos outros órgãos constitucionais de soberania. Da mesma forma, desempenham funções cuja vinculatividade está jurídico-constitucionalmente assegurada (MORAES, 2015, P. 530).</w:t>
      </w:r>
    </w:p>
    <w:p w:rsidR="007B025B" w:rsidRPr="00085D5A" w:rsidRDefault="007B025B" w:rsidP="007B025B">
      <w:pPr>
        <w:pStyle w:val="NormalWeb"/>
        <w:spacing w:before="0" w:beforeAutospacing="0" w:after="0" w:afterAutospacing="0"/>
        <w:ind w:left="2268"/>
        <w:jc w:val="both"/>
        <w:rPr>
          <w:rFonts w:ascii="Arial" w:hAnsi="Arial" w:cs="Arial"/>
          <w:b/>
          <w:color w:val="000000"/>
          <w:sz w:val="22"/>
          <w:szCs w:val="22"/>
        </w:rPr>
      </w:pPr>
    </w:p>
    <w:p w:rsidR="007B025B" w:rsidRPr="00085D5A" w:rsidRDefault="007B025B" w:rsidP="007B025B">
      <w:pPr>
        <w:pStyle w:val="NormalWeb"/>
        <w:spacing w:before="0" w:beforeAutospacing="0" w:after="0" w:afterAutospacing="0"/>
        <w:ind w:firstLine="567"/>
        <w:jc w:val="both"/>
        <w:rPr>
          <w:rFonts w:ascii="Arial" w:hAnsi="Arial" w:cs="Arial"/>
          <w:b/>
          <w:color w:val="000000"/>
        </w:rPr>
      </w:pP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shd w:val="clear" w:color="auto" w:fill="FFFFFF"/>
        </w:rPr>
      </w:pPr>
      <w:r w:rsidRPr="00085D5A">
        <w:rPr>
          <w:rFonts w:ascii="Arial" w:hAnsi="Arial" w:cs="Arial"/>
          <w:color w:val="000000"/>
        </w:rPr>
        <w:t xml:space="preserve">Outrossim, o art. 169 da constituição é norma que objetiva impor contensão financeira aos entes da Federação, vedando que estes ultrapassem os limites estabelecidos em lei complementar para as suas despesas com pessoal ativo e inativo. Em seu </w:t>
      </w:r>
      <w:r w:rsidRPr="00085D5A">
        <w:rPr>
          <w:rFonts w:ascii="Arial" w:hAnsi="Arial" w:cs="Arial"/>
          <w:color w:val="000000"/>
          <w:shd w:val="clear" w:color="auto" w:fill="FFFFFF"/>
        </w:rPr>
        <w:t>§</w:t>
      </w:r>
      <w:r w:rsidRPr="00085D5A">
        <w:rPr>
          <w:rFonts w:ascii="Arial" w:hAnsi="Arial" w:cs="Arial"/>
          <w:color w:val="000000"/>
        </w:rPr>
        <w:t xml:space="preserve">1º, condiciona a criação de cargos, empregos e funções ou a alteração de estrutura de carreiras à </w:t>
      </w:r>
      <w:r w:rsidRPr="00085D5A">
        <w:rPr>
          <w:rFonts w:ascii="Arial" w:hAnsi="Arial" w:cs="Arial"/>
          <w:color w:val="000000"/>
          <w:shd w:val="clear" w:color="auto" w:fill="FFFFFF"/>
        </w:rPr>
        <w:t>prévia dotação orçamentária suficiente para atender às projeções de despesa de pessoal e aos acréscimos dela decorrentes; autorização específica na lei de diretrizes orçamentárias, ressalvadas as empresas públicas e as sociedades de economia mista.</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shd w:val="clear" w:color="auto" w:fill="FFFFFF"/>
        </w:rPr>
      </w:pPr>
      <w:r w:rsidRPr="00085D5A">
        <w:rPr>
          <w:rFonts w:ascii="Arial" w:hAnsi="Arial" w:cs="Arial"/>
          <w:color w:val="000000"/>
          <w:shd w:val="clear" w:color="auto" w:fill="FFFFFF"/>
        </w:rPr>
        <w:t xml:space="preserve">Sendo assim, conclui-se que a implantação do Juiz das garantias requer a reorganização do quadro de servidores de modo a atender à necessidade de dupla atuação nas fases de inquérito e na fase processual. Assim, ainda que haja uma previsão de rodízio de magistrados nas comarcas em que funcionar apenas um juiz (art. 3º-D), é clarividente o impacto da implantação da medida, que acarreta na inevitável necessidade de ampliação do quadro de servidores, não só de magistrados, impossível de se alcançar dentro do singelo prazo de </w:t>
      </w:r>
      <w:r w:rsidRPr="00085D5A">
        <w:rPr>
          <w:rFonts w:ascii="Arial" w:hAnsi="Arial" w:cs="Arial"/>
          <w:i/>
          <w:color w:val="000000"/>
          <w:shd w:val="clear" w:color="auto" w:fill="FFFFFF"/>
        </w:rPr>
        <w:t>vacatio legis</w:t>
      </w:r>
      <w:r w:rsidRPr="00085D5A">
        <w:rPr>
          <w:rFonts w:ascii="Arial" w:hAnsi="Arial" w:cs="Arial"/>
          <w:color w:val="000000"/>
          <w:shd w:val="clear" w:color="auto" w:fill="FFFFFF"/>
        </w:rPr>
        <w:t xml:space="preserve"> de 30 dias (art. 20 Lei n. 13.964/2019).</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shd w:val="clear" w:color="auto" w:fill="FFFFFF"/>
        </w:rPr>
      </w:pPr>
      <w:r w:rsidRPr="00085D5A">
        <w:rPr>
          <w:rFonts w:ascii="Arial" w:hAnsi="Arial" w:cs="Arial"/>
          <w:color w:val="000000"/>
          <w:shd w:val="clear" w:color="auto" w:fill="FFFFFF"/>
        </w:rPr>
        <w:lastRenderedPageBreak/>
        <w:t>Em concordância com o que foi afirmado, afirma Renato Brasileiro de Lima (2020):</w:t>
      </w:r>
    </w:p>
    <w:p w:rsidR="007B025B" w:rsidRPr="00085D5A" w:rsidRDefault="007B025B" w:rsidP="007B025B">
      <w:pPr>
        <w:pStyle w:val="NormalWeb"/>
        <w:spacing w:before="0" w:beforeAutospacing="0" w:after="0" w:afterAutospacing="0" w:line="360" w:lineRule="auto"/>
        <w:ind w:firstLine="567"/>
        <w:jc w:val="both"/>
        <w:rPr>
          <w:rFonts w:ascii="Arial" w:hAnsi="Arial" w:cs="Arial"/>
          <w:color w:val="000000"/>
          <w:shd w:val="clear" w:color="auto" w:fill="FFFFFF"/>
        </w:rPr>
      </w:pPr>
    </w:p>
    <w:p w:rsidR="007B025B" w:rsidRPr="00085D5A" w:rsidRDefault="007B025B" w:rsidP="007B025B">
      <w:pPr>
        <w:pStyle w:val="NormalWeb"/>
        <w:spacing w:before="0" w:beforeAutospacing="0" w:after="0" w:afterAutospacing="0"/>
        <w:ind w:left="2268"/>
        <w:jc w:val="both"/>
        <w:rPr>
          <w:rFonts w:ascii="Arial" w:hAnsi="Arial" w:cs="Arial"/>
          <w:color w:val="000000"/>
          <w:sz w:val="22"/>
          <w:szCs w:val="22"/>
          <w:shd w:val="clear" w:color="auto" w:fill="FFFFFF"/>
        </w:rPr>
      </w:pPr>
      <w:r w:rsidRPr="00085D5A">
        <w:rPr>
          <w:rFonts w:ascii="Arial" w:hAnsi="Arial" w:cs="Arial"/>
          <w:color w:val="000000"/>
          <w:sz w:val="22"/>
          <w:szCs w:val="22"/>
          <w:shd w:val="clear" w:color="auto" w:fill="FFFFFF"/>
        </w:rPr>
        <w:t>Esta exequibilidade imediata de toda a sistemática constante do denominado “projeto anticrime, inclusive do juiz das garantias, esbarra porém, em obstáculos concretos, como, por exemplo, a notável ausência de estrutura do Poder Judiciário, a falta de previsão orçamentária, o fato de que muitas comarcas e subseções judiciárias contam com apenas um único juiz – isso quando tem-, a necessidade de criação de inúmeros cargos de juízes de direito para suprir a demanda necessária para implementar a nova sistemática de dois juízes para cada caso penal, um para a fase investigatória, e outro para a fase processual, etc. (BRASILEIRO, 2020, p. 127).</w:t>
      </w:r>
    </w:p>
    <w:p w:rsidR="007B025B" w:rsidRPr="00085D5A" w:rsidRDefault="007B025B" w:rsidP="007B025B">
      <w:pPr>
        <w:pStyle w:val="NormalWeb"/>
        <w:spacing w:before="0" w:beforeAutospacing="0" w:after="0" w:afterAutospacing="0"/>
        <w:ind w:left="2268"/>
        <w:jc w:val="both"/>
        <w:rPr>
          <w:rFonts w:ascii="Arial" w:hAnsi="Arial" w:cs="Arial"/>
          <w:color w:val="000000"/>
          <w:shd w:val="clear" w:color="auto" w:fill="FFFFFF"/>
        </w:rPr>
      </w:pPr>
    </w:p>
    <w:p w:rsidR="007B025B" w:rsidRPr="00085D5A" w:rsidRDefault="007B025B" w:rsidP="007B025B">
      <w:pPr>
        <w:pStyle w:val="NormalWeb"/>
        <w:spacing w:before="0" w:beforeAutospacing="0" w:after="0" w:afterAutospacing="0"/>
        <w:ind w:left="2268"/>
        <w:jc w:val="both"/>
        <w:rPr>
          <w:rFonts w:ascii="Arial" w:hAnsi="Arial" w:cs="Arial"/>
          <w:color w:val="000000"/>
          <w:shd w:val="clear" w:color="auto" w:fill="FFFFFF"/>
        </w:rPr>
      </w:pPr>
    </w:p>
    <w:p w:rsidR="007B025B" w:rsidRPr="00085D5A" w:rsidRDefault="007B025B" w:rsidP="007B025B">
      <w:pPr>
        <w:pStyle w:val="NormalWeb"/>
        <w:spacing w:before="0" w:beforeAutospacing="0" w:after="0" w:afterAutospacing="0" w:line="360" w:lineRule="auto"/>
        <w:ind w:firstLine="709"/>
        <w:jc w:val="both"/>
        <w:rPr>
          <w:rFonts w:ascii="Arial" w:hAnsi="Arial" w:cs="Arial"/>
          <w:color w:val="000000"/>
          <w:shd w:val="clear" w:color="auto" w:fill="FFFFFF"/>
        </w:rPr>
      </w:pPr>
      <w:r w:rsidRPr="00085D5A">
        <w:rPr>
          <w:rFonts w:ascii="Arial" w:hAnsi="Arial" w:cs="Arial"/>
          <w:color w:val="000000"/>
          <w:shd w:val="clear" w:color="auto" w:fill="FFFFFF"/>
        </w:rPr>
        <w:t>Finalmente, a instituição do juiz das garantias, sobretudo em um prazo tão ínfimo, também viola o Novo Regime Fiscal da União Instituído pela Emenda Constitucional n. 95/2016. Isso porque, a referida emenda, ao acrescentar o art. 113 ao Ato das Disposições Constitucionais Transitórias (ADCT), exige que a proposição legislativa que crie ou altere despesa obrigatória ou renúncia de receita deverá ser acompanhada da estimativa do seu impacto orçamentário e financeiro.</w:t>
      </w:r>
    </w:p>
    <w:p w:rsidR="007B025B" w:rsidRPr="00085D5A" w:rsidRDefault="007B025B" w:rsidP="007B025B">
      <w:pPr>
        <w:pStyle w:val="NormalWeb"/>
        <w:spacing w:before="0" w:beforeAutospacing="0" w:after="0" w:afterAutospacing="0" w:line="360" w:lineRule="auto"/>
        <w:ind w:firstLine="709"/>
        <w:jc w:val="both"/>
        <w:rPr>
          <w:rFonts w:ascii="Arial" w:hAnsi="Arial" w:cs="Arial"/>
        </w:rPr>
      </w:pPr>
      <w:r w:rsidRPr="00085D5A">
        <w:rPr>
          <w:rFonts w:ascii="Arial" w:hAnsi="Arial" w:cs="Arial"/>
          <w:color w:val="000000"/>
          <w:shd w:val="clear" w:color="auto" w:fill="FFFFFF"/>
        </w:rPr>
        <w:t>Como bem observa o Rel. Min Luiz Fux, “</w:t>
      </w:r>
      <w:r w:rsidRPr="00085D5A">
        <w:rPr>
          <w:rFonts w:ascii="Arial" w:hAnsi="Arial" w:cs="Arial"/>
          <w:i/>
        </w:rPr>
        <w:t>Não há notícia de que a discussão legislativa dessa nova política processual criminal que tanto impacta a estrutura do Poder Judiciário tenha observado esse requisito constitucional.</w:t>
      </w:r>
      <w:r w:rsidRPr="00085D5A">
        <w:rPr>
          <w:rFonts w:ascii="Arial" w:hAnsi="Arial" w:cs="Arial"/>
        </w:rPr>
        <w:t xml:space="preserve"> ” (</w:t>
      </w:r>
      <w:hyperlink r:id="rId7" w:history="1">
        <w:r w:rsidRPr="00085D5A">
          <w:rPr>
            <w:rStyle w:val="Hyperlink"/>
            <w:rFonts w:ascii="Arial" w:hAnsi="Arial" w:cs="Arial"/>
            <w:color w:val="000000"/>
            <w:u w:val="none"/>
          </w:rPr>
          <w:t>http://www.stf.jus.br/arquivo/cms/noticiaNoticiaStf/anexo/ADI6298.pdf</w:t>
        </w:r>
      </w:hyperlink>
      <w:r w:rsidRPr="00085D5A">
        <w:rPr>
          <w:rFonts w:ascii="Arial" w:hAnsi="Arial" w:cs="Arial"/>
        </w:rPr>
        <w:t>, acesso em 04/06/2020)</w:t>
      </w:r>
    </w:p>
    <w:p w:rsidR="007B025B" w:rsidRPr="00085D5A" w:rsidRDefault="007B025B" w:rsidP="007B025B">
      <w:pPr>
        <w:pStyle w:val="NormalWeb"/>
        <w:spacing w:before="0" w:beforeAutospacing="0" w:after="0" w:afterAutospacing="0" w:line="360" w:lineRule="auto"/>
        <w:ind w:firstLine="709"/>
        <w:jc w:val="both"/>
        <w:rPr>
          <w:rFonts w:ascii="Arial" w:hAnsi="Arial" w:cs="Arial"/>
        </w:rPr>
      </w:pPr>
      <w:r w:rsidRPr="00085D5A">
        <w:rPr>
          <w:rFonts w:ascii="Arial" w:hAnsi="Arial" w:cs="Arial"/>
        </w:rPr>
        <w:t>Em suma, pelo exposto quanto aos vícios e natureza formal e material que maculam o regramento do juiz das garantias, bem como os seus desdobramentos complexos no âmbito da persecução penal, conclui-se, inicialmente, pela sua inconstitucionalidade, o que ainda será analisado, contudo, pelo pleno do Supremo Tribunal Federal.</w:t>
      </w:r>
    </w:p>
    <w:p w:rsidR="007B025B" w:rsidRPr="00085D5A" w:rsidRDefault="007B025B" w:rsidP="007B025B">
      <w:pPr>
        <w:pStyle w:val="NormalWeb"/>
        <w:spacing w:before="0" w:beforeAutospacing="0" w:after="0" w:afterAutospacing="0" w:line="360" w:lineRule="auto"/>
        <w:ind w:firstLine="709"/>
        <w:jc w:val="both"/>
        <w:rPr>
          <w:rFonts w:ascii="Arial" w:hAnsi="Arial" w:cs="Arial"/>
        </w:rPr>
      </w:pPr>
    </w:p>
    <w:p w:rsidR="007B025B" w:rsidRPr="00085D5A" w:rsidRDefault="007B025B" w:rsidP="007B025B">
      <w:pPr>
        <w:pStyle w:val="NormalWeb"/>
        <w:spacing w:before="0" w:beforeAutospacing="0" w:after="0" w:afterAutospacing="0" w:line="360" w:lineRule="auto"/>
        <w:jc w:val="both"/>
        <w:rPr>
          <w:rFonts w:ascii="Arial" w:hAnsi="Arial" w:cs="Arial"/>
          <w:b/>
        </w:rPr>
      </w:pPr>
      <w:r w:rsidRPr="00085D5A">
        <w:rPr>
          <w:rFonts w:ascii="Arial" w:hAnsi="Arial" w:cs="Arial"/>
          <w:b/>
        </w:rPr>
        <w:t>8 CONCLUSÃO</w:t>
      </w:r>
    </w:p>
    <w:p w:rsidR="007B025B" w:rsidRPr="00085D5A" w:rsidRDefault="007B025B" w:rsidP="007B025B">
      <w:pPr>
        <w:pStyle w:val="NormalWeb"/>
        <w:spacing w:before="0" w:beforeAutospacing="0" w:after="0" w:afterAutospacing="0" w:line="360" w:lineRule="auto"/>
        <w:jc w:val="both"/>
        <w:rPr>
          <w:rFonts w:ascii="Arial" w:hAnsi="Arial" w:cs="Arial"/>
          <w:b/>
        </w:rPr>
      </w:pP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 xml:space="preserve">Diante de toda a análise aqui exposta, é clarividente que a introdução do juiz das garantias no ordenamento jurídico pátrio sem a observância das regras de organização judiciária, poderá trazer impactos negativos sem precedentes, de modo </w:t>
      </w:r>
      <w:r w:rsidRPr="00085D5A">
        <w:rPr>
          <w:rFonts w:ascii="Arial" w:hAnsi="Arial" w:cs="Arial"/>
          <w:sz w:val="24"/>
          <w:szCs w:val="24"/>
        </w:rPr>
        <w:lastRenderedPageBreak/>
        <w:t>a pôr em xeque a busca pela celeridade processual, a segurança jurídica, bem como a prestação jurisdicional efetiva.</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Por conseguinte, ainda que se reconheça o alto patamar em que a garantia da imparcialidade se encontra no ordenamento jurídico, aquela não pode ser colocada em posição irrestritamente elevada perante as demais regras e princípios basilares para a garantia do devido processo legal.</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Portanto, alegação abstrata de que as atribuições no âmbito da investigação e da instrução criminal, reunidas na figura de um só juiz, tem o condão de macular a garantia da imparcialidade não pode ser aceita, tampouco utilizada para justificar a inobservância das demais normas concernentes ao processo.</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Destarte, essas alegações baseadas empiricamente apenas em estudos comportamentais, a exemplo da teoria da dissonância cognitiva, podem vir a desestabilizar a estrutura do judiciário, com eminente probabilidade de dano ao funcionamento da justiça criminal.</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Desta feita, no que toca à inconstitucionalidade, a análise dos seus pormenores resulta na conclusão de que os dispositivos 3º-A a 3º F do CPP possuem diversos vícios formais e materiais que, obviamente, não são sanados com a sanção presidencial da lei que os instituiu.</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Sendo assim, é inegável que a implementação do instituto do juiz das garantias se desdobra em alterações substanciais no orçamento dos órgãos do Poder Judiciário, haja a vista a necessidade de implemento de pessoal, tecnologia e estrutura física para atender às suas condições.</w:t>
      </w:r>
    </w:p>
    <w:p w:rsidR="007B025B" w:rsidRPr="00085D5A" w:rsidRDefault="007B025B" w:rsidP="007B025B">
      <w:pPr>
        <w:spacing w:line="360" w:lineRule="auto"/>
        <w:ind w:firstLine="709"/>
        <w:jc w:val="both"/>
        <w:rPr>
          <w:rFonts w:ascii="Arial" w:hAnsi="Arial" w:cs="Arial"/>
          <w:sz w:val="24"/>
          <w:szCs w:val="24"/>
        </w:rPr>
      </w:pPr>
      <w:r w:rsidRPr="00085D5A">
        <w:rPr>
          <w:rFonts w:ascii="Arial" w:hAnsi="Arial" w:cs="Arial"/>
          <w:sz w:val="24"/>
          <w:szCs w:val="24"/>
        </w:rPr>
        <w:t>Dessa maneira, se depreende da análise dos artigos 99, 169 da Constituição Federal combinados com o art. 113 do Ato das Disposições constitucionais transitórias (ADCT), devidamente esmiuçadas neste trabalho, que as mudanças para implementação do instituto implicam em despesas que atualmente não possuem previsões específicas nos orçamentos da União e dos Estados.</w:t>
      </w:r>
    </w:p>
    <w:p w:rsidR="007B025B" w:rsidRDefault="007B025B" w:rsidP="00E27FF4">
      <w:pPr>
        <w:spacing w:line="360" w:lineRule="auto"/>
        <w:ind w:firstLine="709"/>
        <w:jc w:val="both"/>
        <w:rPr>
          <w:rFonts w:ascii="Arial" w:hAnsi="Arial" w:cs="Arial"/>
          <w:sz w:val="24"/>
          <w:szCs w:val="24"/>
        </w:rPr>
      </w:pPr>
      <w:r w:rsidRPr="00085D5A">
        <w:rPr>
          <w:rFonts w:ascii="Arial" w:hAnsi="Arial" w:cs="Arial"/>
          <w:sz w:val="24"/>
          <w:szCs w:val="24"/>
        </w:rPr>
        <w:t xml:space="preserve"> A exigência de implementação imediata resultante do período ínfimo de 30 dias de </w:t>
      </w:r>
      <w:r w:rsidRPr="00085D5A">
        <w:rPr>
          <w:rFonts w:ascii="Arial" w:hAnsi="Arial" w:cs="Arial"/>
          <w:i/>
          <w:sz w:val="24"/>
          <w:szCs w:val="24"/>
        </w:rPr>
        <w:t>vacatio legis</w:t>
      </w:r>
      <w:r w:rsidRPr="00085D5A">
        <w:rPr>
          <w:rFonts w:ascii="Arial" w:hAnsi="Arial" w:cs="Arial"/>
          <w:sz w:val="24"/>
          <w:szCs w:val="24"/>
        </w:rPr>
        <w:t xml:space="preserve">, somada ao vício de iniciativa que recai sobre o projeto de lei que resultou na promulgação do Pacote Anticrime, não podem resultar em outra conclusão </w:t>
      </w:r>
      <w:r w:rsidRPr="00085D5A">
        <w:rPr>
          <w:rFonts w:ascii="Arial" w:hAnsi="Arial" w:cs="Arial"/>
          <w:sz w:val="24"/>
          <w:szCs w:val="24"/>
        </w:rPr>
        <w:lastRenderedPageBreak/>
        <w:t>senão pela inconstitucionalidade dos arts. 3º-A a 3º -F que disciplinam o juiz das garantias.</w:t>
      </w:r>
    </w:p>
    <w:p w:rsidR="00E27FF4" w:rsidRDefault="00E27FF4" w:rsidP="00E27FF4">
      <w:pPr>
        <w:spacing w:line="360" w:lineRule="auto"/>
        <w:ind w:firstLine="709"/>
        <w:jc w:val="both"/>
        <w:rPr>
          <w:rFonts w:ascii="Arial" w:hAnsi="Arial" w:cs="Arial"/>
          <w:sz w:val="24"/>
          <w:szCs w:val="24"/>
        </w:rPr>
      </w:pPr>
    </w:p>
    <w:p w:rsidR="00E27FF4" w:rsidRPr="00E27FF4" w:rsidRDefault="00E27FF4" w:rsidP="00E27FF4">
      <w:pPr>
        <w:spacing w:line="360" w:lineRule="auto"/>
        <w:ind w:firstLine="709"/>
        <w:jc w:val="both"/>
        <w:rPr>
          <w:rFonts w:ascii="Arial" w:hAnsi="Arial" w:cs="Arial"/>
          <w:sz w:val="24"/>
          <w:szCs w:val="24"/>
        </w:rPr>
      </w:pPr>
      <w:bookmarkStart w:id="0" w:name="_GoBack"/>
      <w:bookmarkEnd w:id="0"/>
    </w:p>
    <w:p w:rsidR="007B025B" w:rsidRPr="004763FE" w:rsidRDefault="007B025B" w:rsidP="007B025B">
      <w:pPr>
        <w:jc w:val="center"/>
        <w:rPr>
          <w:rFonts w:ascii="Arial" w:hAnsi="Arial" w:cs="Arial"/>
          <w:b/>
          <w:sz w:val="24"/>
          <w:szCs w:val="24"/>
        </w:rPr>
      </w:pPr>
      <w:r w:rsidRPr="004763FE">
        <w:rPr>
          <w:rFonts w:ascii="Arial" w:hAnsi="Arial" w:cs="Arial"/>
          <w:b/>
          <w:sz w:val="24"/>
          <w:szCs w:val="24"/>
        </w:rPr>
        <w:t>REFERÊNCIAS</w:t>
      </w:r>
    </w:p>
    <w:p w:rsidR="007B025B" w:rsidRDefault="007B025B" w:rsidP="007B025B"/>
    <w:p w:rsidR="007B025B" w:rsidRPr="00503F2C" w:rsidRDefault="007B025B" w:rsidP="007B025B">
      <w:pPr>
        <w:spacing w:line="360" w:lineRule="auto"/>
        <w:jc w:val="both"/>
        <w:rPr>
          <w:rFonts w:ascii="Arial" w:hAnsi="Arial" w:cs="Arial"/>
          <w:sz w:val="24"/>
          <w:szCs w:val="24"/>
        </w:rPr>
      </w:pPr>
      <w:r w:rsidRPr="00503F2C">
        <w:rPr>
          <w:rFonts w:ascii="Arial" w:hAnsi="Arial" w:cs="Arial"/>
          <w:sz w:val="24"/>
          <w:szCs w:val="24"/>
        </w:rPr>
        <w:t xml:space="preserve">ASCH, Solomon E. </w:t>
      </w:r>
      <w:r w:rsidRPr="00503F2C">
        <w:rPr>
          <w:rFonts w:ascii="Arial" w:hAnsi="Arial" w:cs="Arial"/>
          <w:b/>
          <w:sz w:val="24"/>
          <w:szCs w:val="24"/>
        </w:rPr>
        <w:t>Psicologia social</w:t>
      </w:r>
      <w:r w:rsidRPr="00503F2C">
        <w:rPr>
          <w:rFonts w:ascii="Arial" w:hAnsi="Arial" w:cs="Arial"/>
          <w:sz w:val="24"/>
          <w:szCs w:val="24"/>
        </w:rPr>
        <w:t>. 4ª ed. Trad. Dante Moreira Leite; Miriam Moreira Leite. São Paulo: Companhia Editora Nacional, 1977;</w:t>
      </w:r>
    </w:p>
    <w:p w:rsidR="007B025B" w:rsidRDefault="007B025B" w:rsidP="007B025B">
      <w:pPr>
        <w:spacing w:line="360" w:lineRule="auto"/>
        <w:jc w:val="both"/>
        <w:rPr>
          <w:rFonts w:ascii="Arial" w:hAnsi="Arial" w:cs="Arial"/>
          <w:color w:val="333333"/>
          <w:sz w:val="24"/>
          <w:szCs w:val="24"/>
          <w:shd w:val="clear" w:color="auto" w:fill="FFFFFF"/>
        </w:rPr>
      </w:pPr>
      <w:r w:rsidRPr="00503F2C">
        <w:rPr>
          <w:rFonts w:ascii="Arial" w:hAnsi="Arial" w:cs="Arial"/>
          <w:color w:val="333333"/>
          <w:sz w:val="24"/>
          <w:szCs w:val="24"/>
          <w:shd w:val="clear" w:color="auto" w:fill="FFFFFF"/>
        </w:rPr>
        <w:t>COUTINHO, Jacinto Nelson de Miranda. </w:t>
      </w:r>
      <w:r w:rsidRPr="00503F2C">
        <w:rPr>
          <w:rStyle w:val="Forte"/>
          <w:rFonts w:ascii="Arial" w:hAnsi="Arial" w:cs="Arial"/>
          <w:color w:val="333333"/>
          <w:sz w:val="24"/>
          <w:szCs w:val="24"/>
          <w:shd w:val="clear" w:color="auto" w:fill="FFFFFF"/>
        </w:rPr>
        <w:t>O Papel do Novo Juiz no Processo Penal, </w:t>
      </w:r>
      <w:r w:rsidRPr="00503F2C">
        <w:rPr>
          <w:rStyle w:val="nfase"/>
          <w:rFonts w:ascii="Arial" w:hAnsi="Arial" w:cs="Arial"/>
          <w:b/>
          <w:bCs/>
          <w:color w:val="333333"/>
          <w:sz w:val="24"/>
          <w:szCs w:val="24"/>
          <w:shd w:val="clear" w:color="auto" w:fill="FFFFFF"/>
        </w:rPr>
        <w:t>in crítica à Teoria Geral do Direito Processual Penal</w:t>
      </w:r>
      <w:r w:rsidRPr="00503F2C">
        <w:rPr>
          <w:rFonts w:ascii="Arial" w:hAnsi="Arial" w:cs="Arial"/>
          <w:color w:val="333333"/>
          <w:sz w:val="24"/>
          <w:szCs w:val="24"/>
          <w:shd w:val="clear" w:color="auto" w:fill="FFFFFF"/>
        </w:rPr>
        <w:t>. Rio de</w:t>
      </w:r>
      <w:r>
        <w:rPr>
          <w:rFonts w:ascii="Arial" w:hAnsi="Arial" w:cs="Arial"/>
          <w:color w:val="333333"/>
          <w:sz w:val="24"/>
          <w:szCs w:val="24"/>
          <w:shd w:val="clear" w:color="auto" w:fill="FFFFFF"/>
        </w:rPr>
        <w:t xml:space="preserve"> Janeiro: Renovar, 2001</w:t>
      </w:r>
      <w:r w:rsidRPr="00503F2C">
        <w:rPr>
          <w:rFonts w:ascii="Arial" w:hAnsi="Arial" w:cs="Arial"/>
          <w:color w:val="333333"/>
          <w:sz w:val="24"/>
          <w:szCs w:val="24"/>
          <w:shd w:val="clear" w:color="auto" w:fill="FFFFFF"/>
        </w:rPr>
        <w:t>;</w:t>
      </w:r>
    </w:p>
    <w:p w:rsidR="007B025B" w:rsidRPr="00503F2C" w:rsidRDefault="007B025B" w:rsidP="007B025B">
      <w:pPr>
        <w:spacing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CUNHA, Rogério Sanches. PINTO, Ronaldo Batista. Código de Processo Penal e Lei de Execução Penal Comentados por Artigos.- 4. Ed.- Salvador: 2020</w:t>
      </w:r>
    </w:p>
    <w:p w:rsidR="007B025B" w:rsidRPr="00503F2C" w:rsidRDefault="007B025B" w:rsidP="007B025B">
      <w:pPr>
        <w:spacing w:line="360" w:lineRule="auto"/>
        <w:jc w:val="both"/>
        <w:rPr>
          <w:rFonts w:ascii="Arial" w:hAnsi="Arial" w:cs="Arial"/>
          <w:sz w:val="24"/>
          <w:szCs w:val="24"/>
        </w:rPr>
      </w:pPr>
      <w:r w:rsidRPr="00503F2C">
        <w:rPr>
          <w:rFonts w:ascii="Arial" w:hAnsi="Arial" w:cs="Arial"/>
          <w:sz w:val="24"/>
          <w:szCs w:val="24"/>
        </w:rPr>
        <w:t xml:space="preserve">FERNANDES, Bernardo Gonçalves. </w:t>
      </w:r>
      <w:r w:rsidRPr="00503F2C">
        <w:rPr>
          <w:rFonts w:ascii="Arial" w:hAnsi="Arial" w:cs="Arial"/>
          <w:b/>
          <w:sz w:val="24"/>
          <w:szCs w:val="24"/>
        </w:rPr>
        <w:t>Curso de Direito Constitucional</w:t>
      </w:r>
      <w:r w:rsidRPr="00503F2C">
        <w:rPr>
          <w:rFonts w:ascii="Arial" w:hAnsi="Arial" w:cs="Arial"/>
          <w:sz w:val="24"/>
          <w:szCs w:val="24"/>
        </w:rPr>
        <w:t xml:space="preserve"> – 10. Ed. –Salvador: JusPodivm, 2018;</w:t>
      </w:r>
    </w:p>
    <w:p w:rsidR="007B025B" w:rsidRPr="00503F2C" w:rsidRDefault="007B025B" w:rsidP="007B025B">
      <w:pPr>
        <w:spacing w:line="360" w:lineRule="auto"/>
        <w:jc w:val="both"/>
        <w:rPr>
          <w:rFonts w:ascii="Arial" w:hAnsi="Arial" w:cs="Arial"/>
          <w:color w:val="333333"/>
          <w:sz w:val="24"/>
          <w:szCs w:val="24"/>
          <w:shd w:val="clear" w:color="auto" w:fill="FFFFFF"/>
        </w:rPr>
      </w:pPr>
      <w:r w:rsidRPr="00503F2C">
        <w:rPr>
          <w:rFonts w:ascii="Arial" w:hAnsi="Arial" w:cs="Arial"/>
          <w:color w:val="333333"/>
          <w:sz w:val="24"/>
          <w:szCs w:val="24"/>
          <w:shd w:val="clear" w:color="auto" w:fill="FFFFFF"/>
        </w:rPr>
        <w:t>FERRAJOLI, Luigi. </w:t>
      </w:r>
      <w:r w:rsidRPr="00503F2C">
        <w:rPr>
          <w:rStyle w:val="Forte"/>
          <w:rFonts w:ascii="Arial" w:hAnsi="Arial" w:cs="Arial"/>
          <w:color w:val="333333"/>
          <w:sz w:val="24"/>
          <w:szCs w:val="24"/>
          <w:shd w:val="clear" w:color="auto" w:fill="FFFFFF"/>
        </w:rPr>
        <w:t>Direito e razão: teoria do garantismo penal. </w:t>
      </w:r>
      <w:r w:rsidRPr="00503F2C">
        <w:rPr>
          <w:rFonts w:ascii="Arial" w:hAnsi="Arial" w:cs="Arial"/>
          <w:color w:val="333333"/>
          <w:sz w:val="24"/>
          <w:szCs w:val="24"/>
          <w:shd w:val="clear" w:color="auto" w:fill="FFFFFF"/>
        </w:rPr>
        <w:t>2 ed. São Paulo: Revista dos Tribunais, 2006</w:t>
      </w:r>
      <w:r>
        <w:rPr>
          <w:rFonts w:ascii="Arial" w:hAnsi="Arial" w:cs="Arial"/>
          <w:color w:val="333333"/>
          <w:sz w:val="24"/>
          <w:szCs w:val="24"/>
          <w:shd w:val="clear" w:color="auto" w:fill="FFFFFF"/>
        </w:rPr>
        <w:t>;</w:t>
      </w:r>
    </w:p>
    <w:p w:rsidR="007B025B" w:rsidRPr="00503F2C" w:rsidRDefault="007B025B" w:rsidP="007B025B">
      <w:pPr>
        <w:spacing w:line="360" w:lineRule="auto"/>
        <w:jc w:val="both"/>
        <w:rPr>
          <w:rFonts w:ascii="Arial" w:hAnsi="Arial" w:cs="Arial"/>
          <w:sz w:val="24"/>
          <w:szCs w:val="24"/>
        </w:rPr>
      </w:pPr>
      <w:r w:rsidRPr="00503F2C">
        <w:rPr>
          <w:rFonts w:ascii="Arial" w:hAnsi="Arial" w:cs="Arial"/>
          <w:sz w:val="24"/>
          <w:szCs w:val="24"/>
        </w:rPr>
        <w:t>LENZA, Pedro. Direito Constitucional Esquematizado.- 22. Ed. – São Paulo: Saraiva Educação</w:t>
      </w:r>
      <w:r>
        <w:rPr>
          <w:rFonts w:ascii="Arial" w:hAnsi="Arial" w:cs="Arial"/>
          <w:sz w:val="24"/>
          <w:szCs w:val="24"/>
        </w:rPr>
        <w:t>, 2018. (Coleção Esquematizado);</w:t>
      </w:r>
    </w:p>
    <w:p w:rsidR="007B025B" w:rsidRDefault="007B025B" w:rsidP="007B025B">
      <w:pPr>
        <w:spacing w:line="360" w:lineRule="auto"/>
        <w:jc w:val="both"/>
        <w:rPr>
          <w:rFonts w:ascii="Arial" w:hAnsi="Arial" w:cs="Arial"/>
          <w:sz w:val="24"/>
          <w:szCs w:val="24"/>
        </w:rPr>
      </w:pPr>
      <w:r w:rsidRPr="00503F2C">
        <w:rPr>
          <w:rFonts w:ascii="Arial" w:hAnsi="Arial" w:cs="Arial"/>
          <w:sz w:val="24"/>
          <w:szCs w:val="24"/>
        </w:rPr>
        <w:t xml:space="preserve">LIMA, Renato Brasileiro de. </w:t>
      </w:r>
      <w:r w:rsidRPr="00503F2C">
        <w:rPr>
          <w:rFonts w:ascii="Arial" w:hAnsi="Arial" w:cs="Arial"/>
          <w:b/>
          <w:sz w:val="24"/>
          <w:szCs w:val="24"/>
        </w:rPr>
        <w:t>Manual de Processo Penal: volume único</w:t>
      </w:r>
      <w:r w:rsidRPr="00503F2C">
        <w:rPr>
          <w:rFonts w:ascii="Arial" w:hAnsi="Arial" w:cs="Arial"/>
          <w:sz w:val="24"/>
          <w:szCs w:val="24"/>
        </w:rPr>
        <w:t>. 8 ed. rev. ampl. e a – Salvador:</w:t>
      </w:r>
      <w:r>
        <w:rPr>
          <w:rFonts w:ascii="Arial" w:hAnsi="Arial" w:cs="Arial"/>
          <w:sz w:val="24"/>
          <w:szCs w:val="24"/>
        </w:rPr>
        <w:t xml:space="preserve"> Ed. JusPodivm, 2020;</w:t>
      </w:r>
    </w:p>
    <w:p w:rsidR="007B025B" w:rsidRPr="004763FE" w:rsidRDefault="007B025B" w:rsidP="007B025B">
      <w:pPr>
        <w:spacing w:line="360" w:lineRule="auto"/>
        <w:jc w:val="both"/>
        <w:rPr>
          <w:rFonts w:ascii="Arial" w:hAnsi="Arial" w:cs="Arial"/>
          <w:sz w:val="24"/>
          <w:szCs w:val="24"/>
        </w:rPr>
      </w:pPr>
      <w:r>
        <w:rPr>
          <w:rFonts w:ascii="Arial" w:hAnsi="Arial" w:cs="Arial"/>
          <w:sz w:val="24"/>
          <w:szCs w:val="24"/>
        </w:rPr>
        <w:t>LOPES Junior, Aury. Direito</w:t>
      </w:r>
      <w:r w:rsidRPr="004763FE">
        <w:rPr>
          <w:rFonts w:ascii="Arial" w:hAnsi="Arial" w:cs="Arial"/>
          <w:b/>
          <w:sz w:val="24"/>
          <w:szCs w:val="24"/>
        </w:rPr>
        <w:t xml:space="preserve"> processual penal</w:t>
      </w:r>
      <w:r w:rsidRPr="004763FE">
        <w:rPr>
          <w:rFonts w:ascii="Arial" w:hAnsi="Arial" w:cs="Arial"/>
          <w:sz w:val="24"/>
          <w:szCs w:val="24"/>
        </w:rPr>
        <w:t>. – 17. ed. – São Paulo: Saraiva</w:t>
      </w:r>
    </w:p>
    <w:p w:rsidR="007B025B" w:rsidRPr="00503F2C" w:rsidRDefault="007B025B" w:rsidP="007B025B">
      <w:pPr>
        <w:spacing w:line="360" w:lineRule="auto"/>
        <w:jc w:val="both"/>
        <w:rPr>
          <w:rFonts w:ascii="Arial" w:hAnsi="Arial" w:cs="Arial"/>
          <w:sz w:val="24"/>
          <w:szCs w:val="24"/>
        </w:rPr>
      </w:pPr>
      <w:r>
        <w:rPr>
          <w:rFonts w:ascii="Arial" w:hAnsi="Arial" w:cs="Arial"/>
          <w:sz w:val="24"/>
          <w:szCs w:val="24"/>
        </w:rPr>
        <w:t>Educação, 2020;</w:t>
      </w:r>
    </w:p>
    <w:p w:rsidR="007B025B" w:rsidRPr="00503F2C" w:rsidRDefault="007B025B" w:rsidP="007B025B">
      <w:pPr>
        <w:spacing w:line="360" w:lineRule="auto"/>
        <w:jc w:val="both"/>
        <w:rPr>
          <w:rFonts w:ascii="Arial" w:hAnsi="Arial" w:cs="Arial"/>
          <w:sz w:val="24"/>
          <w:szCs w:val="24"/>
        </w:rPr>
      </w:pPr>
      <w:r w:rsidRPr="00503F2C">
        <w:rPr>
          <w:rFonts w:ascii="Arial" w:hAnsi="Arial" w:cs="Arial"/>
          <w:sz w:val="24"/>
          <w:szCs w:val="24"/>
        </w:rPr>
        <w:t xml:space="preserve">MORAES, Alexandre de. </w:t>
      </w:r>
      <w:r w:rsidRPr="00503F2C">
        <w:rPr>
          <w:rFonts w:ascii="Arial" w:hAnsi="Arial" w:cs="Arial"/>
          <w:b/>
          <w:sz w:val="24"/>
          <w:szCs w:val="24"/>
        </w:rPr>
        <w:t>Direito Constitucional</w:t>
      </w:r>
      <w:r w:rsidRPr="00503F2C">
        <w:rPr>
          <w:rFonts w:ascii="Arial" w:hAnsi="Arial" w:cs="Arial"/>
          <w:sz w:val="24"/>
          <w:szCs w:val="24"/>
        </w:rPr>
        <w:t>.- 31 Ed.</w:t>
      </w:r>
      <w:r>
        <w:rPr>
          <w:rFonts w:ascii="Arial" w:hAnsi="Arial" w:cs="Arial"/>
          <w:sz w:val="24"/>
          <w:szCs w:val="24"/>
        </w:rPr>
        <w:t xml:space="preserve"> São Paulo: Atlas, 2015;</w:t>
      </w:r>
    </w:p>
    <w:p w:rsidR="007B025B" w:rsidRPr="00503F2C" w:rsidRDefault="007B025B" w:rsidP="007B025B">
      <w:pPr>
        <w:spacing w:line="360" w:lineRule="auto"/>
        <w:jc w:val="both"/>
        <w:rPr>
          <w:rFonts w:ascii="Arial" w:hAnsi="Arial" w:cs="Arial"/>
          <w:color w:val="000000"/>
          <w:spacing w:val="3"/>
          <w:sz w:val="24"/>
          <w:szCs w:val="24"/>
          <w:shd w:val="clear" w:color="auto" w:fill="FFFFFF"/>
        </w:rPr>
      </w:pPr>
      <w:r w:rsidRPr="00503F2C">
        <w:rPr>
          <w:rFonts w:ascii="Arial" w:hAnsi="Arial" w:cs="Arial"/>
          <w:color w:val="000000"/>
          <w:spacing w:val="3"/>
          <w:sz w:val="24"/>
          <w:szCs w:val="24"/>
          <w:shd w:val="clear" w:color="auto" w:fill="FFFFFF"/>
        </w:rPr>
        <w:t>Nestor Távora e Rosmar Rodrigues Alencar/Curso de direito processo penal – 11. ed. rev., ampl. e atual. – Salvador: Ed. JusPodivm, 2016;</w:t>
      </w:r>
    </w:p>
    <w:p w:rsidR="007B025B" w:rsidRDefault="007B025B" w:rsidP="007B025B">
      <w:pPr>
        <w:shd w:val="clear" w:color="auto" w:fill="FFFFFF"/>
        <w:spacing w:after="0" w:line="360" w:lineRule="auto"/>
        <w:jc w:val="both"/>
        <w:rPr>
          <w:rFonts w:ascii="Arial" w:eastAsia="Times New Roman" w:hAnsi="Arial" w:cs="Arial"/>
          <w:color w:val="222222"/>
          <w:sz w:val="24"/>
          <w:szCs w:val="24"/>
          <w:lang w:eastAsia="pt-BR"/>
        </w:rPr>
      </w:pPr>
      <w:r w:rsidRPr="00026A29">
        <w:rPr>
          <w:rFonts w:ascii="Arial" w:eastAsia="Times New Roman" w:hAnsi="Arial" w:cs="Arial"/>
          <w:color w:val="222222"/>
          <w:sz w:val="24"/>
          <w:szCs w:val="24"/>
          <w:lang w:eastAsia="pt-BR"/>
        </w:rPr>
        <w:t>NUCCI, Guilherme de Souza. </w:t>
      </w:r>
      <w:r w:rsidRPr="00026A29">
        <w:rPr>
          <w:rFonts w:ascii="Arial" w:eastAsia="Times New Roman" w:hAnsi="Arial" w:cs="Arial"/>
          <w:b/>
          <w:bCs/>
          <w:color w:val="222222"/>
          <w:sz w:val="24"/>
          <w:szCs w:val="24"/>
          <w:lang w:eastAsia="pt-BR"/>
        </w:rPr>
        <w:t>Processo Penal e Execução Penal</w:t>
      </w:r>
      <w:r w:rsidRPr="00026A29">
        <w:rPr>
          <w:rFonts w:ascii="Arial" w:eastAsia="Times New Roman" w:hAnsi="Arial" w:cs="Arial"/>
          <w:color w:val="222222"/>
          <w:sz w:val="24"/>
          <w:szCs w:val="24"/>
          <w:lang w:eastAsia="pt-BR"/>
        </w:rPr>
        <w:t>. 3. Ed. São</w:t>
      </w:r>
      <w:r w:rsidRPr="00503F2C">
        <w:rPr>
          <w:rFonts w:ascii="Arial" w:eastAsia="Times New Roman" w:hAnsi="Arial" w:cs="Arial"/>
          <w:color w:val="222222"/>
          <w:sz w:val="24"/>
          <w:szCs w:val="24"/>
          <w:lang w:eastAsia="pt-BR"/>
        </w:rPr>
        <w:t xml:space="preserve"> </w:t>
      </w:r>
      <w:r w:rsidRPr="00026A29">
        <w:rPr>
          <w:rFonts w:ascii="Arial" w:eastAsia="Times New Roman" w:hAnsi="Arial" w:cs="Arial"/>
          <w:color w:val="222222"/>
          <w:sz w:val="24"/>
          <w:szCs w:val="24"/>
          <w:lang w:eastAsia="pt-BR"/>
        </w:rPr>
        <w:t>Paulo: Revista dos Tribun</w:t>
      </w:r>
      <w:r>
        <w:rPr>
          <w:rFonts w:ascii="Arial" w:eastAsia="Times New Roman" w:hAnsi="Arial" w:cs="Arial"/>
          <w:color w:val="222222"/>
          <w:sz w:val="24"/>
          <w:szCs w:val="24"/>
          <w:lang w:eastAsia="pt-BR"/>
        </w:rPr>
        <w:t>ais, 2007;</w:t>
      </w:r>
    </w:p>
    <w:p w:rsidR="007B025B" w:rsidRPr="004763FE" w:rsidRDefault="007B025B" w:rsidP="007B025B">
      <w:pPr>
        <w:shd w:val="clear" w:color="auto" w:fill="FFFFFF"/>
        <w:spacing w:after="0" w:line="360" w:lineRule="auto"/>
        <w:jc w:val="both"/>
        <w:rPr>
          <w:rFonts w:ascii="Arial" w:eastAsia="Times New Roman" w:hAnsi="Arial" w:cs="Arial"/>
          <w:color w:val="222222"/>
          <w:sz w:val="24"/>
          <w:szCs w:val="24"/>
          <w:lang w:eastAsia="pt-BR"/>
        </w:rPr>
      </w:pPr>
    </w:p>
    <w:p w:rsidR="007B025B" w:rsidRPr="00503F2C" w:rsidRDefault="007B025B" w:rsidP="007B025B">
      <w:pPr>
        <w:spacing w:line="360" w:lineRule="auto"/>
        <w:jc w:val="both"/>
        <w:rPr>
          <w:rFonts w:ascii="Arial" w:hAnsi="Arial" w:cs="Arial"/>
          <w:color w:val="1A1A1A"/>
          <w:sz w:val="24"/>
          <w:szCs w:val="24"/>
          <w:shd w:val="clear" w:color="auto" w:fill="FFFFFF"/>
        </w:rPr>
      </w:pPr>
      <w:r w:rsidRPr="00503F2C">
        <w:rPr>
          <w:rFonts w:ascii="Arial" w:hAnsi="Arial" w:cs="Arial"/>
          <w:color w:val="1A1A1A"/>
          <w:sz w:val="24"/>
          <w:szCs w:val="24"/>
          <w:shd w:val="clear" w:color="auto" w:fill="FFFFFF"/>
        </w:rPr>
        <w:t>RITTER, Ruiz. </w:t>
      </w:r>
      <w:r w:rsidRPr="004763FE">
        <w:rPr>
          <w:rStyle w:val="nfase"/>
          <w:rFonts w:ascii="Arial" w:hAnsi="Arial" w:cs="Arial"/>
          <w:b/>
          <w:color w:val="1A1A1A"/>
          <w:sz w:val="24"/>
          <w:szCs w:val="24"/>
          <w:shd w:val="clear" w:color="auto" w:fill="FFFFFF"/>
        </w:rPr>
        <w:t>Imparcialidade no Processo Penal: Reflexões a partir da Teoria da Dissonância Cognitiva</w:t>
      </w:r>
      <w:r w:rsidRPr="00503F2C">
        <w:rPr>
          <w:rFonts w:ascii="Arial" w:hAnsi="Arial" w:cs="Arial"/>
          <w:color w:val="1A1A1A"/>
          <w:sz w:val="24"/>
          <w:szCs w:val="24"/>
          <w:shd w:val="clear" w:color="auto" w:fill="FFFFFF"/>
        </w:rPr>
        <w:t>. Porto Alegre: PUCRS</w:t>
      </w:r>
      <w:r>
        <w:rPr>
          <w:rFonts w:ascii="Arial" w:hAnsi="Arial" w:cs="Arial"/>
          <w:color w:val="1A1A1A"/>
          <w:sz w:val="24"/>
          <w:szCs w:val="24"/>
          <w:shd w:val="clear" w:color="auto" w:fill="FFFFFF"/>
        </w:rPr>
        <w:t xml:space="preserve"> (Dissertação: Mestrado), 2016.</w:t>
      </w:r>
    </w:p>
    <w:p w:rsidR="007B025B" w:rsidRPr="00503F2C" w:rsidRDefault="007B025B" w:rsidP="007B025B">
      <w:pPr>
        <w:spacing w:line="360" w:lineRule="auto"/>
        <w:jc w:val="both"/>
        <w:rPr>
          <w:rFonts w:ascii="Arial" w:hAnsi="Arial" w:cs="Arial"/>
          <w:color w:val="1A1A1A"/>
          <w:sz w:val="24"/>
          <w:szCs w:val="24"/>
          <w:shd w:val="clear" w:color="auto" w:fill="FFFFFF"/>
        </w:rPr>
      </w:pPr>
    </w:p>
    <w:p w:rsidR="007B025B" w:rsidRDefault="007B025B" w:rsidP="007B025B">
      <w:pPr>
        <w:jc w:val="both"/>
      </w:pPr>
    </w:p>
    <w:p w:rsidR="007B025B" w:rsidRDefault="007B025B" w:rsidP="007B025B">
      <w:pPr>
        <w:spacing w:line="360" w:lineRule="auto"/>
        <w:ind w:firstLine="709"/>
        <w:jc w:val="both"/>
        <w:rPr>
          <w:rFonts w:ascii="Times New Roman" w:hAnsi="Times New Roman"/>
          <w:sz w:val="24"/>
          <w:szCs w:val="24"/>
        </w:rPr>
      </w:pPr>
    </w:p>
    <w:p w:rsidR="007B025B" w:rsidRDefault="007B025B" w:rsidP="007B025B">
      <w:pPr>
        <w:spacing w:line="360" w:lineRule="auto"/>
        <w:ind w:firstLine="709"/>
        <w:jc w:val="both"/>
      </w:pPr>
    </w:p>
    <w:p w:rsidR="007B025B" w:rsidRDefault="007B025B" w:rsidP="007B025B">
      <w:pPr>
        <w:pStyle w:val="NormalWeb"/>
        <w:spacing w:before="0" w:beforeAutospacing="0" w:after="0" w:afterAutospacing="0" w:line="360" w:lineRule="auto"/>
        <w:ind w:left="2268" w:firstLine="709"/>
        <w:jc w:val="both"/>
        <w:rPr>
          <w:color w:val="000000"/>
          <w:sz w:val="22"/>
          <w:szCs w:val="22"/>
        </w:rPr>
      </w:pPr>
    </w:p>
    <w:p w:rsidR="007B025B" w:rsidRPr="003126F4" w:rsidRDefault="007B025B" w:rsidP="007B025B">
      <w:pPr>
        <w:pStyle w:val="NormalWeb"/>
        <w:spacing w:before="0" w:beforeAutospacing="0" w:after="0" w:afterAutospacing="0" w:line="360" w:lineRule="auto"/>
        <w:ind w:left="2268"/>
        <w:jc w:val="both"/>
        <w:rPr>
          <w:color w:val="000000"/>
          <w:sz w:val="22"/>
          <w:szCs w:val="22"/>
        </w:rPr>
      </w:pPr>
    </w:p>
    <w:p w:rsidR="007B025B" w:rsidRPr="00677F64" w:rsidRDefault="007B025B" w:rsidP="007B025B">
      <w:pPr>
        <w:pStyle w:val="NormalWeb"/>
        <w:spacing w:before="0" w:beforeAutospacing="0" w:after="0" w:afterAutospacing="0" w:line="360" w:lineRule="auto"/>
        <w:ind w:firstLine="567"/>
        <w:jc w:val="both"/>
        <w:rPr>
          <w:color w:val="000000"/>
        </w:rPr>
      </w:pPr>
    </w:p>
    <w:p w:rsidR="007B025B" w:rsidRPr="00677F64" w:rsidRDefault="007B025B" w:rsidP="007B025B">
      <w:pPr>
        <w:pStyle w:val="NormalWeb"/>
        <w:spacing w:before="0" w:beforeAutospacing="0" w:after="0" w:afterAutospacing="0"/>
        <w:ind w:left="2268"/>
        <w:jc w:val="both"/>
        <w:rPr>
          <w:color w:val="000000"/>
        </w:rPr>
      </w:pPr>
    </w:p>
    <w:p w:rsidR="007B025B" w:rsidRDefault="007B025B" w:rsidP="007B025B">
      <w:pPr>
        <w:spacing w:after="0" w:line="240" w:lineRule="auto"/>
        <w:ind w:left="2268"/>
        <w:jc w:val="both"/>
        <w:rPr>
          <w:rFonts w:ascii="Times New Roman" w:hAnsi="Times New Roman"/>
          <w:color w:val="222222"/>
          <w:shd w:val="clear" w:color="auto" w:fill="FFFFFF"/>
        </w:rPr>
      </w:pPr>
    </w:p>
    <w:p w:rsidR="007B025B" w:rsidRPr="00CB15C1" w:rsidRDefault="007B025B" w:rsidP="007B025B">
      <w:pPr>
        <w:spacing w:after="0" w:line="240" w:lineRule="auto"/>
        <w:ind w:left="2268"/>
        <w:jc w:val="both"/>
        <w:rPr>
          <w:rFonts w:ascii="Times New Roman" w:hAnsi="Times New Roman"/>
          <w:color w:val="222222"/>
          <w:shd w:val="clear" w:color="auto" w:fill="FFFFFF"/>
        </w:rPr>
      </w:pPr>
    </w:p>
    <w:p w:rsidR="007B025B" w:rsidRPr="00CB15C1" w:rsidRDefault="007B025B" w:rsidP="007B025B">
      <w:pPr>
        <w:spacing w:after="0" w:line="240" w:lineRule="auto"/>
        <w:ind w:left="2268"/>
        <w:jc w:val="both"/>
        <w:rPr>
          <w:rFonts w:ascii="Times New Roman" w:hAnsi="Times New Roman"/>
        </w:rPr>
      </w:pPr>
    </w:p>
    <w:p w:rsidR="007B025B" w:rsidRDefault="007B025B" w:rsidP="007B025B">
      <w:pPr>
        <w:jc w:val="both"/>
        <w:rPr>
          <w:rFonts w:ascii="Arial" w:hAnsi="Arial" w:cs="Arial"/>
          <w:b/>
          <w:bCs/>
          <w:color w:val="000000"/>
          <w:sz w:val="24"/>
          <w:szCs w:val="24"/>
        </w:rPr>
      </w:pPr>
    </w:p>
    <w:p w:rsidR="007B025B" w:rsidRDefault="007B025B" w:rsidP="007B025B">
      <w:pPr>
        <w:jc w:val="both"/>
        <w:rPr>
          <w:rFonts w:ascii="Arial" w:hAnsi="Arial" w:cs="Arial"/>
          <w:b/>
          <w:bCs/>
          <w:color w:val="000000"/>
          <w:sz w:val="24"/>
          <w:szCs w:val="24"/>
        </w:rPr>
      </w:pPr>
    </w:p>
    <w:p w:rsidR="00704F04" w:rsidRDefault="00704F04"/>
    <w:sectPr w:rsidR="00704F04" w:rsidSect="00246E0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601D"/>
    <w:multiLevelType w:val="hybridMultilevel"/>
    <w:tmpl w:val="465E0550"/>
    <w:lvl w:ilvl="0" w:tplc="790099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5B"/>
    <w:rsid w:val="00437E77"/>
    <w:rsid w:val="00704F04"/>
    <w:rsid w:val="007B025B"/>
    <w:rsid w:val="008D5008"/>
    <w:rsid w:val="00E27FF4"/>
    <w:rsid w:val="00F1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95AB9-DE10-48A6-AE83-6C999908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25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B025B"/>
    <w:rPr>
      <w:color w:val="0563C1"/>
      <w:u w:val="single"/>
    </w:rPr>
  </w:style>
  <w:style w:type="character" w:styleId="Forte">
    <w:name w:val="Strong"/>
    <w:uiPriority w:val="22"/>
    <w:qFormat/>
    <w:rsid w:val="007B025B"/>
    <w:rPr>
      <w:b/>
      <w:bCs/>
    </w:rPr>
  </w:style>
  <w:style w:type="paragraph" w:styleId="PargrafodaLista">
    <w:name w:val="List Paragraph"/>
    <w:basedOn w:val="Normal"/>
    <w:uiPriority w:val="34"/>
    <w:qFormat/>
    <w:rsid w:val="007B025B"/>
    <w:pPr>
      <w:ind w:left="720"/>
      <w:contextualSpacing/>
    </w:pPr>
  </w:style>
  <w:style w:type="character" w:styleId="nfase">
    <w:name w:val="Emphasis"/>
    <w:uiPriority w:val="20"/>
    <w:qFormat/>
    <w:rsid w:val="007B025B"/>
    <w:rPr>
      <w:i/>
      <w:iCs/>
    </w:rPr>
  </w:style>
  <w:style w:type="paragraph" w:styleId="NormalWeb">
    <w:name w:val="Normal (Web)"/>
    <w:basedOn w:val="Normal"/>
    <w:uiPriority w:val="99"/>
    <w:semiHidden/>
    <w:unhideWhenUsed/>
    <w:rsid w:val="007B025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f.jus.br/arquivo/cms/noticiaNoticiaStf/anexo/ADI629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s.com.br/tudo/separacao" TargetMode="External"/><Relationship Id="rId5" Type="http://schemas.openxmlformats.org/officeDocument/2006/relationships/hyperlink" Target="http://hudoc.echr.coe.int/sites/eng/pages/search.aspx?i=001-57557#{&quot;itemid&quot;:[&quot;001-57557&quo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5867</Words>
  <Characters>31682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CIDA</dc:creator>
  <cp:keywords/>
  <dc:description/>
  <cp:lastModifiedBy>CIDA</cp:lastModifiedBy>
  <cp:revision>2</cp:revision>
  <dcterms:created xsi:type="dcterms:W3CDTF">2020-06-08T23:14:00Z</dcterms:created>
  <dcterms:modified xsi:type="dcterms:W3CDTF">2020-06-08T23:14:00Z</dcterms:modified>
</cp:coreProperties>
</file>