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B0" w:rsidRDefault="001273E9" w:rsidP="009F33B0">
      <w:pPr>
        <w:spacing w:after="0"/>
        <w:jc w:val="center"/>
        <w:rPr>
          <w:rFonts w:ascii="Times New Roman" w:hAnsi="Times New Roman" w:cs="Times New Roman"/>
          <w:b/>
        </w:rPr>
      </w:pPr>
      <w:r>
        <w:rPr>
          <w:rFonts w:ascii="Times New Roman" w:hAnsi="Times New Roman" w:cs="Times New Roman"/>
          <w:b/>
        </w:rPr>
        <w:t xml:space="preserve">GESTÃO AMBIENTAL </w:t>
      </w:r>
      <w:r w:rsidR="001D508D">
        <w:rPr>
          <w:rFonts w:ascii="Times New Roman" w:hAnsi="Times New Roman" w:cs="Times New Roman"/>
          <w:b/>
        </w:rPr>
        <w:t>D</w:t>
      </w:r>
      <w:r>
        <w:rPr>
          <w:rFonts w:ascii="Times New Roman" w:hAnsi="Times New Roman" w:cs="Times New Roman"/>
          <w:b/>
        </w:rPr>
        <w:t>E</w:t>
      </w:r>
      <w:r w:rsidR="00445F8B">
        <w:rPr>
          <w:rFonts w:ascii="Times New Roman" w:hAnsi="Times New Roman" w:cs="Times New Roman"/>
          <w:b/>
        </w:rPr>
        <w:t xml:space="preserve"> EM</w:t>
      </w:r>
      <w:r w:rsidR="009F33B0">
        <w:rPr>
          <w:rFonts w:ascii="Times New Roman" w:hAnsi="Times New Roman" w:cs="Times New Roman"/>
          <w:b/>
        </w:rPr>
        <w:t xml:space="preserve">BALAGENS </w:t>
      </w:r>
      <w:r w:rsidR="009F79E3">
        <w:rPr>
          <w:rFonts w:ascii="Times New Roman" w:hAnsi="Times New Roman" w:cs="Times New Roman"/>
          <w:b/>
        </w:rPr>
        <w:t>VAZIAS DE</w:t>
      </w:r>
      <w:r w:rsidR="009F33B0">
        <w:rPr>
          <w:rFonts w:ascii="Times New Roman" w:hAnsi="Times New Roman" w:cs="Times New Roman"/>
          <w:b/>
        </w:rPr>
        <w:t xml:space="preserve"> AGROTÓXICOS </w:t>
      </w:r>
    </w:p>
    <w:p w:rsidR="009F33B0" w:rsidRDefault="009F33B0" w:rsidP="009F33B0">
      <w:pPr>
        <w:tabs>
          <w:tab w:val="left" w:pos="300"/>
        </w:tabs>
        <w:spacing w:after="0"/>
        <w:rPr>
          <w:rFonts w:ascii="Times New Roman" w:hAnsi="Times New Roman" w:cs="Times New Roman"/>
          <w:b/>
        </w:rPr>
      </w:pPr>
      <w:r>
        <w:rPr>
          <w:rFonts w:ascii="Times New Roman" w:hAnsi="Times New Roman" w:cs="Times New Roman"/>
          <w:b/>
        </w:rPr>
        <w:tab/>
      </w:r>
    </w:p>
    <w:p w:rsidR="009F33B0" w:rsidRDefault="009F33B0" w:rsidP="009F33B0">
      <w:pPr>
        <w:spacing w:after="0"/>
        <w:jc w:val="right"/>
        <w:rPr>
          <w:rFonts w:ascii="Times New Roman" w:hAnsi="Times New Roman" w:cs="Times New Roman"/>
        </w:rPr>
      </w:pPr>
      <w:r>
        <w:rPr>
          <w:rFonts w:ascii="Times New Roman" w:hAnsi="Times New Roman" w:cs="Times New Roman"/>
        </w:rPr>
        <w:t>Viviane Barreto Motta Nogueira</w:t>
      </w:r>
      <w:r w:rsidR="00CC6892">
        <w:rPr>
          <w:rFonts w:ascii="Times New Roman" w:hAnsi="Times New Roman" w:cs="Times New Roman"/>
        </w:rPr>
        <w:t>*</w:t>
      </w:r>
      <w:r>
        <w:rPr>
          <w:rStyle w:val="Refdenotaderodap"/>
          <w:rFonts w:ascii="Times New Roman" w:hAnsi="Times New Roman" w:cs="Times New Roman"/>
        </w:rPr>
        <w:footnoteReference w:id="1"/>
      </w:r>
    </w:p>
    <w:p w:rsidR="009F33B0" w:rsidRDefault="009F33B0" w:rsidP="009F33B0">
      <w:pPr>
        <w:spacing w:after="0"/>
        <w:jc w:val="right"/>
        <w:rPr>
          <w:rFonts w:ascii="Times New Roman" w:hAnsi="Times New Roman" w:cs="Times New Roman"/>
        </w:rPr>
      </w:pPr>
      <w:proofErr w:type="spellStart"/>
      <w:r>
        <w:rPr>
          <w:rFonts w:ascii="Times New Roman" w:hAnsi="Times New Roman" w:cs="Times New Roman"/>
        </w:rPr>
        <w:t>Renilson</w:t>
      </w:r>
      <w:proofErr w:type="spellEnd"/>
      <w:r>
        <w:rPr>
          <w:rFonts w:ascii="Times New Roman" w:hAnsi="Times New Roman" w:cs="Times New Roman"/>
        </w:rPr>
        <w:t xml:space="preserve"> </w:t>
      </w:r>
      <w:proofErr w:type="spellStart"/>
      <w:r>
        <w:rPr>
          <w:rFonts w:ascii="Times New Roman" w:hAnsi="Times New Roman" w:cs="Times New Roman"/>
        </w:rPr>
        <w:t>Targino</w:t>
      </w:r>
      <w:proofErr w:type="spellEnd"/>
      <w:r>
        <w:rPr>
          <w:rFonts w:ascii="Times New Roman" w:hAnsi="Times New Roman" w:cs="Times New Roman"/>
        </w:rPr>
        <w:t xml:space="preserve"> Dantas</w:t>
      </w:r>
      <w:r w:rsidR="00CC6892">
        <w:rPr>
          <w:rFonts w:ascii="Times New Roman" w:hAnsi="Times New Roman" w:cs="Times New Roman"/>
        </w:rPr>
        <w:t>*</w:t>
      </w:r>
      <w:r>
        <w:rPr>
          <w:rStyle w:val="Refdenotaderodap"/>
          <w:rFonts w:ascii="Times New Roman" w:hAnsi="Times New Roman" w:cs="Times New Roman"/>
        </w:rPr>
        <w:footnoteReference w:id="2"/>
      </w:r>
    </w:p>
    <w:p w:rsidR="009F33B0" w:rsidRDefault="009F33B0" w:rsidP="009F33B0">
      <w:pPr>
        <w:spacing w:after="0"/>
        <w:jc w:val="center"/>
        <w:rPr>
          <w:rFonts w:ascii="Times New Roman" w:hAnsi="Times New Roman" w:cs="Times New Roman"/>
        </w:rPr>
      </w:pPr>
    </w:p>
    <w:p w:rsidR="009F33B0" w:rsidRDefault="009F33B0" w:rsidP="009F33B0">
      <w:pPr>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R</w:t>
      </w:r>
      <w:r w:rsidR="001D508D">
        <w:rPr>
          <w:rFonts w:ascii="Times New Roman" w:hAnsi="Times New Roman" w:cs="Times New Roman"/>
          <w:b/>
          <w:bCs/>
          <w:color w:val="000000"/>
          <w:szCs w:val="24"/>
        </w:rPr>
        <w:t>ESUMO</w:t>
      </w:r>
    </w:p>
    <w:p w:rsidR="009F33B0" w:rsidRDefault="009F33B0" w:rsidP="009F33B0">
      <w:pPr>
        <w:autoSpaceDE w:val="0"/>
        <w:autoSpaceDN w:val="0"/>
        <w:adjustRightInd w:val="0"/>
        <w:spacing w:after="0" w:line="240" w:lineRule="auto"/>
        <w:rPr>
          <w:rFonts w:ascii="Times New Roman" w:hAnsi="Times New Roman" w:cs="Times New Roman"/>
          <w:b/>
          <w:bCs/>
          <w:color w:val="000000"/>
          <w:szCs w:val="24"/>
        </w:rPr>
      </w:pPr>
    </w:p>
    <w:p w:rsidR="009F33B0" w:rsidRDefault="009F33B0" w:rsidP="00E352BA">
      <w:pPr>
        <w:autoSpaceDE w:val="0"/>
        <w:autoSpaceDN w:val="0"/>
        <w:adjustRightInd w:val="0"/>
        <w:spacing w:after="0" w:line="240" w:lineRule="auto"/>
        <w:ind w:firstLine="708"/>
        <w:jc w:val="both"/>
        <w:rPr>
          <w:rFonts w:ascii="Times New Roman" w:hAnsi="Times New Roman" w:cs="Times New Roman"/>
          <w:color w:val="000000"/>
          <w:szCs w:val="24"/>
        </w:rPr>
      </w:pPr>
      <w:r>
        <w:rPr>
          <w:rFonts w:ascii="Times New Roman" w:hAnsi="Times New Roman" w:cs="Times New Roman"/>
          <w:color w:val="000000"/>
          <w:szCs w:val="24"/>
        </w:rPr>
        <w:t xml:space="preserve">Este artigo tem como objetivo diagnosticar o destino final dado </w:t>
      </w:r>
      <w:proofErr w:type="gramStart"/>
      <w:r>
        <w:rPr>
          <w:rFonts w:ascii="Times New Roman" w:hAnsi="Times New Roman" w:cs="Times New Roman"/>
          <w:color w:val="000000"/>
          <w:szCs w:val="24"/>
        </w:rPr>
        <w:t>as</w:t>
      </w:r>
      <w:proofErr w:type="gramEnd"/>
      <w:r>
        <w:rPr>
          <w:rFonts w:ascii="Times New Roman" w:hAnsi="Times New Roman" w:cs="Times New Roman"/>
          <w:color w:val="000000"/>
          <w:szCs w:val="24"/>
        </w:rPr>
        <w:t xml:space="preserve"> embalagens vazias de produtos agrotóxicos utilizadas pelos produtores rurais do açude público Epitácio Pessoa em Boqueirão – Paraíba. O método utilizado foi </w:t>
      </w:r>
      <w:proofErr w:type="gramStart"/>
      <w:r>
        <w:rPr>
          <w:rFonts w:ascii="Times New Roman" w:hAnsi="Times New Roman" w:cs="Times New Roman"/>
          <w:color w:val="000000"/>
          <w:szCs w:val="24"/>
        </w:rPr>
        <w:t>a</w:t>
      </w:r>
      <w:proofErr w:type="gramEnd"/>
      <w:r>
        <w:rPr>
          <w:rFonts w:ascii="Times New Roman" w:hAnsi="Times New Roman" w:cs="Times New Roman"/>
          <w:color w:val="000000"/>
          <w:szCs w:val="24"/>
        </w:rPr>
        <w:t xml:space="preserve"> pesquisa de campo, através da aplicação de questionários. O universo da pesquisa formado por 178 propriedades cadastradas </w:t>
      </w:r>
      <w:r w:rsidRPr="003446BD">
        <w:rPr>
          <w:rFonts w:ascii="Times New Roman" w:hAnsi="Times New Roman" w:cs="Times New Roman"/>
          <w:szCs w:val="24"/>
        </w:rPr>
        <w:t>no D</w:t>
      </w:r>
      <w:r w:rsidR="003446BD" w:rsidRPr="003446BD">
        <w:rPr>
          <w:rFonts w:ascii="Times New Roman" w:hAnsi="Times New Roman" w:cs="Times New Roman"/>
          <w:szCs w:val="24"/>
        </w:rPr>
        <w:t xml:space="preserve">epartamento </w:t>
      </w:r>
      <w:r w:rsidRPr="003446BD">
        <w:rPr>
          <w:rFonts w:ascii="Times New Roman" w:hAnsi="Times New Roman" w:cs="Times New Roman"/>
          <w:szCs w:val="24"/>
        </w:rPr>
        <w:t>N</w:t>
      </w:r>
      <w:r w:rsidR="003446BD" w:rsidRPr="003446BD">
        <w:rPr>
          <w:rFonts w:ascii="Times New Roman" w:hAnsi="Times New Roman" w:cs="Times New Roman"/>
          <w:szCs w:val="24"/>
        </w:rPr>
        <w:t xml:space="preserve">acional de </w:t>
      </w:r>
      <w:r w:rsidRPr="003446BD">
        <w:rPr>
          <w:rFonts w:ascii="Times New Roman" w:hAnsi="Times New Roman" w:cs="Times New Roman"/>
          <w:szCs w:val="24"/>
        </w:rPr>
        <w:t>O</w:t>
      </w:r>
      <w:r w:rsidR="003446BD" w:rsidRPr="003446BD">
        <w:rPr>
          <w:rFonts w:ascii="Times New Roman" w:hAnsi="Times New Roman" w:cs="Times New Roman"/>
          <w:szCs w:val="24"/>
        </w:rPr>
        <w:t xml:space="preserve">bras </w:t>
      </w:r>
      <w:r w:rsidRPr="003446BD">
        <w:rPr>
          <w:rFonts w:ascii="Times New Roman" w:hAnsi="Times New Roman" w:cs="Times New Roman"/>
          <w:szCs w:val="24"/>
        </w:rPr>
        <w:t>C</w:t>
      </w:r>
      <w:r w:rsidR="003446BD" w:rsidRPr="003446BD">
        <w:rPr>
          <w:rFonts w:ascii="Times New Roman" w:hAnsi="Times New Roman" w:cs="Times New Roman"/>
          <w:szCs w:val="24"/>
        </w:rPr>
        <w:t xml:space="preserve">ontra a </w:t>
      </w:r>
      <w:r w:rsidRPr="003446BD">
        <w:rPr>
          <w:rFonts w:ascii="Times New Roman" w:hAnsi="Times New Roman" w:cs="Times New Roman"/>
          <w:szCs w:val="24"/>
        </w:rPr>
        <w:t>S</w:t>
      </w:r>
      <w:r w:rsidR="003446BD" w:rsidRPr="003446BD">
        <w:rPr>
          <w:rFonts w:ascii="Times New Roman" w:hAnsi="Times New Roman" w:cs="Times New Roman"/>
          <w:szCs w:val="24"/>
        </w:rPr>
        <w:t>eca - DNOCS</w:t>
      </w:r>
      <w:proofErr w:type="gramStart"/>
      <w:r>
        <w:rPr>
          <w:rFonts w:ascii="Times New Roman" w:hAnsi="Times New Roman" w:cs="Times New Roman"/>
          <w:color w:val="000000"/>
          <w:szCs w:val="24"/>
        </w:rPr>
        <w:t>, teve</w:t>
      </w:r>
      <w:proofErr w:type="gramEnd"/>
      <w:r>
        <w:rPr>
          <w:rFonts w:ascii="Times New Roman" w:hAnsi="Times New Roman" w:cs="Times New Roman"/>
          <w:color w:val="000000"/>
          <w:szCs w:val="24"/>
        </w:rPr>
        <w:t xml:space="preserve"> como amostra 36 produtores rurais, correspondendo a 20,2% do universo. Os resultados demonstraram que apenas </w:t>
      </w:r>
      <w:r w:rsidR="007A41A1">
        <w:rPr>
          <w:rFonts w:ascii="Times New Roman" w:hAnsi="Times New Roman" w:cs="Times New Roman"/>
          <w:color w:val="000000"/>
          <w:szCs w:val="24"/>
        </w:rPr>
        <w:t>37,5</w:t>
      </w:r>
      <w:r>
        <w:rPr>
          <w:rFonts w:ascii="Times New Roman" w:hAnsi="Times New Roman" w:cs="Times New Roman"/>
          <w:color w:val="000000"/>
          <w:szCs w:val="24"/>
        </w:rPr>
        <w:t xml:space="preserve">% dos pesquisados dão o destino correto às embalagens vazias de produtos agrotóxicos, enquanto </w:t>
      </w:r>
      <w:r w:rsidR="007A41A1">
        <w:rPr>
          <w:rFonts w:ascii="Times New Roman" w:hAnsi="Times New Roman" w:cs="Times New Roman"/>
          <w:color w:val="000000"/>
          <w:szCs w:val="24"/>
        </w:rPr>
        <w:t>62,5</w:t>
      </w:r>
      <w:r>
        <w:rPr>
          <w:rFonts w:ascii="Times New Roman" w:hAnsi="Times New Roman" w:cs="Times New Roman"/>
          <w:color w:val="000000"/>
          <w:szCs w:val="24"/>
        </w:rPr>
        <w:t xml:space="preserve">% guardam, queimam ou reutilizam as embalagens vazias dos produtos. Como conclusão, pode-se apontar </w:t>
      </w:r>
      <w:r w:rsidR="00A450F9">
        <w:rPr>
          <w:rFonts w:ascii="Times New Roman" w:hAnsi="Times New Roman" w:cs="Times New Roman"/>
          <w:color w:val="000000"/>
          <w:szCs w:val="24"/>
        </w:rPr>
        <w:t>a logística reversa</w:t>
      </w:r>
      <w:r>
        <w:rPr>
          <w:rFonts w:ascii="Times New Roman" w:hAnsi="Times New Roman" w:cs="Times New Roman"/>
          <w:color w:val="000000"/>
          <w:szCs w:val="24"/>
        </w:rPr>
        <w:t xml:space="preserve"> como instrumento eficaz de gestão ambiental a fim de </w:t>
      </w:r>
      <w:r>
        <w:rPr>
          <w:rFonts w:ascii="Times New Roman" w:hAnsi="Times New Roman" w:cs="Times New Roman"/>
        </w:rPr>
        <w:t xml:space="preserve">reduzir os impactos ambientais adversos devido ao destino final incorreto dado pelos produtores rurais com relação </w:t>
      </w:r>
      <w:proofErr w:type="gramStart"/>
      <w:r>
        <w:rPr>
          <w:rFonts w:ascii="Times New Roman" w:hAnsi="Times New Roman" w:cs="Times New Roman"/>
          <w:color w:val="000000"/>
          <w:szCs w:val="24"/>
        </w:rPr>
        <w:t>as</w:t>
      </w:r>
      <w:proofErr w:type="gramEnd"/>
      <w:r>
        <w:rPr>
          <w:rFonts w:ascii="Times New Roman" w:hAnsi="Times New Roman" w:cs="Times New Roman"/>
          <w:color w:val="000000"/>
          <w:szCs w:val="24"/>
        </w:rPr>
        <w:t xml:space="preserve"> embalagens vazias de produtos agrotóxicos no município de Boqueirão – Paraíba. </w:t>
      </w:r>
    </w:p>
    <w:p w:rsidR="009F33B0" w:rsidRDefault="009F33B0" w:rsidP="009F33B0">
      <w:pPr>
        <w:autoSpaceDE w:val="0"/>
        <w:autoSpaceDN w:val="0"/>
        <w:adjustRightInd w:val="0"/>
        <w:spacing w:after="0" w:line="240" w:lineRule="auto"/>
        <w:rPr>
          <w:rFonts w:ascii="Times New Roman" w:hAnsi="Times New Roman" w:cs="Times New Roman"/>
          <w:color w:val="000000"/>
          <w:szCs w:val="24"/>
        </w:rPr>
      </w:pPr>
    </w:p>
    <w:p w:rsidR="009F33B0" w:rsidRDefault="009F33B0" w:rsidP="009F33B0">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 xml:space="preserve">Palavras-chave: Gestão. Ambiente. Agrotóxico. Embalagem.  </w:t>
      </w:r>
    </w:p>
    <w:p w:rsidR="001D508D" w:rsidRDefault="001D508D" w:rsidP="009F79E3">
      <w:pPr>
        <w:autoSpaceDE w:val="0"/>
        <w:autoSpaceDN w:val="0"/>
        <w:adjustRightInd w:val="0"/>
        <w:spacing w:after="0" w:line="360" w:lineRule="auto"/>
        <w:rPr>
          <w:rFonts w:ascii="Times New Roman" w:hAnsi="Times New Roman" w:cs="Times New Roman"/>
          <w:color w:val="000000"/>
          <w:szCs w:val="24"/>
        </w:rPr>
      </w:pPr>
    </w:p>
    <w:p w:rsidR="009F79E3" w:rsidRDefault="009F79E3" w:rsidP="009F79E3">
      <w:pPr>
        <w:spacing w:after="0"/>
        <w:jc w:val="center"/>
        <w:rPr>
          <w:rFonts w:ascii="Times New Roman" w:hAnsi="Times New Roman" w:cs="Times New Roman"/>
          <w:b/>
        </w:rPr>
      </w:pPr>
      <w:r>
        <w:rPr>
          <w:rFonts w:ascii="Times New Roman" w:hAnsi="Times New Roman" w:cs="Times New Roman"/>
          <w:b/>
        </w:rPr>
        <w:t xml:space="preserve">ENVIRONMENTAL ADMINISTRATION OF EMPTY PACKINGS OF AGROTÓXICOS </w:t>
      </w:r>
    </w:p>
    <w:p w:rsidR="009F79E3" w:rsidRDefault="009F79E3" w:rsidP="009F79E3">
      <w:pPr>
        <w:spacing w:after="0" w:line="360" w:lineRule="auto"/>
        <w:jc w:val="center"/>
        <w:rPr>
          <w:rFonts w:ascii="Times New Roman" w:hAnsi="Times New Roman" w:cs="Times New Roman"/>
          <w:b/>
        </w:rPr>
      </w:pPr>
    </w:p>
    <w:p w:rsidR="009F79E3" w:rsidRDefault="00E352BA" w:rsidP="009F79E3">
      <w:pPr>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ABSTRACT</w:t>
      </w:r>
      <w:r w:rsidR="009F79E3">
        <w:rPr>
          <w:rFonts w:ascii="Times New Roman" w:hAnsi="Times New Roman" w:cs="Times New Roman"/>
          <w:b/>
          <w:bCs/>
          <w:color w:val="000000"/>
          <w:szCs w:val="24"/>
        </w:rPr>
        <w:t xml:space="preserve"> </w:t>
      </w:r>
    </w:p>
    <w:p w:rsidR="009F79E3" w:rsidRDefault="009F79E3" w:rsidP="009F79E3">
      <w:pPr>
        <w:autoSpaceDE w:val="0"/>
        <w:autoSpaceDN w:val="0"/>
        <w:adjustRightInd w:val="0"/>
        <w:spacing w:after="0" w:line="240" w:lineRule="auto"/>
        <w:rPr>
          <w:rFonts w:ascii="Times New Roman" w:hAnsi="Times New Roman" w:cs="Times New Roman"/>
          <w:b/>
          <w:bCs/>
          <w:color w:val="000000"/>
          <w:szCs w:val="24"/>
        </w:rPr>
      </w:pPr>
    </w:p>
    <w:p w:rsidR="009F79E3" w:rsidRDefault="009F79E3" w:rsidP="002B5718">
      <w:pPr>
        <w:autoSpaceDE w:val="0"/>
        <w:autoSpaceDN w:val="0"/>
        <w:adjustRightInd w:val="0"/>
        <w:spacing w:after="0" w:line="240" w:lineRule="auto"/>
        <w:ind w:firstLine="708"/>
        <w:jc w:val="both"/>
        <w:rPr>
          <w:rFonts w:ascii="Times New Roman" w:hAnsi="Times New Roman" w:cs="Times New Roman"/>
          <w:color w:val="000000"/>
          <w:szCs w:val="24"/>
        </w:rPr>
      </w:pPr>
      <w:proofErr w:type="spellStart"/>
      <w:r>
        <w:rPr>
          <w:rFonts w:ascii="Times New Roman" w:hAnsi="Times New Roman" w:cs="Times New Roman"/>
          <w:color w:val="000000"/>
          <w:szCs w:val="24"/>
        </w:rPr>
        <w:t>This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article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has</w:t>
      </w:r>
      <w:proofErr w:type="spellEnd"/>
      <w:r>
        <w:rPr>
          <w:rFonts w:ascii="Times New Roman" w:hAnsi="Times New Roman" w:cs="Times New Roman"/>
          <w:color w:val="000000"/>
          <w:szCs w:val="24"/>
        </w:rPr>
        <w:t xml:space="preserve"> as </w:t>
      </w:r>
      <w:proofErr w:type="spellStart"/>
      <w:r>
        <w:rPr>
          <w:rFonts w:ascii="Times New Roman" w:hAnsi="Times New Roman" w:cs="Times New Roman"/>
          <w:color w:val="000000"/>
          <w:szCs w:val="24"/>
        </w:rPr>
        <w:t>objective</w:t>
      </w:r>
      <w:proofErr w:type="spellEnd"/>
      <w:r>
        <w:rPr>
          <w:rFonts w:ascii="Times New Roman" w:hAnsi="Times New Roman" w:cs="Times New Roman"/>
          <w:color w:val="000000"/>
          <w:szCs w:val="24"/>
        </w:rPr>
        <w:t xml:space="preserve"> diagnoses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given</w:t>
      </w:r>
      <w:proofErr w:type="spellEnd"/>
      <w:r>
        <w:rPr>
          <w:rFonts w:ascii="Times New Roman" w:hAnsi="Times New Roman" w:cs="Times New Roman"/>
          <w:color w:val="000000"/>
          <w:szCs w:val="24"/>
        </w:rPr>
        <w:t xml:space="preserve"> final </w:t>
      </w:r>
      <w:proofErr w:type="spellStart"/>
      <w:r>
        <w:rPr>
          <w:rFonts w:ascii="Times New Roman" w:hAnsi="Times New Roman" w:cs="Times New Roman"/>
          <w:color w:val="000000"/>
          <w:szCs w:val="24"/>
        </w:rPr>
        <w:t>destiny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empty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packings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products</w:t>
      </w:r>
      <w:proofErr w:type="spellEnd"/>
      <w:r>
        <w:rPr>
          <w:rFonts w:ascii="Times New Roman" w:hAnsi="Times New Roman" w:cs="Times New Roman"/>
          <w:color w:val="000000"/>
          <w:szCs w:val="24"/>
        </w:rPr>
        <w:t xml:space="preserve"> agrotóxicos </w:t>
      </w:r>
      <w:proofErr w:type="spellStart"/>
      <w:r>
        <w:rPr>
          <w:rFonts w:ascii="Times New Roman" w:hAnsi="Times New Roman" w:cs="Times New Roman"/>
          <w:color w:val="000000"/>
          <w:szCs w:val="24"/>
        </w:rPr>
        <w:t>used</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by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rural </w:t>
      </w:r>
      <w:proofErr w:type="spellStart"/>
      <w:r>
        <w:rPr>
          <w:rFonts w:ascii="Times New Roman" w:hAnsi="Times New Roman" w:cs="Times New Roman"/>
          <w:color w:val="000000"/>
          <w:szCs w:val="24"/>
        </w:rPr>
        <w:t>producers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public</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dam</w:t>
      </w:r>
      <w:proofErr w:type="spellEnd"/>
      <w:r>
        <w:rPr>
          <w:rFonts w:ascii="Times New Roman" w:hAnsi="Times New Roman" w:cs="Times New Roman"/>
          <w:color w:val="000000"/>
          <w:szCs w:val="24"/>
        </w:rPr>
        <w:t xml:space="preserve"> Epitácio Pessoa in Big </w:t>
      </w:r>
      <w:proofErr w:type="spellStart"/>
      <w:r>
        <w:rPr>
          <w:rFonts w:ascii="Times New Roman" w:hAnsi="Times New Roman" w:cs="Times New Roman"/>
          <w:color w:val="000000"/>
          <w:szCs w:val="24"/>
        </w:rPr>
        <w:t>mouth–Paraíba</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used</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method</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was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proofErr w:type="gramStart"/>
      <w:r>
        <w:rPr>
          <w:rFonts w:ascii="Times New Roman" w:hAnsi="Times New Roman" w:cs="Times New Roman"/>
          <w:color w:val="000000"/>
          <w:szCs w:val="24"/>
        </w:rPr>
        <w:t>field</w:t>
      </w:r>
      <w:proofErr w:type="spellEnd"/>
      <w:proofErr w:type="gramEnd"/>
      <w:r>
        <w:rPr>
          <w:rFonts w:ascii="Times New Roman" w:hAnsi="Times New Roman" w:cs="Times New Roman"/>
          <w:color w:val="000000"/>
          <w:szCs w:val="24"/>
        </w:rPr>
        <w:t xml:space="preserve"> research, </w:t>
      </w:r>
      <w:proofErr w:type="spellStart"/>
      <w:r>
        <w:rPr>
          <w:rFonts w:ascii="Times New Roman" w:hAnsi="Times New Roman" w:cs="Times New Roman"/>
          <w:color w:val="000000"/>
          <w:szCs w:val="24"/>
        </w:rPr>
        <w:t>through</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application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questionnaires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universe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research </w:t>
      </w:r>
      <w:proofErr w:type="spellStart"/>
      <w:r>
        <w:rPr>
          <w:rFonts w:ascii="Times New Roman" w:hAnsi="Times New Roman" w:cs="Times New Roman"/>
          <w:color w:val="000000"/>
          <w:szCs w:val="24"/>
        </w:rPr>
        <w:t>formed</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by</w:t>
      </w:r>
      <w:proofErr w:type="spellEnd"/>
      <w:r>
        <w:rPr>
          <w:rFonts w:ascii="Times New Roman" w:hAnsi="Times New Roman" w:cs="Times New Roman"/>
          <w:color w:val="000000"/>
          <w:szCs w:val="24"/>
        </w:rPr>
        <w:t xml:space="preserve"> 178 </w:t>
      </w:r>
      <w:proofErr w:type="spellStart"/>
      <w:r>
        <w:rPr>
          <w:rFonts w:ascii="Times New Roman" w:hAnsi="Times New Roman" w:cs="Times New Roman"/>
          <w:color w:val="000000"/>
          <w:szCs w:val="24"/>
        </w:rPr>
        <w:t>properties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registered</w:t>
      </w:r>
      <w:proofErr w:type="spellEnd"/>
      <w:r>
        <w:rPr>
          <w:rFonts w:ascii="Times New Roman" w:hAnsi="Times New Roman" w:cs="Times New Roman"/>
          <w:color w:val="000000"/>
          <w:szCs w:val="24"/>
        </w:rPr>
        <w:t xml:space="preserve"> in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National</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Department</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Works </w:t>
      </w:r>
      <w:proofErr w:type="spellStart"/>
      <w:r>
        <w:rPr>
          <w:rFonts w:ascii="Times New Roman" w:hAnsi="Times New Roman" w:cs="Times New Roman"/>
          <w:color w:val="000000"/>
          <w:szCs w:val="24"/>
        </w:rPr>
        <w:t>Against</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Drought</w:t>
      </w:r>
      <w:proofErr w:type="spellEnd"/>
      <w:r>
        <w:rPr>
          <w:rFonts w:ascii="Times New Roman" w:hAnsi="Times New Roman" w:cs="Times New Roman"/>
          <w:color w:val="000000"/>
          <w:szCs w:val="24"/>
        </w:rPr>
        <w:t xml:space="preserve"> - DNOCS, </w:t>
      </w:r>
      <w:proofErr w:type="spellStart"/>
      <w:r>
        <w:rPr>
          <w:rFonts w:ascii="Times New Roman" w:hAnsi="Times New Roman" w:cs="Times New Roman"/>
          <w:color w:val="000000"/>
          <w:szCs w:val="24"/>
        </w:rPr>
        <w:t>had</w:t>
      </w:r>
      <w:proofErr w:type="spellEnd"/>
      <w:r>
        <w:rPr>
          <w:rFonts w:ascii="Times New Roman" w:hAnsi="Times New Roman" w:cs="Times New Roman"/>
          <w:color w:val="000000"/>
          <w:szCs w:val="24"/>
        </w:rPr>
        <w:t xml:space="preserve"> as </w:t>
      </w:r>
      <w:proofErr w:type="spellStart"/>
      <w:r>
        <w:rPr>
          <w:rFonts w:ascii="Times New Roman" w:hAnsi="Times New Roman" w:cs="Times New Roman"/>
          <w:color w:val="000000"/>
          <w:szCs w:val="24"/>
        </w:rPr>
        <w:t>sample</w:t>
      </w:r>
      <w:proofErr w:type="spellEnd"/>
      <w:r>
        <w:rPr>
          <w:rFonts w:ascii="Times New Roman" w:hAnsi="Times New Roman" w:cs="Times New Roman"/>
          <w:color w:val="000000"/>
          <w:szCs w:val="24"/>
        </w:rPr>
        <w:t xml:space="preserve"> </w:t>
      </w:r>
      <w:proofErr w:type="gramStart"/>
      <w:r>
        <w:rPr>
          <w:rFonts w:ascii="Times New Roman" w:hAnsi="Times New Roman" w:cs="Times New Roman"/>
          <w:color w:val="000000"/>
          <w:szCs w:val="24"/>
        </w:rPr>
        <w:t>36 rural</w:t>
      </w:r>
      <w:proofErr w:type="gram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producers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corresponding</w:t>
      </w:r>
      <w:proofErr w:type="spellEnd"/>
      <w:r>
        <w:rPr>
          <w:rFonts w:ascii="Times New Roman" w:hAnsi="Times New Roman" w:cs="Times New Roman"/>
          <w:color w:val="000000"/>
          <w:szCs w:val="24"/>
        </w:rPr>
        <w:t xml:space="preserve"> to 20,2%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universe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results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demonstrated</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that</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only</w:t>
      </w:r>
      <w:proofErr w:type="spellEnd"/>
      <w:r>
        <w:rPr>
          <w:rFonts w:ascii="Times New Roman" w:hAnsi="Times New Roman" w:cs="Times New Roman"/>
          <w:color w:val="000000"/>
          <w:szCs w:val="24"/>
        </w:rPr>
        <w:t xml:space="preserve"> 37,5%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those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researched</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give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correct</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destiny</w:t>
      </w:r>
      <w:proofErr w:type="spellEnd"/>
      <w:r>
        <w:rPr>
          <w:rFonts w:ascii="Times New Roman" w:hAnsi="Times New Roman" w:cs="Times New Roman"/>
          <w:color w:val="000000"/>
          <w:szCs w:val="24"/>
        </w:rPr>
        <w:t xml:space="preserve"> to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empty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packings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products</w:t>
      </w:r>
      <w:proofErr w:type="spellEnd"/>
      <w:r>
        <w:rPr>
          <w:rFonts w:ascii="Times New Roman" w:hAnsi="Times New Roman" w:cs="Times New Roman"/>
          <w:color w:val="000000"/>
          <w:szCs w:val="24"/>
        </w:rPr>
        <w:t xml:space="preserve"> agrotóxicos, </w:t>
      </w:r>
      <w:proofErr w:type="spellStart"/>
      <w:r>
        <w:rPr>
          <w:rFonts w:ascii="Times New Roman" w:hAnsi="Times New Roman" w:cs="Times New Roman"/>
          <w:color w:val="000000"/>
          <w:szCs w:val="24"/>
        </w:rPr>
        <w:t>while</w:t>
      </w:r>
      <w:proofErr w:type="spellEnd"/>
      <w:r>
        <w:rPr>
          <w:rFonts w:ascii="Times New Roman" w:hAnsi="Times New Roman" w:cs="Times New Roman"/>
          <w:color w:val="000000"/>
          <w:szCs w:val="24"/>
        </w:rPr>
        <w:t xml:space="preserve"> 62,5% </w:t>
      </w:r>
      <w:proofErr w:type="spellStart"/>
      <w:r>
        <w:rPr>
          <w:rFonts w:ascii="Times New Roman" w:hAnsi="Times New Roman" w:cs="Times New Roman"/>
          <w:color w:val="000000"/>
          <w:szCs w:val="24"/>
        </w:rPr>
        <w:t>keep</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burn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or</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they</w:t>
      </w:r>
      <w:proofErr w:type="spellEnd"/>
      <w:r>
        <w:rPr>
          <w:rFonts w:ascii="Times New Roman" w:hAnsi="Times New Roman" w:cs="Times New Roman"/>
          <w:color w:val="000000"/>
          <w:szCs w:val="24"/>
        </w:rPr>
        <w:t xml:space="preserve"> reuse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empty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packings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products</w:t>
      </w:r>
      <w:proofErr w:type="spellEnd"/>
      <w:r>
        <w:rPr>
          <w:rFonts w:ascii="Times New Roman" w:hAnsi="Times New Roman" w:cs="Times New Roman"/>
          <w:color w:val="000000"/>
          <w:szCs w:val="24"/>
        </w:rPr>
        <w:t xml:space="preserve">. As </w:t>
      </w:r>
      <w:proofErr w:type="spellStart"/>
      <w:r>
        <w:rPr>
          <w:rFonts w:ascii="Times New Roman" w:hAnsi="Times New Roman" w:cs="Times New Roman"/>
          <w:color w:val="000000"/>
          <w:szCs w:val="24"/>
        </w:rPr>
        <w:t>conclusion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reverse </w:t>
      </w:r>
      <w:proofErr w:type="spellStart"/>
      <w:r>
        <w:rPr>
          <w:rFonts w:ascii="Times New Roman" w:hAnsi="Times New Roman" w:cs="Times New Roman"/>
          <w:color w:val="000000"/>
          <w:szCs w:val="24"/>
        </w:rPr>
        <w:t>logistics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can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be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pointed</w:t>
      </w:r>
      <w:proofErr w:type="spellEnd"/>
      <w:r>
        <w:rPr>
          <w:rFonts w:ascii="Times New Roman" w:hAnsi="Times New Roman" w:cs="Times New Roman"/>
          <w:color w:val="000000"/>
          <w:szCs w:val="24"/>
        </w:rPr>
        <w:t xml:space="preserve"> as </w:t>
      </w:r>
      <w:proofErr w:type="spellStart"/>
      <w:r>
        <w:rPr>
          <w:rFonts w:ascii="Times New Roman" w:hAnsi="Times New Roman" w:cs="Times New Roman"/>
          <w:color w:val="000000"/>
          <w:szCs w:val="24"/>
        </w:rPr>
        <w:t>effective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instrument</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environmental</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administration</w:t>
      </w:r>
      <w:proofErr w:type="spellEnd"/>
      <w:r>
        <w:rPr>
          <w:rFonts w:ascii="Times New Roman" w:hAnsi="Times New Roman" w:cs="Times New Roman"/>
          <w:color w:val="000000"/>
          <w:szCs w:val="24"/>
        </w:rPr>
        <w:t xml:space="preserve"> in </w:t>
      </w:r>
      <w:proofErr w:type="spellStart"/>
      <w:r>
        <w:rPr>
          <w:rFonts w:ascii="Times New Roman" w:hAnsi="Times New Roman" w:cs="Times New Roman"/>
          <w:color w:val="000000"/>
          <w:szCs w:val="24"/>
        </w:rPr>
        <w:t>order</w:t>
      </w:r>
      <w:proofErr w:type="spellEnd"/>
      <w:r>
        <w:rPr>
          <w:rFonts w:ascii="Times New Roman" w:hAnsi="Times New Roman" w:cs="Times New Roman"/>
          <w:color w:val="000000"/>
          <w:szCs w:val="24"/>
        </w:rPr>
        <w:t xml:space="preserve"> to </w:t>
      </w:r>
      <w:proofErr w:type="spellStart"/>
      <w:r>
        <w:rPr>
          <w:rFonts w:ascii="Times New Roman" w:hAnsi="Times New Roman" w:cs="Times New Roman"/>
          <w:color w:val="000000"/>
          <w:szCs w:val="24"/>
        </w:rPr>
        <w:t>reduce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adverse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environmental</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impacts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due</w:t>
      </w:r>
      <w:proofErr w:type="spellEnd"/>
      <w:r>
        <w:rPr>
          <w:rFonts w:ascii="Times New Roman" w:hAnsi="Times New Roman" w:cs="Times New Roman"/>
          <w:color w:val="000000"/>
          <w:szCs w:val="24"/>
        </w:rPr>
        <w:t xml:space="preserve"> to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incorrect</w:t>
      </w:r>
      <w:proofErr w:type="spellEnd"/>
      <w:r>
        <w:rPr>
          <w:rFonts w:ascii="Times New Roman" w:hAnsi="Times New Roman" w:cs="Times New Roman"/>
          <w:color w:val="000000"/>
          <w:szCs w:val="24"/>
        </w:rPr>
        <w:t xml:space="preserve"> final </w:t>
      </w:r>
      <w:proofErr w:type="spellStart"/>
      <w:r>
        <w:rPr>
          <w:rFonts w:ascii="Times New Roman" w:hAnsi="Times New Roman" w:cs="Times New Roman"/>
          <w:color w:val="000000"/>
          <w:szCs w:val="24"/>
        </w:rPr>
        <w:t>destiny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given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by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rural </w:t>
      </w:r>
      <w:proofErr w:type="spellStart"/>
      <w:r>
        <w:rPr>
          <w:rFonts w:ascii="Times New Roman" w:hAnsi="Times New Roman" w:cs="Times New Roman"/>
          <w:color w:val="000000"/>
          <w:szCs w:val="24"/>
        </w:rPr>
        <w:t>producers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with</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relationship</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empty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packings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products</w:t>
      </w:r>
      <w:proofErr w:type="spellEnd"/>
      <w:r>
        <w:rPr>
          <w:rFonts w:ascii="Times New Roman" w:hAnsi="Times New Roman" w:cs="Times New Roman"/>
          <w:color w:val="000000"/>
          <w:szCs w:val="24"/>
        </w:rPr>
        <w:t xml:space="preserve"> agrotóxicos in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municipal </w:t>
      </w:r>
      <w:proofErr w:type="spellStart"/>
      <w:r>
        <w:rPr>
          <w:rFonts w:ascii="Times New Roman" w:hAnsi="Times New Roman" w:cs="Times New Roman"/>
          <w:color w:val="000000"/>
          <w:szCs w:val="24"/>
        </w:rPr>
        <w:t>district</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of</w:t>
      </w:r>
      <w:proofErr w:type="spellEnd"/>
      <w:r>
        <w:rPr>
          <w:rFonts w:ascii="Times New Roman" w:hAnsi="Times New Roman" w:cs="Times New Roman"/>
          <w:color w:val="000000"/>
          <w:szCs w:val="24"/>
        </w:rPr>
        <w:t xml:space="preserve"> Big </w:t>
      </w:r>
      <w:proofErr w:type="spellStart"/>
      <w:r>
        <w:rPr>
          <w:rFonts w:ascii="Times New Roman" w:hAnsi="Times New Roman" w:cs="Times New Roman"/>
          <w:color w:val="000000"/>
          <w:szCs w:val="24"/>
        </w:rPr>
        <w:t>mouth–Paraíba</w:t>
      </w:r>
      <w:proofErr w:type="spellEnd"/>
      <w:r>
        <w:rPr>
          <w:rFonts w:ascii="Times New Roman" w:hAnsi="Times New Roman" w:cs="Times New Roman"/>
          <w:color w:val="000000"/>
          <w:szCs w:val="24"/>
        </w:rPr>
        <w:t xml:space="preserve">. </w:t>
      </w:r>
    </w:p>
    <w:p w:rsidR="009F79E3" w:rsidRDefault="009F79E3" w:rsidP="009F79E3">
      <w:pPr>
        <w:autoSpaceDE w:val="0"/>
        <w:autoSpaceDN w:val="0"/>
        <w:adjustRightInd w:val="0"/>
        <w:spacing w:after="0" w:line="240" w:lineRule="auto"/>
        <w:rPr>
          <w:rFonts w:ascii="Times New Roman" w:hAnsi="Times New Roman" w:cs="Times New Roman"/>
          <w:color w:val="000000"/>
          <w:szCs w:val="24"/>
        </w:rPr>
      </w:pPr>
    </w:p>
    <w:p w:rsidR="009F79E3" w:rsidRDefault="009F79E3" w:rsidP="009F79E3">
      <w:pPr>
        <w:autoSpaceDE w:val="0"/>
        <w:autoSpaceDN w:val="0"/>
        <w:adjustRightInd w:val="0"/>
        <w:spacing w:after="0" w:line="240" w:lineRule="auto"/>
        <w:rPr>
          <w:rFonts w:ascii="Times New Roman" w:hAnsi="Times New Roman" w:cs="Times New Roman"/>
          <w:color w:val="000000"/>
          <w:szCs w:val="24"/>
        </w:rPr>
      </w:pPr>
      <w:proofErr w:type="spellStart"/>
      <w:r>
        <w:rPr>
          <w:rFonts w:ascii="Times New Roman" w:hAnsi="Times New Roman" w:cs="Times New Roman"/>
          <w:color w:val="000000"/>
          <w:szCs w:val="24"/>
        </w:rPr>
        <w:t>Word-key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Administration</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Atmosphere</w:t>
      </w:r>
      <w:proofErr w:type="spellEnd"/>
      <w:r>
        <w:rPr>
          <w:rFonts w:ascii="Times New Roman" w:hAnsi="Times New Roman" w:cs="Times New Roman"/>
          <w:color w:val="000000"/>
          <w:szCs w:val="24"/>
        </w:rPr>
        <w:t xml:space="preserve">. Agrotóxico. </w:t>
      </w:r>
      <w:proofErr w:type="spellStart"/>
      <w:r>
        <w:rPr>
          <w:rFonts w:ascii="Times New Roman" w:hAnsi="Times New Roman" w:cs="Times New Roman"/>
          <w:color w:val="000000"/>
          <w:szCs w:val="24"/>
        </w:rPr>
        <w:t>Packing</w:t>
      </w:r>
      <w:proofErr w:type="spellEnd"/>
      <w:r>
        <w:rPr>
          <w:rFonts w:ascii="Times New Roman" w:hAnsi="Times New Roman" w:cs="Times New Roman"/>
          <w:color w:val="000000"/>
          <w:szCs w:val="24"/>
        </w:rPr>
        <w:t xml:space="preserve">. </w:t>
      </w:r>
    </w:p>
    <w:p w:rsidR="009F79E3" w:rsidRDefault="009F79E3" w:rsidP="009F79E3">
      <w:pPr>
        <w:spacing w:after="0"/>
        <w:jc w:val="both"/>
        <w:rPr>
          <w:rFonts w:ascii="Times New Roman" w:hAnsi="Times New Roman" w:cs="Times New Roman"/>
          <w:b/>
        </w:rPr>
      </w:pPr>
    </w:p>
    <w:p w:rsidR="009F33B0" w:rsidRPr="001D508D" w:rsidRDefault="009F33B0" w:rsidP="001D508D">
      <w:pPr>
        <w:autoSpaceDE w:val="0"/>
        <w:autoSpaceDN w:val="0"/>
        <w:adjustRightInd w:val="0"/>
        <w:spacing w:after="0" w:line="360" w:lineRule="auto"/>
        <w:rPr>
          <w:rFonts w:ascii="Times New Roman" w:hAnsi="Times New Roman" w:cs="Times New Roman"/>
          <w:b/>
          <w:bCs/>
          <w:color w:val="000000"/>
          <w:szCs w:val="24"/>
        </w:rPr>
      </w:pPr>
      <w:r w:rsidRPr="001D508D">
        <w:rPr>
          <w:rFonts w:ascii="Times New Roman" w:hAnsi="Times New Roman" w:cs="Times New Roman"/>
          <w:b/>
          <w:bCs/>
          <w:color w:val="000000"/>
          <w:szCs w:val="24"/>
        </w:rPr>
        <w:lastRenderedPageBreak/>
        <w:t>INTRODUÇÃO</w:t>
      </w:r>
    </w:p>
    <w:p w:rsidR="00336D49" w:rsidRPr="001D508D" w:rsidRDefault="00336D49" w:rsidP="001B78D8">
      <w:pPr>
        <w:autoSpaceDE w:val="0"/>
        <w:autoSpaceDN w:val="0"/>
        <w:adjustRightInd w:val="0"/>
        <w:spacing w:after="0" w:line="360" w:lineRule="auto"/>
        <w:ind w:firstLine="709"/>
        <w:jc w:val="both"/>
        <w:rPr>
          <w:rFonts w:ascii="Times New Roman" w:hAnsi="Times New Roman" w:cs="Times New Roman"/>
          <w:szCs w:val="24"/>
        </w:rPr>
      </w:pPr>
    </w:p>
    <w:p w:rsidR="009F33B0" w:rsidRPr="001D508D" w:rsidRDefault="009F33B0" w:rsidP="001D508D">
      <w:pPr>
        <w:autoSpaceDE w:val="0"/>
        <w:autoSpaceDN w:val="0"/>
        <w:adjustRightInd w:val="0"/>
        <w:spacing w:after="0" w:line="360" w:lineRule="auto"/>
        <w:ind w:firstLine="708"/>
        <w:jc w:val="both"/>
        <w:rPr>
          <w:rFonts w:ascii="Times New Roman" w:hAnsi="Times New Roman" w:cs="Times New Roman"/>
          <w:color w:val="000000"/>
          <w:szCs w:val="24"/>
        </w:rPr>
      </w:pPr>
      <w:r w:rsidRPr="001D508D">
        <w:rPr>
          <w:rFonts w:ascii="Times New Roman" w:hAnsi="Times New Roman" w:cs="Times New Roman"/>
          <w:szCs w:val="24"/>
        </w:rPr>
        <w:t xml:space="preserve">Um dos desafios para se alcançar um ambiente sustentável é encontrar soluções para os problemas relacionados à crescente poluição do ar, contaminação da água e degradação do solo e a escassez dos recursos naturais. </w:t>
      </w:r>
      <w:r w:rsidRPr="001D508D">
        <w:rPr>
          <w:rFonts w:ascii="Times New Roman" w:hAnsi="Times New Roman" w:cs="Times New Roman"/>
          <w:color w:val="000000"/>
          <w:szCs w:val="24"/>
        </w:rPr>
        <w:t xml:space="preserve">Diante dessa nova realidade e das exigências da sociedade, mudanças têm sido observadas em todos os setores, particularmente no setor produtivo. </w:t>
      </w:r>
    </w:p>
    <w:p w:rsidR="009F33B0" w:rsidRPr="001D508D" w:rsidRDefault="009F33B0" w:rsidP="001D508D">
      <w:pPr>
        <w:autoSpaceDE w:val="0"/>
        <w:autoSpaceDN w:val="0"/>
        <w:adjustRightInd w:val="0"/>
        <w:spacing w:after="0" w:line="360" w:lineRule="auto"/>
        <w:ind w:firstLine="708"/>
        <w:jc w:val="both"/>
        <w:rPr>
          <w:rFonts w:ascii="Times New Roman" w:hAnsi="Times New Roman" w:cs="Times New Roman"/>
          <w:szCs w:val="24"/>
        </w:rPr>
      </w:pPr>
      <w:r w:rsidRPr="001D508D">
        <w:rPr>
          <w:rFonts w:ascii="Times New Roman" w:hAnsi="Times New Roman" w:cs="Times New Roman"/>
          <w:color w:val="000000"/>
          <w:szCs w:val="24"/>
        </w:rPr>
        <w:t xml:space="preserve">Dentre estes novos conceitos e ferramentas, há a perspectiva de que os produtos devam ser desenvolvidos considerando, a priori, as implicações ambientais decorrentes não apenas de seus processos produtivos, mais também dos processos de obtenção de seus insumos básicos, a minimização na geração de resíduos, e as possibilidades de equacionamento para os produtos pós-utilizados. </w:t>
      </w:r>
    </w:p>
    <w:p w:rsidR="009F33B0" w:rsidRPr="001D508D" w:rsidRDefault="009F33B0" w:rsidP="001D508D">
      <w:pPr>
        <w:autoSpaceDE w:val="0"/>
        <w:autoSpaceDN w:val="0"/>
        <w:adjustRightInd w:val="0"/>
        <w:spacing w:after="0" w:line="360" w:lineRule="auto"/>
        <w:ind w:firstLine="709"/>
        <w:jc w:val="both"/>
        <w:rPr>
          <w:rFonts w:ascii="Times New Roman" w:hAnsi="Times New Roman" w:cs="Times New Roman"/>
          <w:szCs w:val="24"/>
        </w:rPr>
      </w:pPr>
      <w:r w:rsidRPr="001D508D">
        <w:rPr>
          <w:rFonts w:ascii="Times New Roman" w:hAnsi="Times New Roman" w:cs="Times New Roman"/>
          <w:szCs w:val="24"/>
        </w:rPr>
        <w:t>Neste contexto, surge o sistema Campo Limpo do Instituto Nacional</w:t>
      </w:r>
      <w:r w:rsidR="00A450F9" w:rsidRPr="001D508D">
        <w:rPr>
          <w:rFonts w:ascii="Times New Roman" w:hAnsi="Times New Roman" w:cs="Times New Roman"/>
          <w:szCs w:val="24"/>
        </w:rPr>
        <w:t xml:space="preserve"> de Processamento de Embalagens Vazias</w:t>
      </w:r>
      <w:r w:rsidRPr="001D508D">
        <w:rPr>
          <w:rFonts w:ascii="Times New Roman" w:hAnsi="Times New Roman" w:cs="Times New Roman"/>
          <w:szCs w:val="24"/>
        </w:rPr>
        <w:t xml:space="preserve"> </w:t>
      </w:r>
      <w:r w:rsidR="004017CB" w:rsidRPr="001D508D">
        <w:rPr>
          <w:rFonts w:ascii="Times New Roman" w:hAnsi="Times New Roman" w:cs="Times New Roman"/>
          <w:szCs w:val="24"/>
        </w:rPr>
        <w:t>(</w:t>
      </w:r>
      <w:proofErr w:type="spellStart"/>
      <w:proofErr w:type="gramStart"/>
      <w:r w:rsidRPr="001D508D">
        <w:rPr>
          <w:rFonts w:ascii="Times New Roman" w:hAnsi="Times New Roman" w:cs="Times New Roman"/>
          <w:szCs w:val="24"/>
        </w:rPr>
        <w:t>INPEv</w:t>
      </w:r>
      <w:proofErr w:type="spellEnd"/>
      <w:proofErr w:type="gramEnd"/>
      <w:r w:rsidR="004017CB" w:rsidRPr="001D508D">
        <w:rPr>
          <w:rFonts w:ascii="Times New Roman" w:hAnsi="Times New Roman" w:cs="Times New Roman"/>
          <w:szCs w:val="24"/>
        </w:rPr>
        <w:t>, 2010)</w:t>
      </w:r>
      <w:r w:rsidRPr="001D508D">
        <w:rPr>
          <w:rFonts w:ascii="Times New Roman" w:hAnsi="Times New Roman" w:cs="Times New Roman"/>
          <w:szCs w:val="24"/>
        </w:rPr>
        <w:t xml:space="preserve">,  através da </w:t>
      </w:r>
      <w:r w:rsidRPr="001D508D">
        <w:rPr>
          <w:rFonts w:ascii="Times New Roman" w:hAnsi="Times New Roman" w:cs="Times New Roman"/>
          <w:bCs/>
          <w:szCs w:val="24"/>
        </w:rPr>
        <w:t>logística reversa de embalagens de agrotóxicos</w:t>
      </w:r>
      <w:r w:rsidRPr="001D508D">
        <w:rPr>
          <w:rFonts w:ascii="Times New Roman" w:hAnsi="Times New Roman" w:cs="Times New Roman"/>
          <w:b/>
          <w:bCs/>
          <w:szCs w:val="24"/>
        </w:rPr>
        <w:t xml:space="preserve"> </w:t>
      </w:r>
      <w:r w:rsidRPr="001D508D">
        <w:rPr>
          <w:rFonts w:ascii="Times New Roman" w:hAnsi="Times New Roman" w:cs="Times New Roman"/>
          <w:szCs w:val="24"/>
        </w:rPr>
        <w:t xml:space="preserve">como elemento fundamental para os projetos do meio ambiente, pois trata do fluxo reverso dos produtos e resíduos, enquanto a “logística tradicional” trata de processos de planejamentos, controle de fluxo, estoque de matérias primas, entre outros aspectos da produção. </w:t>
      </w:r>
    </w:p>
    <w:p w:rsidR="00113E07" w:rsidRPr="001D508D" w:rsidRDefault="00A450F9" w:rsidP="001D508D">
      <w:pPr>
        <w:autoSpaceDE w:val="0"/>
        <w:autoSpaceDN w:val="0"/>
        <w:adjustRightInd w:val="0"/>
        <w:spacing w:after="0" w:line="360" w:lineRule="auto"/>
        <w:ind w:firstLine="708"/>
        <w:jc w:val="both"/>
        <w:rPr>
          <w:rFonts w:ascii="Times New Roman" w:hAnsi="Times New Roman" w:cs="Times New Roman"/>
          <w:color w:val="000000"/>
          <w:szCs w:val="24"/>
        </w:rPr>
      </w:pPr>
      <w:r w:rsidRPr="001D508D">
        <w:rPr>
          <w:rFonts w:ascii="Times New Roman" w:hAnsi="Times New Roman" w:cs="Times New Roman"/>
          <w:szCs w:val="24"/>
        </w:rPr>
        <w:t xml:space="preserve">Diante do exposto, os objetivos deste estudo </w:t>
      </w:r>
      <w:r w:rsidR="00113E07" w:rsidRPr="001D508D">
        <w:rPr>
          <w:rFonts w:ascii="Times New Roman" w:hAnsi="Times New Roman" w:cs="Times New Roman"/>
          <w:szCs w:val="24"/>
        </w:rPr>
        <w:t>consistem em d</w:t>
      </w:r>
      <w:r w:rsidRPr="001D508D">
        <w:rPr>
          <w:rFonts w:ascii="Times New Roman" w:hAnsi="Times New Roman" w:cs="Times New Roman"/>
          <w:szCs w:val="24"/>
        </w:rPr>
        <w:t xml:space="preserve">iagnosticar </w:t>
      </w:r>
      <w:r w:rsidRPr="001D508D">
        <w:rPr>
          <w:rFonts w:ascii="Times New Roman" w:hAnsi="Times New Roman" w:cs="Times New Roman"/>
          <w:color w:val="000000"/>
          <w:szCs w:val="24"/>
        </w:rPr>
        <w:t xml:space="preserve">o destino final dado as embalagens vazias de produtos </w:t>
      </w:r>
      <w:proofErr w:type="gramStart"/>
      <w:r w:rsidRPr="001D508D">
        <w:rPr>
          <w:rFonts w:ascii="Times New Roman" w:hAnsi="Times New Roman" w:cs="Times New Roman"/>
          <w:color w:val="000000"/>
          <w:szCs w:val="24"/>
        </w:rPr>
        <w:t>agrotóxicos utilizadas</w:t>
      </w:r>
      <w:proofErr w:type="gramEnd"/>
      <w:r w:rsidRPr="001D508D">
        <w:rPr>
          <w:rFonts w:ascii="Times New Roman" w:hAnsi="Times New Roman" w:cs="Times New Roman"/>
          <w:color w:val="000000"/>
          <w:szCs w:val="24"/>
        </w:rPr>
        <w:t xml:space="preserve"> pelos produtores rurais do açude público Epitácio Pessoa em Boqueirão – Paraíba</w:t>
      </w:r>
      <w:r w:rsidR="00113E07" w:rsidRPr="001D508D">
        <w:rPr>
          <w:rFonts w:ascii="Times New Roman" w:hAnsi="Times New Roman" w:cs="Times New Roman"/>
          <w:color w:val="000000"/>
          <w:szCs w:val="24"/>
        </w:rPr>
        <w:t xml:space="preserve"> a fim de p</w:t>
      </w:r>
      <w:r w:rsidR="00113E07" w:rsidRPr="001D508D">
        <w:rPr>
          <w:rFonts w:ascii="Times New Roman" w:hAnsi="Times New Roman" w:cs="Times New Roman"/>
          <w:szCs w:val="24"/>
        </w:rPr>
        <w:t xml:space="preserve">ropor ações mitigadoras que venham minimizar os impactos ambientais adversos devido ao destino final incorreto dado pelos produtores rurais com relação </w:t>
      </w:r>
      <w:r w:rsidR="00113E07" w:rsidRPr="001D508D">
        <w:rPr>
          <w:rFonts w:ascii="Times New Roman" w:hAnsi="Times New Roman" w:cs="Times New Roman"/>
          <w:color w:val="000000"/>
          <w:szCs w:val="24"/>
        </w:rPr>
        <w:t xml:space="preserve">as embalagens vazias de produtos agrotóxicos. </w:t>
      </w:r>
    </w:p>
    <w:p w:rsidR="009F33B0" w:rsidRPr="001D508D" w:rsidRDefault="00113E07" w:rsidP="001D508D">
      <w:pPr>
        <w:autoSpaceDE w:val="0"/>
        <w:autoSpaceDN w:val="0"/>
        <w:adjustRightInd w:val="0"/>
        <w:spacing w:after="0" w:line="360" w:lineRule="auto"/>
        <w:ind w:firstLine="709"/>
        <w:jc w:val="both"/>
        <w:rPr>
          <w:rFonts w:ascii="Times New Roman" w:hAnsi="Times New Roman" w:cs="Times New Roman"/>
          <w:color w:val="000000"/>
          <w:szCs w:val="24"/>
        </w:rPr>
      </w:pPr>
      <w:r w:rsidRPr="001D508D">
        <w:rPr>
          <w:rFonts w:ascii="Times New Roman" w:hAnsi="Times New Roman" w:cs="Times New Roman"/>
          <w:szCs w:val="24"/>
        </w:rPr>
        <w:t xml:space="preserve">  </w:t>
      </w:r>
    </w:p>
    <w:p w:rsidR="009F33B0" w:rsidRPr="001D508D" w:rsidRDefault="0019035C" w:rsidP="001D508D">
      <w:pPr>
        <w:autoSpaceDE w:val="0"/>
        <w:autoSpaceDN w:val="0"/>
        <w:adjustRightInd w:val="0"/>
        <w:spacing w:after="0" w:line="360" w:lineRule="auto"/>
        <w:rPr>
          <w:rFonts w:ascii="Times New Roman" w:hAnsi="Times New Roman" w:cs="Times New Roman"/>
          <w:b/>
          <w:bCs/>
          <w:color w:val="000000"/>
          <w:szCs w:val="24"/>
        </w:rPr>
      </w:pPr>
      <w:proofErr w:type="gramStart"/>
      <w:r>
        <w:rPr>
          <w:rFonts w:ascii="Times New Roman" w:hAnsi="Times New Roman" w:cs="Times New Roman"/>
          <w:b/>
          <w:bCs/>
          <w:color w:val="000000"/>
          <w:szCs w:val="24"/>
        </w:rPr>
        <w:t>1</w:t>
      </w:r>
      <w:proofErr w:type="gramEnd"/>
      <w:r w:rsidR="009F33B0" w:rsidRPr="001D508D">
        <w:rPr>
          <w:rFonts w:ascii="Times New Roman" w:hAnsi="Times New Roman" w:cs="Times New Roman"/>
          <w:b/>
          <w:bCs/>
          <w:color w:val="000000"/>
          <w:szCs w:val="24"/>
        </w:rPr>
        <w:t xml:space="preserve"> REFERENCIAL TEÓRICO</w:t>
      </w:r>
    </w:p>
    <w:p w:rsidR="00F70429" w:rsidRPr="001D508D" w:rsidRDefault="00F70429" w:rsidP="001D508D">
      <w:pPr>
        <w:spacing w:after="0" w:line="360" w:lineRule="auto"/>
        <w:jc w:val="both"/>
        <w:rPr>
          <w:rFonts w:ascii="Times New Roman" w:hAnsi="Times New Roman" w:cs="Times New Roman"/>
          <w:b/>
          <w:szCs w:val="24"/>
        </w:rPr>
      </w:pPr>
    </w:p>
    <w:p w:rsidR="00F70429" w:rsidRDefault="0019035C" w:rsidP="001D508D">
      <w:pPr>
        <w:spacing w:line="360" w:lineRule="auto"/>
        <w:jc w:val="both"/>
        <w:rPr>
          <w:rFonts w:ascii="Times New Roman" w:hAnsi="Times New Roman" w:cs="Times New Roman"/>
          <w:szCs w:val="24"/>
        </w:rPr>
      </w:pPr>
      <w:r>
        <w:rPr>
          <w:rFonts w:ascii="Times New Roman" w:hAnsi="Times New Roman" w:cs="Times New Roman"/>
          <w:szCs w:val="24"/>
        </w:rPr>
        <w:t>1</w:t>
      </w:r>
      <w:r w:rsidR="00F70429" w:rsidRPr="008A58A7">
        <w:rPr>
          <w:rFonts w:ascii="Times New Roman" w:hAnsi="Times New Roman" w:cs="Times New Roman"/>
          <w:szCs w:val="24"/>
        </w:rPr>
        <w:t>.1. RESÍDUOS SÓLIDOS</w:t>
      </w:r>
    </w:p>
    <w:p w:rsidR="001B78D8" w:rsidRPr="008A58A7" w:rsidRDefault="001B78D8" w:rsidP="001B78D8">
      <w:pPr>
        <w:spacing w:after="0" w:line="360" w:lineRule="auto"/>
        <w:jc w:val="both"/>
        <w:rPr>
          <w:rFonts w:ascii="Times New Roman" w:hAnsi="Times New Roman" w:cs="Times New Roman"/>
          <w:szCs w:val="24"/>
        </w:rPr>
      </w:pPr>
    </w:p>
    <w:p w:rsidR="00F70429" w:rsidRPr="001D508D" w:rsidRDefault="00F70429" w:rsidP="001D508D">
      <w:pPr>
        <w:pStyle w:val="NormalWeb"/>
        <w:spacing w:before="0" w:beforeAutospacing="0" w:after="0" w:afterAutospacing="0" w:line="360" w:lineRule="auto"/>
        <w:ind w:right="45" w:firstLine="851"/>
        <w:jc w:val="both"/>
      </w:pPr>
      <w:r w:rsidRPr="001D508D">
        <w:t>O</w:t>
      </w:r>
      <w:r w:rsidRPr="001D508D">
        <w:rPr>
          <w:b/>
        </w:rPr>
        <w:t xml:space="preserve"> </w:t>
      </w:r>
      <w:r w:rsidRPr="001D508D">
        <w:rPr>
          <w:bCs/>
        </w:rPr>
        <w:t>termo</w:t>
      </w:r>
      <w:r w:rsidRPr="001D508D">
        <w:t xml:space="preserve"> resíduo sólido, quase sempre sinônimo de lixo, deriva do latim “</w:t>
      </w:r>
      <w:proofErr w:type="spellStart"/>
      <w:r w:rsidRPr="001D508D">
        <w:rPr>
          <w:i/>
          <w:iCs/>
        </w:rPr>
        <w:t>residuu</w:t>
      </w:r>
      <w:proofErr w:type="spellEnd"/>
      <w:r w:rsidRPr="001D508D">
        <w:rPr>
          <w:i/>
          <w:iCs/>
        </w:rPr>
        <w:t xml:space="preserve">” </w:t>
      </w:r>
      <w:r w:rsidRPr="001D508D">
        <w:t>e quer dizer sobra de substâncias, acrescido de sólido para se diferenciar de resíduos líquidos ou gasosos.</w:t>
      </w:r>
    </w:p>
    <w:p w:rsidR="00F70429" w:rsidRPr="001D508D" w:rsidRDefault="00F70429" w:rsidP="001D508D">
      <w:pPr>
        <w:pStyle w:val="NormalWeb"/>
        <w:spacing w:before="0" w:beforeAutospacing="0" w:after="0" w:afterAutospacing="0" w:line="360" w:lineRule="auto"/>
        <w:ind w:right="45" w:firstLine="851"/>
        <w:jc w:val="both"/>
      </w:pPr>
      <w:r w:rsidRPr="001D508D">
        <w:t xml:space="preserve">No </w:t>
      </w:r>
      <w:r w:rsidRPr="001D508D">
        <w:rPr>
          <w:bCs/>
        </w:rPr>
        <w:t>entendimento</w:t>
      </w:r>
      <w:r w:rsidRPr="001D508D">
        <w:t xml:space="preserve"> de </w:t>
      </w:r>
      <w:proofErr w:type="spellStart"/>
      <w:r w:rsidRPr="001D508D">
        <w:t>Calderoni</w:t>
      </w:r>
      <w:proofErr w:type="spellEnd"/>
      <w:r w:rsidRPr="001D508D">
        <w:t xml:space="preserve"> (1999), o termo lixo ou resíduo varia de acordo com a época e o lugar e depende de determinantes econômicos, jurídicos, ambientais, sociais e </w:t>
      </w:r>
      <w:r w:rsidRPr="001D508D">
        <w:lastRenderedPageBreak/>
        <w:t>tecnológicos. Nos procedimentos produtivos industriais se emprega, em geral, “resíduo”, como significado de “rejeito” ou “refugo”.</w:t>
      </w:r>
    </w:p>
    <w:p w:rsidR="00F70429" w:rsidRPr="001D508D" w:rsidRDefault="00F70429" w:rsidP="001D508D">
      <w:pPr>
        <w:pStyle w:val="NormalWeb"/>
        <w:spacing w:before="0" w:beforeAutospacing="0" w:after="0" w:afterAutospacing="0" w:line="360" w:lineRule="auto"/>
        <w:ind w:right="45" w:firstLine="851"/>
        <w:jc w:val="both"/>
        <w:rPr>
          <w:iCs/>
        </w:rPr>
      </w:pPr>
      <w:r w:rsidRPr="001D508D">
        <w:t xml:space="preserve">O IPT/CEMPRE (2000) considera resíduo sólido a sobra de qualquer atividade humana, seja de origem doméstica, comercial, industrial, de serviços de saúde e da construção civil, nestes incluídos os resíduos agrícolas, que representam grande inquietação, tendo em vista o descarte de embalagens contendo substâncias perigosas. </w:t>
      </w:r>
    </w:p>
    <w:p w:rsidR="00F70429" w:rsidRPr="001D508D" w:rsidRDefault="00F70429" w:rsidP="001D508D">
      <w:pPr>
        <w:pStyle w:val="NormalWeb"/>
        <w:spacing w:before="0" w:beforeAutospacing="0" w:after="0" w:afterAutospacing="0" w:line="360" w:lineRule="auto"/>
        <w:ind w:right="45" w:firstLine="851"/>
        <w:jc w:val="both"/>
      </w:pPr>
      <w:r w:rsidRPr="001D508D">
        <w:rPr>
          <w:bCs/>
        </w:rPr>
        <w:t>Tecnicamente</w:t>
      </w:r>
      <w:r w:rsidRPr="001D508D">
        <w:t xml:space="preserve">, a NBR10004/2004 (ABNT, 2004), conceitua Resíduo Sólido como: “[...] resíduos nos estados sólidos e </w:t>
      </w:r>
      <w:proofErr w:type="spellStart"/>
      <w:proofErr w:type="gramStart"/>
      <w:r w:rsidRPr="001D508D">
        <w:t>semi-sólidos</w:t>
      </w:r>
      <w:proofErr w:type="spellEnd"/>
      <w:proofErr w:type="gramEnd"/>
      <w:r w:rsidRPr="001D508D">
        <w:t xml:space="preserve"> que resultam da atividade da comunidade de origem industrial, doméstica, hospitalar, comercial, agrícola, de serviços e de varrição. Considera-se também, resíduo sólido os lodos provenientes de sistemas de tratamento de água, aqueles gerados em equipamentos instalações de controle de poluição, bem como determinados líquidos cujas particularidades tornam inviável o seu lançamento na rede publica de esgotos ou corpos d’água, ou exijam, para isso, soluções técnicas e economicamente inviáveis, em face da melhor tecnologia disponível. “</w:t>
      </w:r>
    </w:p>
    <w:p w:rsidR="00F70429" w:rsidRDefault="00F70429" w:rsidP="001D508D">
      <w:pPr>
        <w:pStyle w:val="NormalWeb"/>
        <w:spacing w:before="0" w:beforeAutospacing="0" w:after="0" w:afterAutospacing="0" w:line="360" w:lineRule="auto"/>
        <w:ind w:right="45" w:firstLine="851"/>
        <w:jc w:val="both"/>
        <w:rPr>
          <w:b/>
        </w:rPr>
      </w:pPr>
      <w:r w:rsidRPr="001D508D">
        <w:rPr>
          <w:bCs/>
        </w:rPr>
        <w:t>Independentemente</w:t>
      </w:r>
      <w:r w:rsidRPr="001D508D">
        <w:t xml:space="preserve"> da designação, o fato é que a temática envolvendo essas palavras se destaca em nível global como uma das mais sérias realidades com as quais os seres humanos têm convivido desde a época da Revolução Industrial, tendo em vista a cumulatividade dos danos causados ao meio ambiente e as populações como um todo. </w:t>
      </w:r>
      <w:r w:rsidRPr="001D508D">
        <w:rPr>
          <w:b/>
        </w:rPr>
        <w:tab/>
      </w:r>
    </w:p>
    <w:p w:rsidR="008A58A7" w:rsidRDefault="008A58A7" w:rsidP="008A58A7">
      <w:pPr>
        <w:pStyle w:val="Ttulo1"/>
        <w:rPr>
          <w:b w:val="0"/>
          <w:bCs w:val="0"/>
          <w:color w:val="000000"/>
          <w:kern w:val="0"/>
          <w:szCs w:val="24"/>
        </w:rPr>
      </w:pPr>
    </w:p>
    <w:p w:rsidR="00F70429" w:rsidRPr="008A58A7" w:rsidRDefault="0019035C" w:rsidP="008A58A7">
      <w:pPr>
        <w:pStyle w:val="Ttulo1"/>
        <w:rPr>
          <w:b w:val="0"/>
          <w:i/>
          <w:szCs w:val="24"/>
        </w:rPr>
      </w:pPr>
      <w:r>
        <w:rPr>
          <w:b w:val="0"/>
          <w:i/>
          <w:szCs w:val="24"/>
        </w:rPr>
        <w:t>1</w:t>
      </w:r>
      <w:r w:rsidR="00F70429" w:rsidRPr="008A58A7">
        <w:rPr>
          <w:b w:val="0"/>
          <w:i/>
          <w:szCs w:val="24"/>
        </w:rPr>
        <w:t>.1.1. O</w:t>
      </w:r>
      <w:r w:rsidR="008A58A7">
        <w:rPr>
          <w:b w:val="0"/>
          <w:i/>
          <w:szCs w:val="24"/>
        </w:rPr>
        <w:t>RIGEM</w:t>
      </w:r>
      <w:proofErr w:type="gramStart"/>
      <w:r w:rsidR="008A58A7">
        <w:rPr>
          <w:b w:val="0"/>
          <w:i/>
          <w:szCs w:val="24"/>
        </w:rPr>
        <w:t xml:space="preserve">  </w:t>
      </w:r>
      <w:proofErr w:type="gramEnd"/>
      <w:r w:rsidR="008A58A7">
        <w:rPr>
          <w:b w:val="0"/>
          <w:i/>
          <w:szCs w:val="24"/>
        </w:rPr>
        <w:t xml:space="preserve">E CLASSIFICAÇÃO DOS RESÍDUOS SÓLIDOS </w:t>
      </w:r>
    </w:p>
    <w:p w:rsidR="00F70429" w:rsidRPr="001D508D" w:rsidRDefault="00F70429" w:rsidP="001D508D">
      <w:pPr>
        <w:pStyle w:val="NormalWeb"/>
        <w:spacing w:before="0" w:beforeAutospacing="0" w:after="0" w:afterAutospacing="0" w:line="360" w:lineRule="auto"/>
        <w:ind w:right="45"/>
        <w:jc w:val="both"/>
        <w:rPr>
          <w:bCs/>
        </w:rPr>
      </w:pPr>
    </w:p>
    <w:p w:rsidR="00F70429" w:rsidRPr="001D508D" w:rsidRDefault="00F70429" w:rsidP="001D508D">
      <w:pPr>
        <w:pStyle w:val="NormalWeb"/>
        <w:spacing w:before="0" w:beforeAutospacing="0" w:after="0" w:afterAutospacing="0" w:line="360" w:lineRule="auto"/>
        <w:ind w:right="45" w:firstLine="851"/>
        <w:jc w:val="both"/>
      </w:pPr>
      <w:r w:rsidRPr="001D508D">
        <w:rPr>
          <w:bCs/>
        </w:rPr>
        <w:t>Muitas</w:t>
      </w:r>
      <w:r w:rsidRPr="001D508D">
        <w:t xml:space="preserve"> são as formas possíveis de se classificar os Resíduos Sólidos: Por sua natureza física: secos e molhados; Por sua composição química: matéria orgânica e inorgânica. </w:t>
      </w:r>
      <w:r w:rsidRPr="001D508D">
        <w:rPr>
          <w:bCs/>
        </w:rPr>
        <w:t>Contudo</w:t>
      </w:r>
      <w:r w:rsidRPr="001D508D">
        <w:t xml:space="preserve">, quanto à origem a ABNT (2004) /NBR 10004, assim considera: </w:t>
      </w:r>
    </w:p>
    <w:p w:rsidR="00F70429" w:rsidRPr="001D508D" w:rsidRDefault="00F70429" w:rsidP="001D508D">
      <w:pPr>
        <w:pStyle w:val="NormalWeb"/>
        <w:spacing w:before="0" w:beforeAutospacing="0" w:after="0" w:afterAutospacing="0" w:line="360" w:lineRule="auto"/>
        <w:ind w:right="45" w:firstLine="851"/>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6763"/>
      </w:tblGrid>
      <w:tr w:rsidR="00F70429" w:rsidRPr="001D508D" w:rsidTr="00A765D9">
        <w:tc>
          <w:tcPr>
            <w:tcW w:w="2448" w:type="dxa"/>
          </w:tcPr>
          <w:p w:rsidR="00F70429" w:rsidRPr="001D508D" w:rsidRDefault="00F70429" w:rsidP="001D508D">
            <w:pPr>
              <w:pStyle w:val="NormalWeb"/>
              <w:spacing w:before="60" w:beforeAutospacing="0" w:after="60" w:afterAutospacing="0" w:line="360" w:lineRule="auto"/>
              <w:ind w:right="45"/>
              <w:jc w:val="center"/>
              <w:rPr>
                <w:b/>
              </w:rPr>
            </w:pPr>
            <w:r w:rsidRPr="001D508D">
              <w:rPr>
                <w:b/>
              </w:rPr>
              <w:t>ORIGEM</w:t>
            </w:r>
          </w:p>
        </w:tc>
        <w:tc>
          <w:tcPr>
            <w:tcW w:w="6763" w:type="dxa"/>
          </w:tcPr>
          <w:p w:rsidR="00F70429" w:rsidRPr="001D508D" w:rsidRDefault="00F70429" w:rsidP="001D508D">
            <w:pPr>
              <w:pStyle w:val="NormalWeb"/>
              <w:spacing w:before="60" w:beforeAutospacing="0" w:after="60" w:afterAutospacing="0" w:line="360" w:lineRule="auto"/>
              <w:ind w:right="45"/>
              <w:jc w:val="center"/>
              <w:rPr>
                <w:b/>
              </w:rPr>
            </w:pPr>
            <w:r w:rsidRPr="001D508D">
              <w:rPr>
                <w:b/>
              </w:rPr>
              <w:t>CARACTERÍSTICAS</w:t>
            </w:r>
          </w:p>
        </w:tc>
      </w:tr>
      <w:tr w:rsidR="00F70429" w:rsidRPr="001D508D" w:rsidTr="00A765D9">
        <w:trPr>
          <w:trHeight w:val="794"/>
        </w:trPr>
        <w:tc>
          <w:tcPr>
            <w:tcW w:w="244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Domiciliar</w:t>
            </w:r>
          </w:p>
        </w:tc>
        <w:tc>
          <w:tcPr>
            <w:tcW w:w="676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Resíduos provenientes das residências, constituído por restos de alimentos, produtos deteriorados, embalagens em geral, papeis, jornais etc.</w:t>
            </w:r>
          </w:p>
        </w:tc>
      </w:tr>
      <w:tr w:rsidR="00F70429" w:rsidRPr="001D508D" w:rsidTr="00A765D9">
        <w:trPr>
          <w:trHeight w:val="794"/>
        </w:trPr>
        <w:tc>
          <w:tcPr>
            <w:tcW w:w="244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Comercial</w:t>
            </w:r>
          </w:p>
        </w:tc>
        <w:tc>
          <w:tcPr>
            <w:tcW w:w="6763" w:type="dxa"/>
            <w:vAlign w:val="center"/>
          </w:tcPr>
          <w:p w:rsidR="00F70429" w:rsidRPr="001D508D" w:rsidRDefault="00F70429" w:rsidP="001D508D">
            <w:pPr>
              <w:autoSpaceDE w:val="0"/>
              <w:autoSpaceDN w:val="0"/>
              <w:adjustRightInd w:val="0"/>
              <w:spacing w:before="60" w:after="60" w:line="360" w:lineRule="auto"/>
              <w:ind w:left="72" w:right="175"/>
              <w:jc w:val="both"/>
              <w:rPr>
                <w:rFonts w:ascii="Times New Roman" w:hAnsi="Times New Roman" w:cs="Times New Roman"/>
                <w:szCs w:val="24"/>
              </w:rPr>
            </w:pPr>
            <w:r w:rsidRPr="001D508D">
              <w:rPr>
                <w:rFonts w:ascii="Times New Roman" w:hAnsi="Times New Roman" w:cs="Times New Roman"/>
                <w:szCs w:val="24"/>
              </w:rPr>
              <w:t>São os resíduos originados nos diversos estabelecimentos comerciais de serviços, tais como supermercados, bancos, lojas, restaurantes etc.</w:t>
            </w:r>
          </w:p>
        </w:tc>
      </w:tr>
      <w:tr w:rsidR="00F70429" w:rsidRPr="001D508D" w:rsidTr="00A765D9">
        <w:trPr>
          <w:trHeight w:val="794"/>
        </w:trPr>
        <w:tc>
          <w:tcPr>
            <w:tcW w:w="244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lastRenderedPageBreak/>
              <w:t>Público</w:t>
            </w:r>
          </w:p>
        </w:tc>
        <w:tc>
          <w:tcPr>
            <w:tcW w:w="676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São aqueles originados nos serviços de limpeza urbana publica.</w:t>
            </w:r>
          </w:p>
        </w:tc>
      </w:tr>
      <w:tr w:rsidR="00F70429" w:rsidRPr="001D508D" w:rsidTr="00A765D9">
        <w:trPr>
          <w:trHeight w:val="794"/>
        </w:trPr>
        <w:tc>
          <w:tcPr>
            <w:tcW w:w="244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Serviços de saúde</w:t>
            </w:r>
          </w:p>
        </w:tc>
        <w:tc>
          <w:tcPr>
            <w:tcW w:w="676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Resíduos provenientes de hospitais, clínicas médicas ou odontológicas, laboratórios, farmácias etc., são potencialmente perigosos, pois podem conter materiais contaminados.</w:t>
            </w:r>
          </w:p>
        </w:tc>
      </w:tr>
      <w:tr w:rsidR="00F70429" w:rsidRPr="001D508D" w:rsidTr="00A765D9">
        <w:trPr>
          <w:trHeight w:val="794"/>
        </w:trPr>
        <w:tc>
          <w:tcPr>
            <w:tcW w:w="244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Industriais</w:t>
            </w:r>
          </w:p>
        </w:tc>
        <w:tc>
          <w:tcPr>
            <w:tcW w:w="6763" w:type="dxa"/>
            <w:vAlign w:val="center"/>
          </w:tcPr>
          <w:p w:rsidR="00F70429" w:rsidRPr="001D508D" w:rsidRDefault="00F70429" w:rsidP="001D508D">
            <w:pPr>
              <w:autoSpaceDE w:val="0"/>
              <w:autoSpaceDN w:val="0"/>
              <w:adjustRightInd w:val="0"/>
              <w:spacing w:before="60" w:after="60" w:line="360" w:lineRule="auto"/>
              <w:ind w:left="72" w:right="175"/>
              <w:jc w:val="both"/>
              <w:rPr>
                <w:rFonts w:ascii="Times New Roman" w:hAnsi="Times New Roman" w:cs="Times New Roman"/>
                <w:szCs w:val="24"/>
              </w:rPr>
            </w:pPr>
            <w:r w:rsidRPr="001D508D">
              <w:rPr>
                <w:rFonts w:ascii="Times New Roman" w:hAnsi="Times New Roman" w:cs="Times New Roman"/>
                <w:szCs w:val="24"/>
              </w:rPr>
              <w:t>São os resultantes de processos industriais. O tipo de lixo varia de acordo com o ramo da atividade industrial</w:t>
            </w:r>
          </w:p>
        </w:tc>
      </w:tr>
      <w:tr w:rsidR="00F70429" w:rsidRPr="001D508D" w:rsidTr="00A765D9">
        <w:trPr>
          <w:trHeight w:val="794"/>
        </w:trPr>
        <w:tc>
          <w:tcPr>
            <w:tcW w:w="244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Agrícola</w:t>
            </w:r>
          </w:p>
        </w:tc>
        <w:tc>
          <w:tcPr>
            <w:tcW w:w="676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Resulta de atividades da agricultura e da pecuária. É constituído por embalagens de agrotóxicos, rações, adubos, restos de colheitas, dejetos da criação de animais, etc.</w:t>
            </w:r>
          </w:p>
        </w:tc>
      </w:tr>
      <w:tr w:rsidR="00F70429" w:rsidRPr="001D508D" w:rsidTr="00A765D9">
        <w:trPr>
          <w:trHeight w:val="794"/>
        </w:trPr>
        <w:tc>
          <w:tcPr>
            <w:tcW w:w="2448" w:type="dxa"/>
            <w:tcBorders>
              <w:bottom w:val="single" w:sz="8" w:space="0" w:color="000000"/>
            </w:tcBorders>
            <w:vAlign w:val="center"/>
          </w:tcPr>
          <w:p w:rsidR="00F70429" w:rsidRPr="001D508D" w:rsidRDefault="00F70429" w:rsidP="001D508D">
            <w:pPr>
              <w:pStyle w:val="NormalWeb"/>
              <w:spacing w:before="60" w:beforeAutospacing="0" w:after="60" w:afterAutospacing="0" w:line="360" w:lineRule="auto"/>
              <w:ind w:right="45"/>
              <w:jc w:val="center"/>
            </w:pPr>
            <w:r w:rsidRPr="001D508D">
              <w:t>Entulho</w:t>
            </w:r>
          </w:p>
        </w:tc>
        <w:tc>
          <w:tcPr>
            <w:tcW w:w="6763" w:type="dxa"/>
            <w:tcBorders>
              <w:bottom w:val="single" w:sz="8" w:space="0" w:color="000000"/>
            </w:tcBorders>
            <w:vAlign w:val="center"/>
          </w:tcPr>
          <w:p w:rsidR="00F70429" w:rsidRPr="001D508D" w:rsidRDefault="00F70429" w:rsidP="001D508D">
            <w:pPr>
              <w:pStyle w:val="NormalWeb"/>
              <w:spacing w:before="60" w:beforeAutospacing="0" w:after="60" w:afterAutospacing="0" w:line="360" w:lineRule="auto"/>
              <w:ind w:left="72" w:right="175"/>
              <w:jc w:val="both"/>
            </w:pPr>
            <w:r w:rsidRPr="001D508D">
              <w:t xml:space="preserve">Resto da construção civil, reformas, demolições, </w:t>
            </w:r>
            <w:proofErr w:type="spellStart"/>
            <w:proofErr w:type="gramStart"/>
            <w:r w:rsidRPr="001D508D">
              <w:t>etc</w:t>
            </w:r>
            <w:proofErr w:type="spellEnd"/>
            <w:proofErr w:type="gramEnd"/>
          </w:p>
        </w:tc>
      </w:tr>
      <w:tr w:rsidR="00F70429" w:rsidRPr="001D508D" w:rsidTr="00A765D9">
        <w:tc>
          <w:tcPr>
            <w:tcW w:w="9211" w:type="dxa"/>
            <w:gridSpan w:val="2"/>
            <w:tcBorders>
              <w:top w:val="single" w:sz="8" w:space="0" w:color="000000"/>
              <w:left w:val="nil"/>
              <w:bottom w:val="nil"/>
              <w:right w:val="nil"/>
            </w:tcBorders>
            <w:vAlign w:val="center"/>
          </w:tcPr>
          <w:p w:rsidR="00F70429" w:rsidRPr="001D508D" w:rsidRDefault="00F70429" w:rsidP="001D508D">
            <w:pPr>
              <w:autoSpaceDE w:val="0"/>
              <w:autoSpaceDN w:val="0"/>
              <w:adjustRightInd w:val="0"/>
              <w:spacing w:before="60" w:after="0" w:line="240" w:lineRule="auto"/>
              <w:rPr>
                <w:rFonts w:ascii="Times New Roman" w:hAnsi="Times New Roman" w:cs="Times New Roman"/>
                <w:szCs w:val="22"/>
              </w:rPr>
            </w:pPr>
            <w:r w:rsidRPr="001D508D">
              <w:rPr>
                <w:rFonts w:ascii="Times New Roman" w:hAnsi="Times New Roman" w:cs="Times New Roman"/>
                <w:sz w:val="22"/>
                <w:szCs w:val="22"/>
              </w:rPr>
              <w:t>Quadro 1 - Classificação dos resíduos quanto à origem.</w:t>
            </w:r>
          </w:p>
          <w:p w:rsidR="00F70429" w:rsidRPr="001D508D" w:rsidRDefault="00F70429" w:rsidP="001D508D">
            <w:pPr>
              <w:autoSpaceDE w:val="0"/>
              <w:autoSpaceDN w:val="0"/>
              <w:adjustRightInd w:val="0"/>
              <w:spacing w:after="0" w:line="240" w:lineRule="auto"/>
              <w:rPr>
                <w:rFonts w:ascii="Times New Roman" w:hAnsi="Times New Roman" w:cs="Times New Roman"/>
                <w:szCs w:val="22"/>
              </w:rPr>
            </w:pPr>
            <w:r w:rsidRPr="001D508D">
              <w:rPr>
                <w:rFonts w:ascii="Times New Roman" w:hAnsi="Times New Roman" w:cs="Times New Roman"/>
                <w:sz w:val="22"/>
                <w:szCs w:val="22"/>
              </w:rPr>
              <w:t>Fonte: ABNT (2004) /NBR 10004</w:t>
            </w:r>
          </w:p>
          <w:p w:rsidR="001273E9" w:rsidRPr="001D508D" w:rsidRDefault="001273E9" w:rsidP="001D508D">
            <w:pPr>
              <w:autoSpaceDE w:val="0"/>
              <w:autoSpaceDN w:val="0"/>
              <w:adjustRightInd w:val="0"/>
              <w:spacing w:after="0" w:line="360" w:lineRule="auto"/>
              <w:rPr>
                <w:rFonts w:ascii="Times New Roman" w:hAnsi="Times New Roman" w:cs="Times New Roman"/>
                <w:szCs w:val="24"/>
              </w:rPr>
            </w:pPr>
          </w:p>
        </w:tc>
      </w:tr>
    </w:tbl>
    <w:p w:rsidR="00F70429" w:rsidRPr="001D508D" w:rsidRDefault="00F70429" w:rsidP="001D508D">
      <w:pPr>
        <w:pStyle w:val="NormalWeb"/>
        <w:spacing w:before="0" w:beforeAutospacing="0" w:after="0" w:afterAutospacing="0" w:line="360" w:lineRule="auto"/>
        <w:ind w:right="45" w:firstLine="851"/>
        <w:jc w:val="both"/>
      </w:pPr>
      <w:r w:rsidRPr="001D508D">
        <w:t xml:space="preserve">No Brasil, a maior parte dos resíduos gerados é orgânica, e conforme a perspectiva de Oliveira (2006), as principais razões possíveis para essa tendência são: primeiro, pelo fato do país ser caracteristicamente agrícola, e segundo pela existência, no Brasil, de um sistema de distribuição pouco hábil, sobretudo para produtos in natura, e a falta de embalagens apropriadas, que ocasionam grandes perdas de alimentos. </w:t>
      </w:r>
    </w:p>
    <w:p w:rsidR="00F70429" w:rsidRPr="001D508D" w:rsidRDefault="00F70429" w:rsidP="001D508D">
      <w:pPr>
        <w:pStyle w:val="NormalWeb"/>
        <w:spacing w:before="0" w:beforeAutospacing="0" w:after="0" w:afterAutospacing="0" w:line="360" w:lineRule="auto"/>
        <w:ind w:right="45" w:firstLine="851"/>
        <w:jc w:val="both"/>
      </w:pPr>
      <w:r w:rsidRPr="001D508D">
        <w:rPr>
          <w:bCs/>
        </w:rPr>
        <w:t>Quanto</w:t>
      </w:r>
      <w:r w:rsidRPr="001D508D">
        <w:t xml:space="preserve"> aos riscos potenciais ao meio ambiente, de acordo com as normas da NBR10004/2004 (ABNT, 2004), os resíduos dividem-se conforme a classificação apresentada no Quadro </w:t>
      </w:r>
      <w:proofErr w:type="gramStart"/>
      <w:r w:rsidRPr="001D508D">
        <w:t>2</w:t>
      </w:r>
      <w:proofErr w:type="gramEnd"/>
      <w:r w:rsidRPr="001D508D">
        <w:t>.</w:t>
      </w:r>
    </w:p>
    <w:p w:rsidR="00F70429" w:rsidRPr="001D508D" w:rsidRDefault="00F70429" w:rsidP="001D508D">
      <w:pPr>
        <w:pStyle w:val="NormalWeb"/>
        <w:spacing w:before="0" w:beforeAutospacing="0" w:after="0" w:afterAutospacing="0" w:line="360" w:lineRule="auto"/>
        <w:ind w:right="45" w:firstLine="851"/>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68"/>
        <w:gridCol w:w="1800"/>
        <w:gridCol w:w="6043"/>
      </w:tblGrid>
      <w:tr w:rsidR="00F70429" w:rsidRPr="001D508D" w:rsidTr="00A765D9">
        <w:tc>
          <w:tcPr>
            <w:tcW w:w="1368" w:type="dxa"/>
            <w:vAlign w:val="center"/>
          </w:tcPr>
          <w:p w:rsidR="00F70429" w:rsidRPr="001D508D" w:rsidRDefault="00F70429" w:rsidP="001D508D">
            <w:pPr>
              <w:pStyle w:val="NormalWeb"/>
              <w:spacing w:before="60" w:beforeAutospacing="0" w:after="60" w:afterAutospacing="0" w:line="360" w:lineRule="auto"/>
              <w:ind w:right="45"/>
              <w:jc w:val="center"/>
              <w:rPr>
                <w:b/>
              </w:rPr>
            </w:pPr>
            <w:r w:rsidRPr="001D508D">
              <w:rPr>
                <w:b/>
              </w:rPr>
              <w:t>CLASSES</w:t>
            </w:r>
          </w:p>
        </w:tc>
        <w:tc>
          <w:tcPr>
            <w:tcW w:w="1800" w:type="dxa"/>
            <w:vAlign w:val="center"/>
          </w:tcPr>
          <w:p w:rsidR="00F70429" w:rsidRPr="001D508D" w:rsidRDefault="00F70429" w:rsidP="001D508D">
            <w:pPr>
              <w:pStyle w:val="NormalWeb"/>
              <w:spacing w:before="60" w:beforeAutospacing="0" w:after="60" w:afterAutospacing="0" w:line="360" w:lineRule="auto"/>
              <w:ind w:right="45"/>
              <w:jc w:val="center"/>
              <w:rPr>
                <w:b/>
              </w:rPr>
            </w:pPr>
            <w:r w:rsidRPr="001D508D">
              <w:rPr>
                <w:b/>
              </w:rPr>
              <w:t>TIPO DE RESÍDUO</w:t>
            </w:r>
          </w:p>
        </w:tc>
        <w:tc>
          <w:tcPr>
            <w:tcW w:w="6043" w:type="dxa"/>
            <w:vAlign w:val="center"/>
          </w:tcPr>
          <w:p w:rsidR="00F70429" w:rsidRPr="001D508D" w:rsidRDefault="00F70429" w:rsidP="001D508D">
            <w:pPr>
              <w:pStyle w:val="NormalWeb"/>
              <w:spacing w:before="60" w:beforeAutospacing="0" w:after="60" w:afterAutospacing="0" w:line="360" w:lineRule="auto"/>
              <w:ind w:right="45"/>
              <w:jc w:val="center"/>
              <w:rPr>
                <w:b/>
              </w:rPr>
            </w:pPr>
            <w:r w:rsidRPr="001D508D">
              <w:rPr>
                <w:b/>
              </w:rPr>
              <w:t>CARACTERÍSTICA</w:t>
            </w:r>
          </w:p>
        </w:tc>
      </w:tr>
      <w:tr w:rsidR="00F70429" w:rsidRPr="001D508D" w:rsidTr="00A765D9">
        <w:trPr>
          <w:trHeight w:val="679"/>
        </w:trPr>
        <w:tc>
          <w:tcPr>
            <w:tcW w:w="136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I</w:t>
            </w:r>
          </w:p>
        </w:tc>
        <w:tc>
          <w:tcPr>
            <w:tcW w:w="1800"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Perigosos</w:t>
            </w:r>
          </w:p>
        </w:tc>
        <w:tc>
          <w:tcPr>
            <w:tcW w:w="604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 xml:space="preserve">Aqueles que apresentam periculosidade, </w:t>
            </w:r>
            <w:proofErr w:type="spellStart"/>
            <w:r w:rsidRPr="001D508D">
              <w:t>inflamabilidade</w:t>
            </w:r>
            <w:proofErr w:type="spellEnd"/>
            <w:r w:rsidRPr="001D508D">
              <w:t xml:space="preserve">, </w:t>
            </w:r>
            <w:proofErr w:type="spellStart"/>
            <w:r w:rsidRPr="001D508D">
              <w:t>corrosividade</w:t>
            </w:r>
            <w:proofErr w:type="spellEnd"/>
            <w:r w:rsidRPr="001D508D">
              <w:t>, reatividade, toxicidade e patogenicidade;</w:t>
            </w:r>
          </w:p>
        </w:tc>
      </w:tr>
      <w:tr w:rsidR="00F70429" w:rsidRPr="001D508D" w:rsidTr="00A765D9">
        <w:trPr>
          <w:trHeight w:val="1134"/>
        </w:trPr>
        <w:tc>
          <w:tcPr>
            <w:tcW w:w="136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II</w:t>
            </w:r>
          </w:p>
        </w:tc>
        <w:tc>
          <w:tcPr>
            <w:tcW w:w="1800"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Não Perigosos</w:t>
            </w:r>
          </w:p>
        </w:tc>
        <w:tc>
          <w:tcPr>
            <w:tcW w:w="604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 xml:space="preserve">Aqueles que não apresentam periculosidade como, por exemplo, restos de alimentos, sucata de metais ferrosos e não ferrosos, papel e papelão, plástico, borracha, madeira, material têxtil, minerais </w:t>
            </w:r>
            <w:proofErr w:type="gramStart"/>
            <w:r w:rsidRPr="001D508D">
              <w:t>não-metálicos</w:t>
            </w:r>
            <w:proofErr w:type="gramEnd"/>
            <w:r w:rsidRPr="001D508D">
              <w:t xml:space="preserve">, areia de fundição, </w:t>
            </w:r>
            <w:r w:rsidRPr="001D508D">
              <w:lastRenderedPageBreak/>
              <w:t>bagaço de cana, entre outros;</w:t>
            </w:r>
          </w:p>
        </w:tc>
      </w:tr>
      <w:tr w:rsidR="00F70429" w:rsidRPr="001D508D" w:rsidTr="00A765D9">
        <w:trPr>
          <w:trHeight w:val="684"/>
        </w:trPr>
        <w:tc>
          <w:tcPr>
            <w:tcW w:w="1368" w:type="dxa"/>
            <w:vAlign w:val="center"/>
          </w:tcPr>
          <w:p w:rsidR="00F70429" w:rsidRPr="001D508D" w:rsidRDefault="00F70429" w:rsidP="001D508D">
            <w:pPr>
              <w:pStyle w:val="NormalWeb"/>
              <w:spacing w:before="60" w:beforeAutospacing="0" w:after="60" w:afterAutospacing="0" w:line="360" w:lineRule="auto"/>
              <w:ind w:right="45"/>
              <w:jc w:val="center"/>
            </w:pPr>
            <w:r w:rsidRPr="001D508D">
              <w:lastRenderedPageBreak/>
              <w:t>II A</w:t>
            </w:r>
          </w:p>
        </w:tc>
        <w:tc>
          <w:tcPr>
            <w:tcW w:w="1800" w:type="dxa"/>
            <w:vAlign w:val="center"/>
          </w:tcPr>
          <w:p w:rsidR="00F70429" w:rsidRPr="001D508D" w:rsidRDefault="00F70429" w:rsidP="001D508D">
            <w:pPr>
              <w:pStyle w:val="NormalWeb"/>
              <w:spacing w:before="60" w:beforeAutospacing="0" w:after="60" w:afterAutospacing="0" w:line="360" w:lineRule="auto"/>
              <w:ind w:right="45"/>
              <w:jc w:val="center"/>
            </w:pPr>
            <w:r w:rsidRPr="001D508D">
              <w:t>Não Inertes</w:t>
            </w:r>
          </w:p>
        </w:tc>
        <w:tc>
          <w:tcPr>
            <w:tcW w:w="6043" w:type="dxa"/>
            <w:vAlign w:val="center"/>
          </w:tcPr>
          <w:p w:rsidR="00F70429" w:rsidRPr="001D508D" w:rsidRDefault="00F70429" w:rsidP="001D508D">
            <w:pPr>
              <w:pStyle w:val="NormalWeb"/>
              <w:spacing w:before="60" w:beforeAutospacing="0" w:after="60" w:afterAutospacing="0" w:line="360" w:lineRule="auto"/>
              <w:ind w:left="72" w:right="175"/>
              <w:jc w:val="both"/>
            </w:pPr>
            <w:r w:rsidRPr="001D508D">
              <w:t>Aqueles que apresentam biodegradabilidade, combustibilidade e solubilidade em água;</w:t>
            </w:r>
          </w:p>
        </w:tc>
      </w:tr>
      <w:tr w:rsidR="00F70429" w:rsidRPr="001D508D" w:rsidTr="00A765D9">
        <w:trPr>
          <w:trHeight w:val="1134"/>
        </w:trPr>
        <w:tc>
          <w:tcPr>
            <w:tcW w:w="1368" w:type="dxa"/>
            <w:tcBorders>
              <w:bottom w:val="single" w:sz="8" w:space="0" w:color="000000"/>
            </w:tcBorders>
            <w:vAlign w:val="center"/>
          </w:tcPr>
          <w:p w:rsidR="00F70429" w:rsidRPr="001D508D" w:rsidRDefault="00F70429" w:rsidP="001D508D">
            <w:pPr>
              <w:pStyle w:val="NormalWeb"/>
              <w:spacing w:before="60" w:beforeAutospacing="0" w:after="60" w:afterAutospacing="0" w:line="360" w:lineRule="auto"/>
              <w:ind w:right="45"/>
              <w:jc w:val="center"/>
            </w:pPr>
            <w:r w:rsidRPr="001D508D">
              <w:t>II B</w:t>
            </w:r>
          </w:p>
        </w:tc>
        <w:tc>
          <w:tcPr>
            <w:tcW w:w="1800" w:type="dxa"/>
            <w:tcBorders>
              <w:bottom w:val="single" w:sz="8" w:space="0" w:color="000000"/>
            </w:tcBorders>
            <w:vAlign w:val="center"/>
          </w:tcPr>
          <w:p w:rsidR="00F70429" w:rsidRPr="001D508D" w:rsidRDefault="00F70429" w:rsidP="001D508D">
            <w:pPr>
              <w:pStyle w:val="NormalWeb"/>
              <w:spacing w:before="60" w:beforeAutospacing="0" w:after="60" w:afterAutospacing="0" w:line="360" w:lineRule="auto"/>
              <w:ind w:right="45"/>
              <w:jc w:val="center"/>
            </w:pPr>
            <w:r w:rsidRPr="001D508D">
              <w:t>Inertes</w:t>
            </w:r>
          </w:p>
        </w:tc>
        <w:tc>
          <w:tcPr>
            <w:tcW w:w="6043" w:type="dxa"/>
            <w:tcBorders>
              <w:bottom w:val="single" w:sz="8" w:space="0" w:color="000000"/>
            </w:tcBorders>
            <w:vAlign w:val="center"/>
          </w:tcPr>
          <w:p w:rsidR="00F70429" w:rsidRPr="001D508D" w:rsidRDefault="00F70429" w:rsidP="001D508D">
            <w:pPr>
              <w:pStyle w:val="NormalWeb"/>
              <w:spacing w:before="60" w:beforeAutospacing="0" w:after="60" w:afterAutospacing="0" w:line="360" w:lineRule="auto"/>
              <w:ind w:left="72" w:right="175"/>
              <w:jc w:val="both"/>
            </w:pPr>
            <w:r w:rsidRPr="001D508D">
              <w:t xml:space="preserve">Aqueles que, quando submetidos a contato dinâmico e estático com água destilada ou deionizada, à temperatura ambiente, não tiverem nenhum de seus constituintes solubilizados a concentrações superiores aos padrões de potabilidade de água. Excetuando os seguintes aspectos: cor, turbidez, dureza e </w:t>
            </w:r>
            <w:proofErr w:type="gramStart"/>
            <w:r w:rsidRPr="001D508D">
              <w:t>sabor</w:t>
            </w:r>
            <w:proofErr w:type="gramEnd"/>
          </w:p>
        </w:tc>
      </w:tr>
      <w:tr w:rsidR="00F70429" w:rsidRPr="001D508D" w:rsidTr="00A765D9">
        <w:trPr>
          <w:trHeight w:val="453"/>
        </w:trPr>
        <w:tc>
          <w:tcPr>
            <w:tcW w:w="9211" w:type="dxa"/>
            <w:gridSpan w:val="3"/>
            <w:tcBorders>
              <w:top w:val="single" w:sz="8" w:space="0" w:color="000000"/>
              <w:left w:val="nil"/>
              <w:bottom w:val="nil"/>
              <w:right w:val="nil"/>
            </w:tcBorders>
            <w:vAlign w:val="center"/>
          </w:tcPr>
          <w:p w:rsidR="00F70429" w:rsidRPr="001D508D" w:rsidRDefault="00F70429" w:rsidP="001D508D">
            <w:pPr>
              <w:tabs>
                <w:tab w:val="left" w:pos="720"/>
              </w:tabs>
              <w:spacing w:before="60" w:after="0" w:line="240" w:lineRule="auto"/>
              <w:rPr>
                <w:rFonts w:ascii="Times New Roman" w:hAnsi="Times New Roman" w:cs="Times New Roman"/>
                <w:szCs w:val="22"/>
              </w:rPr>
            </w:pPr>
            <w:r w:rsidRPr="001D508D">
              <w:rPr>
                <w:rFonts w:ascii="Times New Roman" w:hAnsi="Times New Roman" w:cs="Times New Roman"/>
                <w:sz w:val="22"/>
                <w:szCs w:val="22"/>
              </w:rPr>
              <w:t>Quadro 2 - Classificação dos resíduos quanto às características distintas.</w:t>
            </w:r>
          </w:p>
          <w:p w:rsidR="00F70429" w:rsidRPr="001D508D" w:rsidRDefault="00F70429" w:rsidP="001D508D">
            <w:pPr>
              <w:tabs>
                <w:tab w:val="left" w:pos="720"/>
              </w:tabs>
              <w:spacing w:after="0" w:line="240" w:lineRule="auto"/>
              <w:rPr>
                <w:rFonts w:ascii="Times New Roman" w:hAnsi="Times New Roman" w:cs="Times New Roman"/>
                <w:szCs w:val="24"/>
              </w:rPr>
            </w:pPr>
            <w:r w:rsidRPr="001D508D">
              <w:rPr>
                <w:rFonts w:ascii="Times New Roman" w:hAnsi="Times New Roman" w:cs="Times New Roman"/>
                <w:sz w:val="22"/>
                <w:szCs w:val="22"/>
              </w:rPr>
              <w:t>Fonte: ABNT (2004).</w:t>
            </w:r>
          </w:p>
        </w:tc>
      </w:tr>
    </w:tbl>
    <w:p w:rsidR="00F70429" w:rsidRPr="001D508D" w:rsidRDefault="00F70429" w:rsidP="001D508D">
      <w:pPr>
        <w:pStyle w:val="NormalWeb"/>
        <w:spacing w:before="0" w:beforeAutospacing="0" w:after="0" w:afterAutospacing="0" w:line="360" w:lineRule="auto"/>
        <w:ind w:right="45" w:firstLine="851"/>
        <w:jc w:val="both"/>
        <w:rPr>
          <w:bCs/>
        </w:rPr>
      </w:pPr>
    </w:p>
    <w:p w:rsidR="00F70429" w:rsidRPr="001D508D" w:rsidRDefault="00F70429" w:rsidP="001D508D">
      <w:pPr>
        <w:pStyle w:val="NormalWeb"/>
        <w:spacing w:before="0" w:beforeAutospacing="0" w:after="0" w:afterAutospacing="0" w:line="360" w:lineRule="auto"/>
        <w:ind w:right="45" w:firstLine="851"/>
        <w:jc w:val="both"/>
      </w:pPr>
      <w:r w:rsidRPr="001D508D">
        <w:rPr>
          <w:bCs/>
        </w:rPr>
        <w:t>Conseguinte</w:t>
      </w:r>
      <w:r w:rsidRPr="001D508D">
        <w:t xml:space="preserve"> essa definição, permite-se inferir, portanto que a correta </w:t>
      </w:r>
      <w:r w:rsidRPr="001D508D">
        <w:rPr>
          <w:bCs/>
        </w:rPr>
        <w:t>identificação</w:t>
      </w:r>
      <w:r w:rsidRPr="001D508D">
        <w:t xml:space="preserve"> da fonte e do tipo de resíduo gerado, torna-se imprescindível para um eficaz gerenciamento.  </w:t>
      </w:r>
      <w:r w:rsidRPr="001D508D">
        <w:rPr>
          <w:bCs/>
        </w:rPr>
        <w:t>Quanto</w:t>
      </w:r>
      <w:r w:rsidRPr="001D508D">
        <w:t xml:space="preserve"> à periculosidade dos resíduos manejados ou destinados inadequadamente esta está associada às características decorrentes das propriedades físicas, químicas ou </w:t>
      </w:r>
      <w:proofErr w:type="spellStart"/>
      <w:r w:rsidRPr="001D508D">
        <w:t>infecto-contagiosa</w:t>
      </w:r>
      <w:proofErr w:type="spellEnd"/>
      <w:r w:rsidRPr="001D508D">
        <w:t xml:space="preserve"> que possam apresentar riscos à saúde pública, provocando dentre outras situações, aumento da mortalidade ou incidência de doenças e riscos ao meio ambiente. </w:t>
      </w:r>
    </w:p>
    <w:p w:rsidR="00F70429" w:rsidRPr="001D508D" w:rsidRDefault="00F70429" w:rsidP="001D508D">
      <w:pPr>
        <w:pStyle w:val="NormalWeb"/>
        <w:spacing w:before="0" w:beforeAutospacing="0" w:after="0" w:afterAutospacing="0" w:line="360" w:lineRule="auto"/>
        <w:ind w:right="45" w:firstLine="851"/>
        <w:jc w:val="both"/>
      </w:pPr>
      <w:r w:rsidRPr="001D508D">
        <w:t xml:space="preserve">Na interconexão com as questões ambientais, os resíduos sólidos contaminam o ar, as águas superficiais e subterrâneas e, por implicação, o solo, o que torna evidente as consequências ocasionadas pelos mesmos no espaço construído. Sua interface com os problemas ambientais difundem fenômenos sociais pautados na exclusão, o que afeta a saúde ambiental e coletiva do planeta, tornando-se necessárias para tanto, mudanças nas políticas públicas vigentes e readequação dos atuais modos de vida em sociedade. </w:t>
      </w:r>
    </w:p>
    <w:p w:rsidR="00F70429" w:rsidRPr="001D508D" w:rsidRDefault="00F70429" w:rsidP="001D508D">
      <w:pPr>
        <w:pStyle w:val="NormalWeb"/>
        <w:spacing w:before="0" w:beforeAutospacing="0" w:after="0" w:afterAutospacing="0" w:line="360" w:lineRule="auto"/>
        <w:ind w:right="45" w:firstLine="851"/>
        <w:jc w:val="both"/>
      </w:pPr>
      <w:r w:rsidRPr="001D508D">
        <w:t xml:space="preserve">Quanto à legislação atribuída para coibir tal prática criminosa no Brasil, a lei nº 9.605 (Lei da Natureza: lei dos crimes ambientais) de 12/02/1998 em seu art. 54 diz que é crime ambiental causar poluição de qualquer natureza em níveis tais que possam resultar em danos à saúde humana, ou que provoquem a mortandade de animais ou a destruição significativa da flora. Se o crime acontecer por lançamento de resíduos sólidos, líquidos ou gasosos, ou detritos, óleos ou substâncias oleosas em desacordo com as exigências estabelecidas em leis ou regulamentos: pena de reclusão de </w:t>
      </w:r>
      <w:smartTag w:uri="urn:schemas-microsoft-com:office:smarttags" w:element="metricconverter">
        <w:smartTagPr>
          <w:attr w:name="ProductID" w:val="1 a"/>
        </w:smartTagPr>
        <w:r w:rsidRPr="001D508D">
          <w:t>1 a</w:t>
        </w:r>
      </w:smartTag>
      <w:r w:rsidRPr="001D508D">
        <w:t xml:space="preserve"> 5 anos.</w:t>
      </w:r>
    </w:p>
    <w:p w:rsidR="00F70429" w:rsidRPr="001D508D" w:rsidRDefault="00F70429" w:rsidP="001D508D">
      <w:pPr>
        <w:pStyle w:val="NormalWeb"/>
        <w:spacing w:before="0" w:beforeAutospacing="0" w:after="0" w:afterAutospacing="0" w:line="360" w:lineRule="auto"/>
        <w:ind w:right="45" w:firstLine="851"/>
        <w:jc w:val="both"/>
      </w:pPr>
      <w:r w:rsidRPr="001D508D">
        <w:lastRenderedPageBreak/>
        <w:t xml:space="preserve">Neste aspecto, a gestão ambiental tem sido apontada como uma área de grande valor para o desenvolvimento da sociedade humana e para o gerenciamento dessa questão, especialmente na premissa de salvaguardar o meio ambiente, no aspecto de redução dos impactos ambientais decorrentes das atividades humanas. </w:t>
      </w:r>
    </w:p>
    <w:p w:rsidR="00F70429" w:rsidRPr="001D508D" w:rsidRDefault="00F70429" w:rsidP="001D508D">
      <w:pPr>
        <w:pStyle w:val="NormalWeb"/>
        <w:spacing w:before="0" w:beforeAutospacing="0" w:after="0" w:afterAutospacing="0" w:line="360" w:lineRule="auto"/>
        <w:ind w:right="45" w:firstLine="851"/>
        <w:jc w:val="both"/>
      </w:pPr>
      <w:r w:rsidRPr="001D508D">
        <w:rPr>
          <w:bCs/>
        </w:rPr>
        <w:t>Frente</w:t>
      </w:r>
      <w:r w:rsidRPr="001D508D">
        <w:t xml:space="preserve"> a essa percepção, ações de gestão e ou gerenciamento do meio ambiente já podem ser verificadas tanto em âmbito privado como público, envolvendo neste, as várias esferas da administração, quer seja nacional, estadual ou local.</w:t>
      </w:r>
    </w:p>
    <w:p w:rsidR="00F70429" w:rsidRPr="001D508D" w:rsidRDefault="00F70429" w:rsidP="001D508D">
      <w:pPr>
        <w:pStyle w:val="NormalWeb"/>
        <w:spacing w:before="0" w:beforeAutospacing="0" w:after="0" w:afterAutospacing="0" w:line="360" w:lineRule="auto"/>
        <w:ind w:right="45" w:firstLine="851"/>
        <w:jc w:val="both"/>
      </w:pPr>
      <w:r w:rsidRPr="001D508D">
        <w:rPr>
          <w:bCs/>
        </w:rPr>
        <w:t>França</w:t>
      </w:r>
      <w:r w:rsidRPr="001D508D">
        <w:t xml:space="preserve"> e </w:t>
      </w:r>
      <w:proofErr w:type="spellStart"/>
      <w:r w:rsidRPr="001D508D">
        <w:t>Ruaro</w:t>
      </w:r>
      <w:proofErr w:type="spellEnd"/>
      <w:r w:rsidRPr="001D508D">
        <w:t xml:space="preserve"> (2009) asseguram que determinadas técnicas de tratamento dos resíduos são milenares como, por exemplo, o método de compostagem, que transforma os resíduos orgânicos em excelente adubo, sendo o mesmo indispensável para o processo produtivo agrícola. </w:t>
      </w:r>
    </w:p>
    <w:p w:rsidR="00F70429" w:rsidRPr="001D508D" w:rsidRDefault="00F70429" w:rsidP="001D508D">
      <w:pPr>
        <w:pStyle w:val="Ttulo1"/>
        <w:rPr>
          <w:rFonts w:eastAsia="Batang"/>
          <w:b w:val="0"/>
          <w:bCs w:val="0"/>
          <w:color w:val="000000"/>
          <w:kern w:val="0"/>
          <w:szCs w:val="24"/>
        </w:rPr>
      </w:pPr>
    </w:p>
    <w:p w:rsidR="00F70429" w:rsidRPr="008A58A7" w:rsidRDefault="0019035C" w:rsidP="008A58A7">
      <w:pPr>
        <w:pStyle w:val="Ttulo1"/>
        <w:rPr>
          <w:b w:val="0"/>
          <w:i/>
          <w:szCs w:val="24"/>
        </w:rPr>
      </w:pPr>
      <w:r>
        <w:rPr>
          <w:b w:val="0"/>
          <w:i/>
          <w:szCs w:val="24"/>
        </w:rPr>
        <w:t>1</w:t>
      </w:r>
      <w:r w:rsidR="00F70429" w:rsidRPr="008A58A7">
        <w:rPr>
          <w:b w:val="0"/>
          <w:i/>
          <w:szCs w:val="24"/>
        </w:rPr>
        <w:t>.1.2.</w:t>
      </w:r>
      <w:r w:rsidR="00F70429" w:rsidRPr="008A58A7">
        <w:rPr>
          <w:i/>
          <w:szCs w:val="24"/>
        </w:rPr>
        <w:t xml:space="preserve"> </w:t>
      </w:r>
      <w:r w:rsidR="00F70429" w:rsidRPr="008A58A7">
        <w:rPr>
          <w:b w:val="0"/>
          <w:i/>
          <w:szCs w:val="24"/>
        </w:rPr>
        <w:t>P</w:t>
      </w:r>
      <w:r w:rsidR="008A58A7">
        <w:rPr>
          <w:b w:val="0"/>
          <w:i/>
          <w:szCs w:val="24"/>
        </w:rPr>
        <w:t>OLÍTICA</w:t>
      </w:r>
      <w:r w:rsidR="00F70429" w:rsidRPr="008A58A7">
        <w:rPr>
          <w:b w:val="0"/>
          <w:i/>
          <w:szCs w:val="24"/>
        </w:rPr>
        <w:t xml:space="preserve"> N</w:t>
      </w:r>
      <w:r w:rsidR="008A58A7">
        <w:rPr>
          <w:b w:val="0"/>
          <w:i/>
          <w:szCs w:val="24"/>
        </w:rPr>
        <w:t>ACIONAL</w:t>
      </w:r>
      <w:r w:rsidR="00F70429" w:rsidRPr="008A58A7">
        <w:rPr>
          <w:b w:val="0"/>
          <w:i/>
          <w:szCs w:val="24"/>
        </w:rPr>
        <w:t xml:space="preserve"> </w:t>
      </w:r>
      <w:r w:rsidR="008A58A7">
        <w:rPr>
          <w:b w:val="0"/>
          <w:i/>
          <w:szCs w:val="24"/>
        </w:rPr>
        <w:t>DE</w:t>
      </w:r>
      <w:r w:rsidR="00F70429" w:rsidRPr="008A58A7">
        <w:rPr>
          <w:b w:val="0"/>
          <w:i/>
          <w:szCs w:val="24"/>
        </w:rPr>
        <w:t xml:space="preserve"> </w:t>
      </w:r>
      <w:r w:rsidR="008A58A7">
        <w:rPr>
          <w:b w:val="0"/>
          <w:i/>
          <w:szCs w:val="24"/>
        </w:rPr>
        <w:t>RESÍDUOS SÓLIDOS</w:t>
      </w:r>
      <w:r w:rsidR="00F70429" w:rsidRPr="008A58A7">
        <w:rPr>
          <w:b w:val="0"/>
          <w:i/>
          <w:szCs w:val="24"/>
        </w:rPr>
        <w:t xml:space="preserve"> – PNRS</w:t>
      </w:r>
    </w:p>
    <w:p w:rsidR="00F70429" w:rsidRPr="001D508D" w:rsidRDefault="00F70429" w:rsidP="00A17D34">
      <w:pPr>
        <w:pStyle w:val="Ttulo1"/>
        <w:ind w:firstLine="709"/>
        <w:rPr>
          <w:b w:val="0"/>
          <w:szCs w:val="24"/>
        </w:rPr>
      </w:pPr>
    </w:p>
    <w:p w:rsidR="00F70429" w:rsidRPr="001D508D" w:rsidRDefault="00F70429" w:rsidP="001D508D">
      <w:pPr>
        <w:pStyle w:val="NormalWeb"/>
        <w:spacing w:before="0" w:beforeAutospacing="0" w:after="0" w:afterAutospacing="0" w:line="360" w:lineRule="auto"/>
        <w:ind w:right="45" w:firstLine="851"/>
        <w:jc w:val="both"/>
      </w:pPr>
      <w:r w:rsidRPr="001D508D">
        <w:t xml:space="preserve">A Política Nacional de Resíduos dispõe sobre diretrizes aplicáveis aos resíduos </w:t>
      </w:r>
      <w:r w:rsidRPr="001D508D">
        <w:rPr>
          <w:bCs/>
        </w:rPr>
        <w:t>sólidos</w:t>
      </w:r>
      <w:r w:rsidRPr="001D508D">
        <w:t xml:space="preserve">, formulando a assistência da saúde pública e qualidade do meio ambiente; a promoção dos </w:t>
      </w:r>
      <w:proofErr w:type="gramStart"/>
      <w:r w:rsidRPr="001D508D">
        <w:t>3Rs</w:t>
      </w:r>
      <w:proofErr w:type="gramEnd"/>
      <w:r w:rsidRPr="001D508D">
        <w:t xml:space="preserve"> (reduzir, reutilizar, reciclar); e sobre o fomento ao tratamento e destinação final dos resíduos de modo apropriado. </w:t>
      </w:r>
    </w:p>
    <w:p w:rsidR="00F70429" w:rsidRPr="001D508D" w:rsidRDefault="00F70429" w:rsidP="001D508D">
      <w:pPr>
        <w:pStyle w:val="NormalWeb"/>
        <w:spacing w:before="0" w:beforeAutospacing="0" w:after="0" w:afterAutospacing="0" w:line="360" w:lineRule="auto"/>
        <w:ind w:right="45" w:firstLine="851"/>
        <w:jc w:val="both"/>
      </w:pPr>
      <w:r w:rsidRPr="001D508D">
        <w:t xml:space="preserve">A </w:t>
      </w:r>
      <w:r w:rsidRPr="001D508D">
        <w:rPr>
          <w:color w:val="auto"/>
        </w:rPr>
        <w:t>Política Nacional de Resíduos Sólidos trata</w:t>
      </w:r>
      <w:r w:rsidRPr="001D508D">
        <w:t xml:space="preserve"> dos princípios, objetivos e instrumentos, bem como sobre as diretrizes relativas à gestão integrada e ao gerenciamento de resíduos sólidos, incluídos, os perigosos, às responsabilidades dos geradores e do Poder Público, e aos instrumentos econômicos aplicáveis. </w:t>
      </w:r>
    </w:p>
    <w:p w:rsidR="00F70429" w:rsidRPr="001D508D" w:rsidRDefault="00F70429" w:rsidP="001D508D">
      <w:pPr>
        <w:pStyle w:val="NormalWeb"/>
        <w:spacing w:before="0" w:beforeAutospacing="0" w:after="0" w:afterAutospacing="0" w:line="360" w:lineRule="auto"/>
        <w:ind w:right="45" w:firstLine="851"/>
        <w:jc w:val="both"/>
      </w:pPr>
      <w:r w:rsidRPr="001D508D">
        <w:t>Quant</w:t>
      </w:r>
      <w:r w:rsidRPr="001D508D">
        <w:rPr>
          <w:bCs/>
        </w:rPr>
        <w:t>o</w:t>
      </w:r>
      <w:r w:rsidRPr="001D508D">
        <w:t xml:space="preserve"> à abrangência, contempla as pessoas físicas ou jurídicas, de direito público ou privado, responsáveis direta ou indiretamente pela geração de resíduos sólidos e as que desenvolvam ações relacionadas à gestão integrada ou ao gerenciamento de resíduos sólidos. Contudo, não se aplica aos rejeitos radioativos, que são regulados por legislação específica.</w:t>
      </w:r>
    </w:p>
    <w:p w:rsidR="00F70429" w:rsidRPr="001D508D" w:rsidRDefault="00F70429" w:rsidP="001D508D">
      <w:pPr>
        <w:pStyle w:val="NormalWeb"/>
        <w:spacing w:before="0" w:beforeAutospacing="0" w:after="0" w:afterAutospacing="0" w:line="360" w:lineRule="auto"/>
        <w:ind w:right="45" w:firstLine="851"/>
        <w:jc w:val="both"/>
      </w:pPr>
      <w:r w:rsidRPr="001D508D">
        <w:rPr>
          <w:bCs/>
        </w:rPr>
        <w:t>Ainda</w:t>
      </w:r>
      <w:r w:rsidRPr="001D508D">
        <w:t xml:space="preserve"> assim, e em consonância com outras Políticas Nacionais, a exemplo da Política Nacional de Educação Ambiental, regulada pela Lei nº 9.795, de 27 de abril de 1999, com a Política Federal de Saneamento Básico regulada pela Lei nº 11.445, de </w:t>
      </w:r>
      <w:proofErr w:type="gramStart"/>
      <w:r w:rsidRPr="001D508D">
        <w:t>5</w:t>
      </w:r>
      <w:proofErr w:type="gramEnd"/>
      <w:r w:rsidRPr="001D508D">
        <w:t xml:space="preserve"> de janeiro de 2007, e com a Lei nº 11.107, de 6 de abril de 2005; a lei enfatiza os sistemas existentes de logística reversa, direcionando os resíduos para a sua cadeia produtiva, empregando planos de atuação para geradores de resíduos industriais, serviços de saúde, rurais e especiais; e de responsabilização do gerador do resíduo. </w:t>
      </w:r>
    </w:p>
    <w:p w:rsidR="00F70429" w:rsidRPr="001D508D" w:rsidRDefault="00F70429" w:rsidP="001D508D">
      <w:pPr>
        <w:pStyle w:val="NormalWeb"/>
        <w:spacing w:before="0" w:beforeAutospacing="0" w:after="0" w:afterAutospacing="0" w:line="360" w:lineRule="auto"/>
        <w:ind w:right="45" w:firstLine="851"/>
        <w:jc w:val="both"/>
      </w:pPr>
      <w:r w:rsidRPr="001D508D">
        <w:lastRenderedPageBreak/>
        <w:t>Para</w:t>
      </w:r>
      <w:r w:rsidRPr="001D508D">
        <w:rPr>
          <w:bCs/>
        </w:rPr>
        <w:t xml:space="preserve"> tanto</w:t>
      </w:r>
      <w:r w:rsidRPr="001D508D">
        <w:t xml:space="preserve">, aplicam-se aos resíduos sólidos, além do disposto na </w:t>
      </w:r>
      <w:r w:rsidRPr="001D508D">
        <w:rPr>
          <w:color w:val="auto"/>
        </w:rPr>
        <w:t>Política Nacional de Resíduos Sólidos</w:t>
      </w:r>
      <w:r w:rsidRPr="001D508D">
        <w:t xml:space="preserve"> </w:t>
      </w:r>
      <w:r w:rsidRPr="001D508D">
        <w:rPr>
          <w:bCs/>
        </w:rPr>
        <w:t xml:space="preserve">12.305, de 02 de Agosto de </w:t>
      </w:r>
      <w:smartTag w:uri="urn:schemas-microsoft-com:office:smarttags" w:element="metricconverter">
        <w:smartTagPr>
          <w:attr w:name="ProductID" w:val="2010, a"/>
        </w:smartTagPr>
        <w:r w:rsidRPr="001D508D">
          <w:rPr>
            <w:bCs/>
          </w:rPr>
          <w:t>2010</w:t>
        </w:r>
        <w:r w:rsidRPr="001D508D">
          <w:t>, a</w:t>
        </w:r>
      </w:smartTag>
      <w:r w:rsidRPr="001D508D">
        <w:t xml:space="preserve"> Lei nº 11.445, de </w:t>
      </w:r>
      <w:proofErr w:type="gramStart"/>
      <w:r w:rsidRPr="001D508D">
        <w:t>5</w:t>
      </w:r>
      <w:proofErr w:type="gramEnd"/>
      <w:r w:rsidRPr="001D508D">
        <w:t xml:space="preserve"> de janeiro de </w:t>
      </w:r>
      <w:smartTag w:uri="urn:schemas-microsoft-com:office:smarttags" w:element="metricconverter">
        <w:smartTagPr>
          <w:attr w:name="ProductID" w:val="2007, a"/>
        </w:smartTagPr>
        <w:r w:rsidRPr="001D508D">
          <w:t>2007, a</w:t>
        </w:r>
      </w:smartTag>
      <w:r w:rsidRPr="001D508D">
        <w:t xml:space="preserve"> Lei 9.974, de 6 de junho de 2000, e a Lei nº 9.966, de 28 de abril de 2000, as normas estabelecidas pelos órgãos do Sistema Nacional do Meio Ambiente (SISNAMA), do Sistema Nacional de Vigilância Sanitária (SNVS), do Sistema Unificado de Atenção à Sanidade Agropecuária (SUASA) e do Sistema Nacional de Metrologia, Normalização e Qualidade Industrial (SINMETRO).</w:t>
      </w:r>
    </w:p>
    <w:p w:rsidR="00F70429" w:rsidRPr="001D508D" w:rsidRDefault="00F70429" w:rsidP="001D508D">
      <w:pPr>
        <w:pStyle w:val="NormalWeb"/>
        <w:spacing w:before="0" w:beforeAutospacing="0" w:after="0" w:afterAutospacing="0" w:line="360" w:lineRule="auto"/>
        <w:ind w:right="45" w:firstLine="851"/>
        <w:jc w:val="both"/>
      </w:pPr>
      <w:r w:rsidRPr="001D508D">
        <w:t xml:space="preserve">Dentre outros aspectos concernentes, </w:t>
      </w:r>
      <w:r w:rsidRPr="001D508D">
        <w:rPr>
          <w:bCs/>
        </w:rPr>
        <w:t>a política é inovadora por abordar a</w:t>
      </w:r>
      <w:r w:rsidRPr="001D508D">
        <w:t xml:space="preserve"> responsabilidade ambiental acerca dos resíduos e ao instituir a logística reversa, além de ocasionar um resultado para a agenda da sustentabilidade do País. Neste aspecto, traz ganho não só em nível federal e estadual, mas nomeadamente na instância municipal para melhor gestão dos resíduos. Ass</w:t>
      </w:r>
      <w:r w:rsidRPr="001D508D">
        <w:rPr>
          <w:bCs/>
        </w:rPr>
        <w:t>i</w:t>
      </w:r>
      <w:r w:rsidRPr="001D508D">
        <w:t xml:space="preserve">m </w:t>
      </w:r>
      <w:r w:rsidRPr="001D508D">
        <w:rPr>
          <w:bCs/>
        </w:rPr>
        <w:t>sendo</w:t>
      </w:r>
      <w:r w:rsidRPr="001D508D">
        <w:t>, a finalidade maior dessa política é definir as obrigações e deveres de cada setor</w:t>
      </w:r>
      <w:proofErr w:type="gramStart"/>
      <w:r w:rsidR="00FB45D4" w:rsidRPr="001D508D">
        <w:t xml:space="preserve">  </w:t>
      </w:r>
      <w:proofErr w:type="gramEnd"/>
      <w:r w:rsidR="00FB45D4" w:rsidRPr="001D508D">
        <w:t xml:space="preserve">e </w:t>
      </w:r>
      <w:r w:rsidR="005F545E" w:rsidRPr="001D508D">
        <w:t>envolve</w:t>
      </w:r>
      <w:r w:rsidRPr="001D508D">
        <w:t xml:space="preserve"> conceitos atuais de gestão de resíduos sólidos, entre os quais: responsabilidade compartilhada; gestão integrada; inventário; sistema declaratório anual; acordos setoriais; ciclo de vida do produto; não-geração, redução, reutilização, reciclagem e tratamento dos resíduos, bem como acondicionamento final ambientalmente apropriada dos rejeitos; logística reversa; princípios do direito ambiental; elaboração de planos de gestão (em nível nacional, estadual e Municipal) e de gerenciamento (pelo setor empresarial); e a proeminência para a compreensão social por meio do fortalecimento das cooperativas de catadores.</w:t>
      </w:r>
    </w:p>
    <w:p w:rsidR="00F70429" w:rsidRPr="001D508D" w:rsidRDefault="00F70429" w:rsidP="001D508D">
      <w:pPr>
        <w:pStyle w:val="NormalWeb"/>
        <w:spacing w:before="0" w:beforeAutospacing="0" w:after="0" w:afterAutospacing="0" w:line="360" w:lineRule="auto"/>
        <w:ind w:right="45" w:firstLine="851"/>
        <w:jc w:val="both"/>
        <w:rPr>
          <w:bCs/>
        </w:rPr>
      </w:pPr>
      <w:r w:rsidRPr="001D508D">
        <w:rPr>
          <w:bCs/>
        </w:rPr>
        <w:t>Diante</w:t>
      </w:r>
      <w:r w:rsidRPr="001D508D">
        <w:t xml:space="preserve"> desse contexto, a conscientização no que se refere à Política Nacional de Resíduos Sólidos, em sintonia com suas diretrizes, princípios, conceitos e abordagens complementadas por tecnologias ambientalmente saudáveis, prevenindo riscos e estabelecendo indicadores de desempenho é uma </w:t>
      </w:r>
      <w:r w:rsidRPr="001D508D">
        <w:rPr>
          <w:bCs/>
        </w:rPr>
        <w:t>importante ferramenta de gestão para promover a conservação e preservação ambiental de determinada população.</w:t>
      </w:r>
    </w:p>
    <w:p w:rsidR="00FB45D4" w:rsidRPr="001D508D" w:rsidRDefault="00FB45D4" w:rsidP="001D508D">
      <w:pPr>
        <w:pStyle w:val="NormalWeb"/>
        <w:spacing w:before="0" w:beforeAutospacing="0" w:after="0" w:afterAutospacing="0" w:line="360" w:lineRule="auto"/>
        <w:ind w:right="45" w:firstLine="851"/>
        <w:jc w:val="both"/>
      </w:pPr>
    </w:p>
    <w:p w:rsidR="005D6CC9" w:rsidRDefault="0019035C" w:rsidP="001D508D">
      <w:pPr>
        <w:tabs>
          <w:tab w:val="left" w:pos="708"/>
          <w:tab w:val="left" w:pos="1416"/>
          <w:tab w:val="left" w:pos="2124"/>
          <w:tab w:val="left" w:pos="2832"/>
          <w:tab w:val="right" w:pos="8504"/>
        </w:tabs>
        <w:spacing w:line="360" w:lineRule="auto"/>
        <w:jc w:val="both"/>
        <w:rPr>
          <w:rFonts w:ascii="Times New Roman" w:hAnsi="Times New Roman" w:cs="Times New Roman"/>
          <w:b/>
          <w:szCs w:val="24"/>
        </w:rPr>
      </w:pPr>
      <w:r>
        <w:rPr>
          <w:rFonts w:ascii="Times New Roman" w:hAnsi="Times New Roman" w:cs="Times New Roman"/>
          <w:b/>
          <w:szCs w:val="24"/>
        </w:rPr>
        <w:t>1</w:t>
      </w:r>
      <w:r w:rsidR="00F70429" w:rsidRPr="001D508D">
        <w:rPr>
          <w:rFonts w:ascii="Times New Roman" w:hAnsi="Times New Roman" w:cs="Times New Roman"/>
          <w:b/>
          <w:szCs w:val="24"/>
        </w:rPr>
        <w:t>.2. AGROTÓXICOS</w:t>
      </w:r>
    </w:p>
    <w:p w:rsidR="00F70429" w:rsidRPr="001D508D" w:rsidRDefault="00F70429" w:rsidP="00A17D34">
      <w:pPr>
        <w:tabs>
          <w:tab w:val="left" w:pos="708"/>
          <w:tab w:val="left" w:pos="1416"/>
          <w:tab w:val="left" w:pos="2124"/>
          <w:tab w:val="left" w:pos="2832"/>
          <w:tab w:val="right" w:pos="8504"/>
        </w:tabs>
        <w:spacing w:after="0" w:line="360" w:lineRule="auto"/>
        <w:jc w:val="both"/>
        <w:rPr>
          <w:rFonts w:ascii="Times New Roman" w:hAnsi="Times New Roman" w:cs="Times New Roman"/>
          <w:b/>
          <w:szCs w:val="24"/>
        </w:rPr>
      </w:pPr>
      <w:r w:rsidRPr="001D508D">
        <w:rPr>
          <w:rFonts w:ascii="Times New Roman" w:hAnsi="Times New Roman" w:cs="Times New Roman"/>
          <w:b/>
          <w:szCs w:val="24"/>
        </w:rPr>
        <w:tab/>
      </w:r>
    </w:p>
    <w:p w:rsidR="00F70429" w:rsidRPr="001D508D" w:rsidRDefault="00F70429" w:rsidP="001D508D">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 xml:space="preserve">O surgimento de produtos químicos empregados no combate às pragas da lavoura representou grande progresso na agricultura, sobretudo na produção em grande escala, trazendo consigo um novo conceito de produção. O conjunto de produtos químicos recebeu as denominações de defensivos agrícolas, pesticidas, praguicidas, produtos fitossanitários ou </w:t>
      </w:r>
      <w:r w:rsidRPr="001D508D">
        <w:rPr>
          <w:rFonts w:ascii="Times New Roman" w:eastAsia="Calibri" w:hAnsi="Times New Roman" w:cs="Times New Roman"/>
          <w:szCs w:val="24"/>
        </w:rPr>
        <w:lastRenderedPageBreak/>
        <w:t>agrotóxicos, este último termo restrito ao Brasil, por força da Lei Nº 7.802/89 (</w:t>
      </w:r>
      <w:proofErr w:type="spellStart"/>
      <w:r w:rsidRPr="001D508D">
        <w:rPr>
          <w:rFonts w:ascii="Times New Roman" w:eastAsia="Calibri" w:hAnsi="Times New Roman" w:cs="Times New Roman"/>
          <w:szCs w:val="24"/>
        </w:rPr>
        <w:t>Kotaka</w:t>
      </w:r>
      <w:proofErr w:type="spellEnd"/>
      <w:r w:rsidRPr="001D508D">
        <w:rPr>
          <w:rFonts w:ascii="Times New Roman" w:eastAsia="Calibri" w:hAnsi="Times New Roman" w:cs="Times New Roman"/>
          <w:szCs w:val="24"/>
        </w:rPr>
        <w:t xml:space="preserve"> e </w:t>
      </w:r>
      <w:proofErr w:type="spellStart"/>
      <w:r w:rsidRPr="001D508D">
        <w:rPr>
          <w:rFonts w:ascii="Times New Roman" w:eastAsia="Calibri" w:hAnsi="Times New Roman" w:cs="Times New Roman"/>
          <w:szCs w:val="24"/>
        </w:rPr>
        <w:t>Zambrone</w:t>
      </w:r>
      <w:proofErr w:type="spellEnd"/>
      <w:r w:rsidRPr="001D508D">
        <w:rPr>
          <w:rFonts w:ascii="Times New Roman" w:eastAsia="Calibri" w:hAnsi="Times New Roman" w:cs="Times New Roman"/>
          <w:szCs w:val="24"/>
        </w:rPr>
        <w:t>, 2001).</w:t>
      </w:r>
    </w:p>
    <w:p w:rsidR="00F70429" w:rsidRPr="001D508D" w:rsidRDefault="00F70429" w:rsidP="001D508D">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Segundo a Associação Nacional de Defesa Vegetal (ANDEF, 200</w:t>
      </w:r>
      <w:r w:rsidR="006B2157" w:rsidRPr="001D508D">
        <w:rPr>
          <w:rFonts w:ascii="Times New Roman" w:eastAsia="Calibri" w:hAnsi="Times New Roman" w:cs="Times New Roman"/>
          <w:szCs w:val="24"/>
        </w:rPr>
        <w:t>9</w:t>
      </w:r>
      <w:r w:rsidRPr="001D508D">
        <w:rPr>
          <w:rFonts w:ascii="Times New Roman" w:eastAsia="Calibri" w:hAnsi="Times New Roman" w:cs="Times New Roman"/>
          <w:szCs w:val="24"/>
        </w:rPr>
        <w:t xml:space="preserve">), 100 milhões de litros de agrotóxicos são vendidos no Brasil anualmente, sendo que </w:t>
      </w:r>
      <w:smartTag w:uri="urn:schemas-microsoft-com:office:smarttags" w:element="metricconverter">
        <w:smartTagPr>
          <w:attr w:name="ProductID" w:val="300 litros"/>
        </w:smartTagPr>
        <w:r w:rsidRPr="001D508D">
          <w:rPr>
            <w:rFonts w:ascii="Times New Roman" w:eastAsia="Calibri" w:hAnsi="Times New Roman" w:cs="Times New Roman"/>
            <w:szCs w:val="24"/>
          </w:rPr>
          <w:t>300 litros</w:t>
        </w:r>
      </w:smartTag>
      <w:r w:rsidRPr="001D508D">
        <w:rPr>
          <w:rFonts w:ascii="Times New Roman" w:eastAsia="Calibri" w:hAnsi="Times New Roman" w:cs="Times New Roman"/>
          <w:szCs w:val="24"/>
        </w:rPr>
        <w:t xml:space="preserve"> permanecem nas embalagens vazias, oferecendo altos riscos aos que os manipulam e aos resíduos lançados no meio ambiente.</w:t>
      </w:r>
    </w:p>
    <w:p w:rsidR="00F70429" w:rsidRPr="001D508D" w:rsidRDefault="00F70429" w:rsidP="001D508D">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 xml:space="preserve">A Legislação Federal de Agrotóxicos e Afins, conforme a Lei Nº 7.802, de 11 de Julho de 1989, Art. 20, define-os como: “os produtos e os agentes de processos físicos, químicos ou biológicos, destinados ao uso nos setores de produção, no armazenamento e beneficiamento de produtos agrícolas, nas pastagens, na proteção de florestas, nativas ou implantadas, e de outros ecossistemas e também de ambientes urbanos, hídricos e industriais, cuja finalidade seja alterar a composição da flora e da fauna, </w:t>
      </w:r>
      <w:proofErr w:type="gramStart"/>
      <w:r w:rsidRPr="001D508D">
        <w:rPr>
          <w:rFonts w:ascii="Times New Roman" w:eastAsia="Calibri" w:hAnsi="Times New Roman" w:cs="Times New Roman"/>
          <w:szCs w:val="24"/>
        </w:rPr>
        <w:t>afim de</w:t>
      </w:r>
      <w:proofErr w:type="gramEnd"/>
      <w:r w:rsidRPr="001D508D">
        <w:rPr>
          <w:rFonts w:ascii="Times New Roman" w:eastAsia="Calibri" w:hAnsi="Times New Roman" w:cs="Times New Roman"/>
          <w:szCs w:val="24"/>
        </w:rPr>
        <w:t xml:space="preserve"> preservá-la da ação danosa de seres vivos considerados nocivos; substância e produtos empregados como desfolhantes, dessecantes, estimuladores e inibidores de crescimento.”</w:t>
      </w:r>
    </w:p>
    <w:p w:rsidR="00F70429" w:rsidRPr="001D508D" w:rsidRDefault="005D522F" w:rsidP="001D508D">
      <w:pPr>
        <w:autoSpaceDE w:val="0"/>
        <w:autoSpaceDN w:val="0"/>
        <w:adjustRightInd w:val="0"/>
        <w:spacing w:after="0" w:line="360" w:lineRule="auto"/>
        <w:ind w:firstLine="708"/>
        <w:jc w:val="both"/>
        <w:rPr>
          <w:rFonts w:ascii="Times New Roman" w:eastAsia="Calibri" w:hAnsi="Times New Roman" w:cs="Times New Roman"/>
          <w:szCs w:val="24"/>
        </w:rPr>
      </w:pPr>
      <w:r>
        <w:rPr>
          <w:rFonts w:ascii="Times New Roman" w:eastAsia="Calibri" w:hAnsi="Times New Roman" w:cs="Times New Roman"/>
          <w:szCs w:val="24"/>
        </w:rPr>
        <w:t xml:space="preserve">  </w:t>
      </w:r>
      <w:r w:rsidR="00F70429" w:rsidRPr="001D508D">
        <w:rPr>
          <w:rFonts w:ascii="Times New Roman" w:eastAsia="Calibri" w:hAnsi="Times New Roman" w:cs="Times New Roman"/>
          <w:szCs w:val="24"/>
        </w:rPr>
        <w:t xml:space="preserve">Dentre os inúmeros problemas decorrentes da prática de utilização de agrotóxicos, a contaminação do ambiente, principalmente do solo e da água, por perdas de agrotóxicos para áreas </w:t>
      </w:r>
      <w:proofErr w:type="gramStart"/>
      <w:r w:rsidR="00F70429" w:rsidRPr="001D508D">
        <w:rPr>
          <w:rFonts w:ascii="Times New Roman" w:eastAsia="Calibri" w:hAnsi="Times New Roman" w:cs="Times New Roman"/>
          <w:szCs w:val="24"/>
        </w:rPr>
        <w:t>não-alvo</w:t>
      </w:r>
      <w:proofErr w:type="gramEnd"/>
      <w:r w:rsidR="00F70429" w:rsidRPr="001D508D">
        <w:rPr>
          <w:rFonts w:ascii="Times New Roman" w:eastAsia="Calibri" w:hAnsi="Times New Roman" w:cs="Times New Roman"/>
          <w:szCs w:val="24"/>
        </w:rPr>
        <w:t xml:space="preserve"> tem provocado críticas severas ao uso desses produtos e grandes preocupações quando noticiados os efeitos nocivos que esses desperdícios provocam.</w:t>
      </w:r>
    </w:p>
    <w:p w:rsidR="00F70429" w:rsidRPr="001D508D" w:rsidRDefault="005D522F" w:rsidP="001D508D">
      <w:pPr>
        <w:autoSpaceDE w:val="0"/>
        <w:autoSpaceDN w:val="0"/>
        <w:adjustRightInd w:val="0"/>
        <w:spacing w:after="0" w:line="360" w:lineRule="auto"/>
        <w:ind w:firstLine="360"/>
        <w:jc w:val="both"/>
        <w:rPr>
          <w:rFonts w:ascii="Times New Roman" w:eastAsia="Calibri" w:hAnsi="Times New Roman" w:cs="Times New Roman"/>
          <w:szCs w:val="24"/>
        </w:rPr>
      </w:pPr>
      <w:r>
        <w:rPr>
          <w:rFonts w:ascii="Times New Roman" w:eastAsia="Calibri" w:hAnsi="Times New Roman" w:cs="Times New Roman"/>
          <w:szCs w:val="24"/>
        </w:rPr>
        <w:t xml:space="preserve">    </w:t>
      </w:r>
      <w:r>
        <w:rPr>
          <w:rFonts w:ascii="Times New Roman" w:eastAsia="Calibri" w:hAnsi="Times New Roman" w:cs="Times New Roman"/>
          <w:szCs w:val="24"/>
        </w:rPr>
        <w:tab/>
        <w:t xml:space="preserve"> </w:t>
      </w:r>
      <w:r w:rsidR="00F70429" w:rsidRPr="001D508D">
        <w:rPr>
          <w:rFonts w:ascii="Times New Roman" w:eastAsia="Calibri" w:hAnsi="Times New Roman" w:cs="Times New Roman"/>
          <w:szCs w:val="24"/>
        </w:rPr>
        <w:t>Aspectos como o tipo de aplicação, o número de tratamentos, formulação do agrotóxico aplicado, dose recomendada, tipos de equipamentos e outros fatores são parcialmente interdependentes e devem ser criteriosamente obedecidos para conseguir melhores efeitos biológicos e menos impactos ambientais.</w:t>
      </w: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As principais fontes de contaminação direta do solo por agrotóxicos são evidenciadas no ato da aplicação, quando o produto é lançado diretamente no solo ou quando há vazamento ou derramamento do equipamento por má conservação ou uso inadequado. De forma indireta, o solo pode receber os agrotóxicos por várias fontes como, por exemplo, pela incorporação dos restos de cultura tratada, pela ação do vento e lavagem das plantas pela água de chuva ou de irrigação.</w:t>
      </w: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 xml:space="preserve">Com o desperdício nas aplicações dos produtos, geralmente os alimentos comercializados possuem enormes quantidades de produtos químicos que têm efeitos nocivos para a saúde da população. A falta de informação da maioria dos agricultores da necessidade de se utilizar equipamentos de proteção individual (EPI) também é um fator de grave risco quando se trata do uso de agrotóxicos, principalmente no que diz respeito a intoxicações: </w:t>
      </w:r>
      <w:r w:rsidRPr="001D508D">
        <w:rPr>
          <w:rFonts w:ascii="Times New Roman" w:eastAsia="Calibri" w:hAnsi="Times New Roman" w:cs="Times New Roman"/>
          <w:szCs w:val="24"/>
        </w:rPr>
        <w:lastRenderedPageBreak/>
        <w:t>impacto sobre a saúde pública, com sérios riscos de desenvolvimento de câncer e podendo levar à morte.</w:t>
      </w: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A substância química, por si só, não é totalmente má ou boa. A caracterização do risco que ela representa será conseq</w:t>
      </w:r>
      <w:r w:rsidR="002555F5">
        <w:rPr>
          <w:rFonts w:ascii="Times New Roman" w:eastAsia="Calibri" w:hAnsi="Times New Roman" w:cs="Times New Roman"/>
          <w:szCs w:val="24"/>
        </w:rPr>
        <w:t>uê</w:t>
      </w:r>
      <w:r w:rsidRPr="001D508D">
        <w:rPr>
          <w:rFonts w:ascii="Times New Roman" w:eastAsia="Calibri" w:hAnsi="Times New Roman" w:cs="Times New Roman"/>
          <w:szCs w:val="24"/>
        </w:rPr>
        <w:t>ncia do tipo de uso, da dose utilizada e da exposição a que um indivíduo é submetido, aliado à toxicidade inerente ao produto (</w:t>
      </w:r>
      <w:proofErr w:type="spellStart"/>
      <w:r w:rsidRPr="001D508D">
        <w:rPr>
          <w:rFonts w:ascii="Times New Roman" w:eastAsia="Calibri" w:hAnsi="Times New Roman" w:cs="Times New Roman"/>
          <w:szCs w:val="24"/>
        </w:rPr>
        <w:t>Kotaka</w:t>
      </w:r>
      <w:proofErr w:type="spellEnd"/>
      <w:r w:rsidRPr="001D508D">
        <w:rPr>
          <w:rFonts w:ascii="Times New Roman" w:eastAsia="Calibri" w:hAnsi="Times New Roman" w:cs="Times New Roman"/>
          <w:szCs w:val="24"/>
        </w:rPr>
        <w:t xml:space="preserve"> e </w:t>
      </w:r>
      <w:proofErr w:type="spellStart"/>
      <w:r w:rsidRPr="001D508D">
        <w:rPr>
          <w:rFonts w:ascii="Times New Roman" w:eastAsia="Calibri" w:hAnsi="Times New Roman" w:cs="Times New Roman"/>
          <w:szCs w:val="24"/>
        </w:rPr>
        <w:t>Zambrone</w:t>
      </w:r>
      <w:proofErr w:type="spellEnd"/>
      <w:r w:rsidRPr="001D508D">
        <w:rPr>
          <w:rFonts w:ascii="Times New Roman" w:eastAsia="Calibri" w:hAnsi="Times New Roman" w:cs="Times New Roman"/>
          <w:szCs w:val="24"/>
        </w:rPr>
        <w:t>, 2001). Portanto, a utilização dos equipamentos de proteção individual (EPI) nas aplicações de agrotóxicos é de extrema importância para a saúde do trabalhador.</w:t>
      </w: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 xml:space="preserve">Os resíduos químicos tóxicos presentes em embalagens de agrotóxicos e afins, quando abandonados no ambiente ou descartados em aterros e lixões, </w:t>
      </w:r>
      <w:proofErr w:type="gramStart"/>
      <w:r w:rsidRPr="001D508D">
        <w:rPr>
          <w:rFonts w:ascii="Times New Roman" w:eastAsia="Calibri" w:hAnsi="Times New Roman" w:cs="Times New Roman"/>
          <w:szCs w:val="24"/>
        </w:rPr>
        <w:t>sob ação</w:t>
      </w:r>
      <w:proofErr w:type="gramEnd"/>
      <w:r w:rsidRPr="001D508D">
        <w:rPr>
          <w:rFonts w:ascii="Times New Roman" w:eastAsia="Calibri" w:hAnsi="Times New Roman" w:cs="Times New Roman"/>
          <w:szCs w:val="24"/>
        </w:rPr>
        <w:t xml:space="preserve"> da chuva, podem migrar para águas superficiais e subterrâneas, contaminando o solo e lençóis freáticos (</w:t>
      </w:r>
      <w:r w:rsidR="00FB45D4" w:rsidRPr="001D508D">
        <w:rPr>
          <w:rFonts w:ascii="Times New Roman" w:eastAsia="Calibri" w:hAnsi="Times New Roman" w:cs="Times New Roman"/>
          <w:szCs w:val="24"/>
        </w:rPr>
        <w:t>IPT/</w:t>
      </w:r>
      <w:r w:rsidRPr="001D508D">
        <w:rPr>
          <w:rFonts w:ascii="Times New Roman" w:eastAsia="Calibri" w:hAnsi="Times New Roman" w:cs="Times New Roman"/>
          <w:szCs w:val="24"/>
        </w:rPr>
        <w:t>CEMPRE, 2000). A tríplice lavagem das embalagens, conforme recomendada na Lei Nº 9974/00, antes do seu descarte, pode ser uma das práticas para a solução desse problema juntamente com a educação ambiental continuada sobre os perigos inerentes ao uso impróprio desses produtos.</w:t>
      </w: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Além disso, muitas vezes por falta de informação e educação dos agricultores (maioria sem qualificação profissional), essas mesmas embalagens são utilizadas de forma totalmente irregular como recipientes para armazenamento de água para uso domiciliar, fazendo com que os problemas de saúde pública se agravem devido à inge</w:t>
      </w:r>
      <w:r w:rsidR="002555F5">
        <w:rPr>
          <w:rFonts w:ascii="Times New Roman" w:eastAsia="Calibri" w:hAnsi="Times New Roman" w:cs="Times New Roman"/>
          <w:szCs w:val="24"/>
        </w:rPr>
        <w:t>stão</w:t>
      </w:r>
      <w:r w:rsidRPr="001D508D">
        <w:rPr>
          <w:rFonts w:ascii="Times New Roman" w:eastAsia="Calibri" w:hAnsi="Times New Roman" w:cs="Times New Roman"/>
          <w:szCs w:val="24"/>
        </w:rPr>
        <w:t xml:space="preserve"> de produtos tóxicos.</w:t>
      </w:r>
    </w:p>
    <w:p w:rsidR="00336D49" w:rsidRPr="001D508D" w:rsidRDefault="00336D49" w:rsidP="002555F5">
      <w:pPr>
        <w:autoSpaceDE w:val="0"/>
        <w:autoSpaceDN w:val="0"/>
        <w:adjustRightInd w:val="0"/>
        <w:spacing w:after="0" w:line="360" w:lineRule="auto"/>
        <w:ind w:firstLine="357"/>
        <w:jc w:val="both"/>
        <w:rPr>
          <w:rFonts w:ascii="Times New Roman" w:eastAsia="Calibri" w:hAnsi="Times New Roman" w:cs="Times New Roman"/>
          <w:szCs w:val="24"/>
        </w:rPr>
      </w:pPr>
    </w:p>
    <w:p w:rsidR="00F70429" w:rsidRDefault="0019035C" w:rsidP="005D6CC9">
      <w:pPr>
        <w:autoSpaceDE w:val="0"/>
        <w:autoSpaceDN w:val="0"/>
        <w:adjustRightInd w:val="0"/>
        <w:spacing w:line="360" w:lineRule="auto"/>
        <w:jc w:val="both"/>
        <w:rPr>
          <w:rFonts w:ascii="Times New Roman" w:eastAsia="Calibri" w:hAnsi="Times New Roman" w:cs="Times New Roman"/>
          <w:szCs w:val="24"/>
        </w:rPr>
      </w:pPr>
      <w:r>
        <w:rPr>
          <w:rFonts w:ascii="Times New Roman" w:eastAsia="Calibri" w:hAnsi="Times New Roman" w:cs="Times New Roman"/>
          <w:szCs w:val="24"/>
        </w:rPr>
        <w:t>1</w:t>
      </w:r>
      <w:r w:rsidR="00F70429" w:rsidRPr="001D508D">
        <w:rPr>
          <w:rFonts w:ascii="Times New Roman" w:eastAsia="Calibri" w:hAnsi="Times New Roman" w:cs="Times New Roman"/>
          <w:szCs w:val="24"/>
        </w:rPr>
        <w:t xml:space="preserve">.2.1. </w:t>
      </w:r>
      <w:r w:rsidR="005D6CC9">
        <w:rPr>
          <w:rFonts w:ascii="Times New Roman" w:eastAsia="Calibri" w:hAnsi="Times New Roman" w:cs="Times New Roman"/>
          <w:szCs w:val="24"/>
        </w:rPr>
        <w:t>CLASSIFICAÇÃO DOS AGROTÓXICOS</w:t>
      </w:r>
    </w:p>
    <w:p w:rsidR="002555F5" w:rsidRPr="001D508D" w:rsidRDefault="002555F5" w:rsidP="002555F5">
      <w:pPr>
        <w:autoSpaceDE w:val="0"/>
        <w:autoSpaceDN w:val="0"/>
        <w:adjustRightInd w:val="0"/>
        <w:spacing w:after="0" w:line="360" w:lineRule="auto"/>
        <w:jc w:val="both"/>
        <w:rPr>
          <w:rFonts w:ascii="Times New Roman" w:eastAsia="Calibri" w:hAnsi="Times New Roman" w:cs="Times New Roman"/>
          <w:szCs w:val="24"/>
        </w:rPr>
      </w:pPr>
    </w:p>
    <w:p w:rsidR="00F70429" w:rsidRDefault="00F70429" w:rsidP="005D522F">
      <w:pPr>
        <w:autoSpaceDE w:val="0"/>
        <w:autoSpaceDN w:val="0"/>
        <w:adjustRightInd w:val="0"/>
        <w:spacing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 xml:space="preserve">Segundo a Organização Mundial de Saúde (OMS), dada a grande diversidade de produtos, cerca de 300 princípios ativos em </w:t>
      </w:r>
      <w:proofErr w:type="gramStart"/>
      <w:r w:rsidRPr="001D508D">
        <w:rPr>
          <w:rFonts w:ascii="Times New Roman" w:eastAsia="Calibri" w:hAnsi="Times New Roman" w:cs="Times New Roman"/>
          <w:szCs w:val="24"/>
        </w:rPr>
        <w:t>2</w:t>
      </w:r>
      <w:proofErr w:type="gramEnd"/>
      <w:r w:rsidRPr="001D508D">
        <w:rPr>
          <w:rFonts w:ascii="Times New Roman" w:eastAsia="Calibri" w:hAnsi="Times New Roman" w:cs="Times New Roman"/>
          <w:szCs w:val="24"/>
        </w:rPr>
        <w:t xml:space="preserve"> mil formulações comerciais diferentes no Brasil, é importante conhecer a classificação dos agrotóxicos quanto á sua ação e ao grupo químico a quem pertencem. Esta classificação também é útil para o diagnóstico das intoxicações e instituição de tratamento específico. O quadro </w:t>
      </w:r>
      <w:proofErr w:type="gramStart"/>
      <w:r w:rsidRPr="001D508D">
        <w:rPr>
          <w:rFonts w:ascii="Times New Roman" w:eastAsia="Calibri" w:hAnsi="Times New Roman" w:cs="Times New Roman"/>
          <w:szCs w:val="24"/>
        </w:rPr>
        <w:t>4</w:t>
      </w:r>
      <w:proofErr w:type="gramEnd"/>
      <w:r w:rsidRPr="001D508D">
        <w:rPr>
          <w:rFonts w:ascii="Times New Roman" w:eastAsia="Calibri" w:hAnsi="Times New Roman" w:cs="Times New Roman"/>
          <w:szCs w:val="24"/>
        </w:rPr>
        <w:t>, abaixo mostra a classificação dos agrotóxicos:</w:t>
      </w:r>
    </w:p>
    <w:p w:rsidR="002555F5" w:rsidRDefault="002555F5" w:rsidP="002555F5">
      <w:pPr>
        <w:autoSpaceDE w:val="0"/>
        <w:autoSpaceDN w:val="0"/>
        <w:adjustRightInd w:val="0"/>
        <w:spacing w:after="0" w:line="360" w:lineRule="auto"/>
        <w:ind w:firstLine="357"/>
        <w:jc w:val="both"/>
        <w:rPr>
          <w:rFonts w:ascii="Times New Roman" w:eastAsia="Calibri" w:hAnsi="Times New Roman" w:cs="Times New Roman"/>
          <w:szCs w:val="24"/>
        </w:rPr>
      </w:pPr>
    </w:p>
    <w:p w:rsidR="009F79E3" w:rsidRDefault="009F79E3" w:rsidP="002555F5">
      <w:pPr>
        <w:autoSpaceDE w:val="0"/>
        <w:autoSpaceDN w:val="0"/>
        <w:adjustRightInd w:val="0"/>
        <w:spacing w:after="0" w:line="360" w:lineRule="auto"/>
        <w:ind w:firstLine="357"/>
        <w:jc w:val="both"/>
        <w:rPr>
          <w:rFonts w:ascii="Times New Roman" w:eastAsia="Calibri" w:hAnsi="Times New Roman" w:cs="Times New Roman"/>
          <w:szCs w:val="24"/>
        </w:rPr>
      </w:pPr>
    </w:p>
    <w:p w:rsidR="009F79E3" w:rsidRDefault="009F79E3" w:rsidP="002555F5">
      <w:pPr>
        <w:autoSpaceDE w:val="0"/>
        <w:autoSpaceDN w:val="0"/>
        <w:adjustRightInd w:val="0"/>
        <w:spacing w:after="0" w:line="360" w:lineRule="auto"/>
        <w:ind w:firstLine="357"/>
        <w:jc w:val="both"/>
        <w:rPr>
          <w:rFonts w:ascii="Times New Roman" w:eastAsia="Calibri" w:hAnsi="Times New Roman" w:cs="Times New Roman"/>
          <w:szCs w:val="24"/>
        </w:rPr>
      </w:pPr>
    </w:p>
    <w:p w:rsidR="009F79E3" w:rsidRDefault="009F79E3" w:rsidP="002555F5">
      <w:pPr>
        <w:autoSpaceDE w:val="0"/>
        <w:autoSpaceDN w:val="0"/>
        <w:adjustRightInd w:val="0"/>
        <w:spacing w:after="0" w:line="360" w:lineRule="auto"/>
        <w:ind w:firstLine="357"/>
        <w:jc w:val="both"/>
        <w:rPr>
          <w:rFonts w:ascii="Times New Roman" w:eastAsia="Calibri" w:hAnsi="Times New Roman" w:cs="Times New Roman"/>
          <w:szCs w:val="24"/>
        </w:rPr>
      </w:pPr>
    </w:p>
    <w:p w:rsidR="009F79E3" w:rsidRPr="001D508D" w:rsidRDefault="009F79E3" w:rsidP="002555F5">
      <w:pPr>
        <w:autoSpaceDE w:val="0"/>
        <w:autoSpaceDN w:val="0"/>
        <w:adjustRightInd w:val="0"/>
        <w:spacing w:after="0" w:line="360" w:lineRule="auto"/>
        <w:ind w:firstLine="35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786"/>
        <w:gridCol w:w="3102"/>
      </w:tblGrid>
      <w:tr w:rsidR="00F70429" w:rsidRPr="001D508D" w:rsidTr="001273E9">
        <w:tc>
          <w:tcPr>
            <w:tcW w:w="2832"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b/>
                <w:szCs w:val="24"/>
              </w:rPr>
            </w:pPr>
            <w:r w:rsidRPr="001D508D">
              <w:rPr>
                <w:rFonts w:ascii="Times New Roman" w:eastAsia="Calibri" w:hAnsi="Times New Roman" w:cs="Times New Roman"/>
                <w:b/>
                <w:szCs w:val="24"/>
              </w:rPr>
              <w:lastRenderedPageBreak/>
              <w:t>AGROTÓXICOS</w:t>
            </w:r>
          </w:p>
        </w:tc>
        <w:tc>
          <w:tcPr>
            <w:tcW w:w="2786"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b/>
                <w:szCs w:val="24"/>
              </w:rPr>
            </w:pPr>
            <w:r w:rsidRPr="001D508D">
              <w:rPr>
                <w:rFonts w:ascii="Times New Roman" w:eastAsia="Calibri" w:hAnsi="Times New Roman" w:cs="Times New Roman"/>
                <w:b/>
                <w:szCs w:val="24"/>
              </w:rPr>
              <w:t>AÇÃO</w:t>
            </w:r>
          </w:p>
        </w:tc>
        <w:tc>
          <w:tcPr>
            <w:tcW w:w="3102"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b/>
                <w:szCs w:val="24"/>
              </w:rPr>
            </w:pPr>
            <w:r w:rsidRPr="001D508D">
              <w:rPr>
                <w:rFonts w:ascii="Times New Roman" w:eastAsia="Calibri" w:hAnsi="Times New Roman" w:cs="Times New Roman"/>
                <w:b/>
                <w:szCs w:val="24"/>
              </w:rPr>
              <w:t>GRUPOS QUÍMICOS</w:t>
            </w:r>
          </w:p>
        </w:tc>
      </w:tr>
      <w:tr w:rsidR="00F70429" w:rsidRPr="001D508D" w:rsidTr="001273E9">
        <w:tc>
          <w:tcPr>
            <w:tcW w:w="2832"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szCs w:val="24"/>
              </w:rPr>
            </w:pPr>
            <w:r w:rsidRPr="001D508D">
              <w:rPr>
                <w:rFonts w:ascii="Times New Roman" w:eastAsia="Calibri" w:hAnsi="Times New Roman" w:cs="Times New Roman"/>
                <w:szCs w:val="24"/>
              </w:rPr>
              <w:t>Inseticidas</w:t>
            </w:r>
          </w:p>
        </w:tc>
        <w:tc>
          <w:tcPr>
            <w:tcW w:w="2786"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szCs w:val="24"/>
              </w:rPr>
            </w:pPr>
            <w:r w:rsidRPr="001D508D">
              <w:rPr>
                <w:rFonts w:ascii="Times New Roman" w:eastAsia="Calibri" w:hAnsi="Times New Roman" w:cs="Times New Roman"/>
                <w:szCs w:val="24"/>
              </w:rPr>
              <w:t>Combatem insetos</w:t>
            </w:r>
          </w:p>
        </w:tc>
        <w:tc>
          <w:tcPr>
            <w:tcW w:w="3102" w:type="dxa"/>
          </w:tcPr>
          <w:p w:rsidR="00F70429" w:rsidRPr="001D508D" w:rsidRDefault="00F70429" w:rsidP="001D508D">
            <w:pPr>
              <w:pStyle w:val="PargrafodaLista"/>
              <w:numPr>
                <w:ilvl w:val="0"/>
                <w:numId w:val="2"/>
              </w:numPr>
              <w:autoSpaceDE w:val="0"/>
              <w:autoSpaceDN w:val="0"/>
              <w:adjustRightInd w:val="0"/>
              <w:spacing w:after="0" w:line="360" w:lineRule="auto"/>
              <w:jc w:val="both"/>
              <w:rPr>
                <w:rFonts w:ascii="Times New Roman" w:eastAsia="Calibri" w:hAnsi="Times New Roman" w:cs="Times New Roman"/>
                <w:szCs w:val="24"/>
                <w:lang w:val="en-US"/>
              </w:rPr>
            </w:pPr>
            <w:proofErr w:type="spellStart"/>
            <w:r w:rsidRPr="001D508D">
              <w:rPr>
                <w:rFonts w:ascii="Times New Roman" w:eastAsia="Calibri" w:hAnsi="Times New Roman" w:cs="Times New Roman"/>
                <w:iCs/>
                <w:szCs w:val="24"/>
              </w:rPr>
              <w:t>Organofasforados</w:t>
            </w:r>
            <w:proofErr w:type="spellEnd"/>
            <w:r w:rsidRPr="001D508D">
              <w:rPr>
                <w:rFonts w:ascii="Times New Roman" w:eastAsia="Calibri" w:hAnsi="Times New Roman" w:cs="Times New Roman"/>
                <w:iCs/>
                <w:szCs w:val="24"/>
              </w:rPr>
              <w:t xml:space="preserve"> </w:t>
            </w:r>
          </w:p>
          <w:p w:rsidR="00F70429" w:rsidRPr="001D508D" w:rsidRDefault="00F70429" w:rsidP="001D508D">
            <w:pPr>
              <w:pStyle w:val="PargrafodaLista"/>
              <w:numPr>
                <w:ilvl w:val="0"/>
                <w:numId w:val="2"/>
              </w:numPr>
              <w:autoSpaceDE w:val="0"/>
              <w:autoSpaceDN w:val="0"/>
              <w:adjustRightInd w:val="0"/>
              <w:spacing w:after="0" w:line="360" w:lineRule="auto"/>
              <w:jc w:val="both"/>
              <w:rPr>
                <w:rFonts w:ascii="Times New Roman" w:eastAsia="Calibri" w:hAnsi="Times New Roman" w:cs="Times New Roman"/>
                <w:szCs w:val="24"/>
              </w:rPr>
            </w:pPr>
            <w:r w:rsidRPr="001D508D">
              <w:rPr>
                <w:rFonts w:ascii="Times New Roman" w:eastAsia="Calibri" w:hAnsi="Times New Roman" w:cs="Times New Roman"/>
                <w:szCs w:val="24"/>
              </w:rPr>
              <w:t></w:t>
            </w:r>
            <w:proofErr w:type="spellStart"/>
            <w:r w:rsidRPr="001D508D">
              <w:rPr>
                <w:rFonts w:ascii="Times New Roman" w:eastAsia="Calibri" w:hAnsi="Times New Roman" w:cs="Times New Roman"/>
                <w:iCs/>
                <w:szCs w:val="24"/>
              </w:rPr>
              <w:t>carbamatos</w:t>
            </w:r>
            <w:proofErr w:type="spellEnd"/>
          </w:p>
          <w:p w:rsidR="00F70429" w:rsidRPr="001D508D" w:rsidRDefault="00F70429" w:rsidP="001D508D">
            <w:pPr>
              <w:pStyle w:val="PargrafodaLista"/>
              <w:numPr>
                <w:ilvl w:val="0"/>
                <w:numId w:val="2"/>
              </w:numPr>
              <w:autoSpaceDE w:val="0"/>
              <w:autoSpaceDN w:val="0"/>
              <w:adjustRightInd w:val="0"/>
              <w:spacing w:after="0" w:line="360" w:lineRule="auto"/>
              <w:jc w:val="both"/>
              <w:rPr>
                <w:rFonts w:ascii="Times New Roman" w:eastAsia="Calibri" w:hAnsi="Times New Roman" w:cs="Times New Roman"/>
                <w:szCs w:val="24"/>
              </w:rPr>
            </w:pPr>
            <w:r w:rsidRPr="001D508D">
              <w:rPr>
                <w:rFonts w:ascii="Times New Roman" w:eastAsia="Calibri" w:hAnsi="Times New Roman" w:cs="Times New Roman"/>
                <w:szCs w:val="24"/>
              </w:rPr>
              <w:t></w:t>
            </w:r>
            <w:r w:rsidRPr="001D508D">
              <w:rPr>
                <w:rFonts w:ascii="Times New Roman" w:eastAsia="Calibri" w:hAnsi="Times New Roman" w:cs="Times New Roman"/>
                <w:iCs/>
                <w:szCs w:val="24"/>
              </w:rPr>
              <w:t>organoclorados</w:t>
            </w:r>
          </w:p>
          <w:p w:rsidR="00F70429" w:rsidRPr="001D508D" w:rsidRDefault="00F70429" w:rsidP="001D508D">
            <w:pPr>
              <w:numPr>
                <w:ilvl w:val="0"/>
                <w:numId w:val="2"/>
              </w:numPr>
              <w:autoSpaceDE w:val="0"/>
              <w:autoSpaceDN w:val="0"/>
              <w:adjustRightInd w:val="0"/>
              <w:spacing w:after="0" w:line="360" w:lineRule="auto"/>
              <w:rPr>
                <w:rFonts w:ascii="Times New Roman" w:eastAsia="Calibri" w:hAnsi="Times New Roman" w:cs="Times New Roman"/>
                <w:szCs w:val="24"/>
              </w:rPr>
            </w:pPr>
            <w:proofErr w:type="spellStart"/>
            <w:proofErr w:type="gramStart"/>
            <w:r w:rsidRPr="001D508D">
              <w:rPr>
                <w:rFonts w:ascii="Times New Roman" w:eastAsia="Calibri" w:hAnsi="Times New Roman" w:cs="Times New Roman"/>
                <w:iCs/>
                <w:szCs w:val="24"/>
              </w:rPr>
              <w:t>piretróides</w:t>
            </w:r>
            <w:proofErr w:type="spellEnd"/>
            <w:proofErr w:type="gramEnd"/>
            <w:r w:rsidRPr="001D508D">
              <w:rPr>
                <w:rFonts w:ascii="Times New Roman" w:eastAsia="Calibri" w:hAnsi="Times New Roman" w:cs="Times New Roman"/>
                <w:szCs w:val="24"/>
              </w:rPr>
              <w:t>.</w:t>
            </w:r>
          </w:p>
        </w:tc>
      </w:tr>
      <w:tr w:rsidR="00F70429" w:rsidRPr="001D508D" w:rsidTr="001273E9">
        <w:tc>
          <w:tcPr>
            <w:tcW w:w="2832"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szCs w:val="24"/>
              </w:rPr>
            </w:pPr>
            <w:r w:rsidRPr="001D508D">
              <w:rPr>
                <w:rFonts w:ascii="Times New Roman" w:eastAsia="Calibri" w:hAnsi="Times New Roman" w:cs="Times New Roman"/>
                <w:szCs w:val="24"/>
              </w:rPr>
              <w:t>Fungicidas</w:t>
            </w:r>
          </w:p>
        </w:tc>
        <w:tc>
          <w:tcPr>
            <w:tcW w:w="2786"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szCs w:val="24"/>
              </w:rPr>
            </w:pPr>
            <w:r w:rsidRPr="001D508D">
              <w:rPr>
                <w:rFonts w:ascii="Times New Roman" w:eastAsia="Calibri" w:hAnsi="Times New Roman" w:cs="Times New Roman"/>
                <w:szCs w:val="24"/>
              </w:rPr>
              <w:t>Combatem fungos</w:t>
            </w:r>
          </w:p>
        </w:tc>
        <w:tc>
          <w:tcPr>
            <w:tcW w:w="3102" w:type="dxa"/>
          </w:tcPr>
          <w:p w:rsidR="00F70429" w:rsidRPr="001D508D" w:rsidRDefault="00F70429" w:rsidP="001D508D">
            <w:pPr>
              <w:pStyle w:val="PargrafodaLista"/>
              <w:numPr>
                <w:ilvl w:val="0"/>
                <w:numId w:val="3"/>
              </w:numPr>
              <w:autoSpaceDE w:val="0"/>
              <w:autoSpaceDN w:val="0"/>
              <w:adjustRightInd w:val="0"/>
              <w:spacing w:after="0" w:line="360" w:lineRule="auto"/>
              <w:jc w:val="both"/>
              <w:rPr>
                <w:rFonts w:ascii="Times New Roman" w:eastAsia="Calibri" w:hAnsi="Times New Roman" w:cs="Times New Roman"/>
                <w:szCs w:val="24"/>
              </w:rPr>
            </w:pPr>
            <w:proofErr w:type="spellStart"/>
            <w:proofErr w:type="gramStart"/>
            <w:r w:rsidRPr="001D508D">
              <w:rPr>
                <w:rFonts w:ascii="Times New Roman" w:eastAsia="Calibri" w:hAnsi="Times New Roman" w:cs="Times New Roman"/>
                <w:iCs/>
                <w:szCs w:val="24"/>
              </w:rPr>
              <w:t>etileno</w:t>
            </w:r>
            <w:proofErr w:type="gramEnd"/>
            <w:r w:rsidRPr="001D508D">
              <w:rPr>
                <w:rFonts w:ascii="Times New Roman" w:eastAsia="Calibri" w:hAnsi="Times New Roman" w:cs="Times New Roman"/>
                <w:iCs/>
                <w:szCs w:val="24"/>
              </w:rPr>
              <w:t>-bis-ditiocarbonatos</w:t>
            </w:r>
            <w:proofErr w:type="spellEnd"/>
          </w:p>
          <w:p w:rsidR="00F70429" w:rsidRPr="001D508D" w:rsidRDefault="00F70429" w:rsidP="001D508D">
            <w:pPr>
              <w:pStyle w:val="PargrafodaLista"/>
              <w:numPr>
                <w:ilvl w:val="0"/>
                <w:numId w:val="3"/>
              </w:numPr>
              <w:autoSpaceDE w:val="0"/>
              <w:autoSpaceDN w:val="0"/>
              <w:adjustRightInd w:val="0"/>
              <w:spacing w:after="0" w:line="360" w:lineRule="auto"/>
              <w:jc w:val="both"/>
              <w:rPr>
                <w:rFonts w:ascii="Times New Roman" w:eastAsia="Calibri" w:hAnsi="Times New Roman" w:cs="Times New Roman"/>
                <w:szCs w:val="24"/>
              </w:rPr>
            </w:pPr>
            <w:r w:rsidRPr="001D508D">
              <w:rPr>
                <w:rFonts w:ascii="Times New Roman" w:eastAsia="Calibri" w:hAnsi="Times New Roman" w:cs="Times New Roman"/>
                <w:szCs w:val="24"/>
              </w:rPr>
              <w:t></w:t>
            </w:r>
            <w:proofErr w:type="spellStart"/>
            <w:r w:rsidRPr="001D508D">
              <w:rPr>
                <w:rFonts w:ascii="Times New Roman" w:eastAsia="Calibri" w:hAnsi="Times New Roman" w:cs="Times New Roman"/>
                <w:iCs/>
                <w:szCs w:val="24"/>
              </w:rPr>
              <w:t>trifenil</w:t>
            </w:r>
            <w:proofErr w:type="spellEnd"/>
            <w:r w:rsidRPr="001D508D">
              <w:rPr>
                <w:rFonts w:ascii="Times New Roman" w:eastAsia="Calibri" w:hAnsi="Times New Roman" w:cs="Times New Roman"/>
                <w:iCs/>
                <w:szCs w:val="24"/>
              </w:rPr>
              <w:t xml:space="preserve"> </w:t>
            </w:r>
            <w:proofErr w:type="spellStart"/>
            <w:r w:rsidRPr="001D508D">
              <w:rPr>
                <w:rFonts w:ascii="Times New Roman" w:eastAsia="Calibri" w:hAnsi="Times New Roman" w:cs="Times New Roman"/>
                <w:iCs/>
                <w:szCs w:val="24"/>
              </w:rPr>
              <w:t>estânico</w:t>
            </w:r>
            <w:proofErr w:type="spellEnd"/>
            <w:r w:rsidRPr="001D508D">
              <w:rPr>
                <w:rFonts w:ascii="Times New Roman" w:eastAsia="Calibri" w:hAnsi="Times New Roman" w:cs="Times New Roman"/>
                <w:szCs w:val="24"/>
              </w:rPr>
              <w:t>.</w:t>
            </w:r>
          </w:p>
          <w:p w:rsidR="00F70429" w:rsidRPr="001D508D" w:rsidRDefault="00F70429" w:rsidP="001D508D">
            <w:pPr>
              <w:pStyle w:val="PargrafodaLista"/>
              <w:numPr>
                <w:ilvl w:val="0"/>
                <w:numId w:val="3"/>
              </w:numPr>
              <w:autoSpaceDE w:val="0"/>
              <w:autoSpaceDN w:val="0"/>
              <w:adjustRightInd w:val="0"/>
              <w:spacing w:after="0" w:line="360" w:lineRule="auto"/>
              <w:jc w:val="both"/>
              <w:rPr>
                <w:rFonts w:ascii="Times New Roman" w:eastAsia="Calibri" w:hAnsi="Times New Roman" w:cs="Times New Roman"/>
                <w:szCs w:val="24"/>
              </w:rPr>
            </w:pPr>
            <w:r w:rsidRPr="001D508D">
              <w:rPr>
                <w:rFonts w:ascii="Times New Roman" w:eastAsia="Calibri" w:hAnsi="Times New Roman" w:cs="Times New Roman"/>
                <w:szCs w:val="24"/>
              </w:rPr>
              <w:t></w:t>
            </w:r>
            <w:proofErr w:type="spellStart"/>
            <w:r w:rsidRPr="001D508D">
              <w:rPr>
                <w:rFonts w:ascii="Times New Roman" w:eastAsia="Calibri" w:hAnsi="Times New Roman" w:cs="Times New Roman"/>
                <w:iCs/>
                <w:szCs w:val="24"/>
              </w:rPr>
              <w:t>captan</w:t>
            </w:r>
            <w:proofErr w:type="spellEnd"/>
          </w:p>
          <w:p w:rsidR="00F70429" w:rsidRPr="001D508D" w:rsidRDefault="00F70429" w:rsidP="001D508D">
            <w:pPr>
              <w:numPr>
                <w:ilvl w:val="0"/>
                <w:numId w:val="3"/>
              </w:numPr>
              <w:autoSpaceDE w:val="0"/>
              <w:autoSpaceDN w:val="0"/>
              <w:adjustRightInd w:val="0"/>
              <w:spacing w:after="0" w:line="360" w:lineRule="auto"/>
              <w:rPr>
                <w:rFonts w:ascii="Times New Roman" w:eastAsia="Calibri" w:hAnsi="Times New Roman" w:cs="Times New Roman"/>
                <w:szCs w:val="24"/>
              </w:rPr>
            </w:pPr>
            <w:proofErr w:type="spellStart"/>
            <w:proofErr w:type="gramStart"/>
            <w:r w:rsidRPr="001D508D">
              <w:rPr>
                <w:rFonts w:ascii="Times New Roman" w:eastAsia="Calibri" w:hAnsi="Times New Roman" w:cs="Times New Roman"/>
                <w:szCs w:val="24"/>
              </w:rPr>
              <w:t>hexaclorobenzeno</w:t>
            </w:r>
            <w:proofErr w:type="spellEnd"/>
            <w:proofErr w:type="gramEnd"/>
            <w:r w:rsidRPr="001D508D">
              <w:rPr>
                <w:rFonts w:ascii="Times New Roman" w:eastAsia="Calibri" w:hAnsi="Times New Roman" w:cs="Times New Roman"/>
                <w:szCs w:val="24"/>
              </w:rPr>
              <w:t>.</w:t>
            </w:r>
          </w:p>
        </w:tc>
      </w:tr>
      <w:tr w:rsidR="00F70429" w:rsidRPr="001D508D" w:rsidTr="001273E9">
        <w:tc>
          <w:tcPr>
            <w:tcW w:w="2832"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szCs w:val="24"/>
              </w:rPr>
            </w:pPr>
            <w:r w:rsidRPr="001D508D">
              <w:rPr>
                <w:rFonts w:ascii="Times New Roman" w:eastAsia="Calibri" w:hAnsi="Times New Roman" w:cs="Times New Roman"/>
                <w:szCs w:val="24"/>
              </w:rPr>
              <w:t>Herbicidas</w:t>
            </w:r>
          </w:p>
        </w:tc>
        <w:tc>
          <w:tcPr>
            <w:tcW w:w="2786" w:type="dxa"/>
          </w:tcPr>
          <w:p w:rsidR="00F70429" w:rsidRPr="001D508D" w:rsidRDefault="00F70429" w:rsidP="001D508D">
            <w:pPr>
              <w:autoSpaceDE w:val="0"/>
              <w:autoSpaceDN w:val="0"/>
              <w:adjustRightInd w:val="0"/>
              <w:spacing w:after="0" w:line="360" w:lineRule="auto"/>
              <w:jc w:val="center"/>
              <w:rPr>
                <w:rFonts w:ascii="Times New Roman" w:eastAsia="Calibri" w:hAnsi="Times New Roman" w:cs="Times New Roman"/>
                <w:szCs w:val="24"/>
              </w:rPr>
            </w:pPr>
            <w:r w:rsidRPr="001D508D">
              <w:rPr>
                <w:rFonts w:ascii="Times New Roman" w:eastAsia="Calibri" w:hAnsi="Times New Roman" w:cs="Times New Roman"/>
                <w:szCs w:val="24"/>
              </w:rPr>
              <w:t xml:space="preserve">Combatem </w:t>
            </w:r>
            <w:proofErr w:type="gramStart"/>
            <w:r w:rsidRPr="001D508D">
              <w:rPr>
                <w:rFonts w:ascii="Times New Roman" w:eastAsia="Calibri" w:hAnsi="Times New Roman" w:cs="Times New Roman"/>
                <w:szCs w:val="24"/>
              </w:rPr>
              <w:t>ervas daninhas</w:t>
            </w:r>
            <w:proofErr w:type="gramEnd"/>
          </w:p>
        </w:tc>
        <w:tc>
          <w:tcPr>
            <w:tcW w:w="3102" w:type="dxa"/>
          </w:tcPr>
          <w:p w:rsidR="00F70429" w:rsidRPr="001D508D" w:rsidRDefault="00F70429" w:rsidP="001D508D">
            <w:pPr>
              <w:pStyle w:val="PargrafodaLista"/>
              <w:numPr>
                <w:ilvl w:val="0"/>
                <w:numId w:val="4"/>
              </w:numPr>
              <w:autoSpaceDE w:val="0"/>
              <w:autoSpaceDN w:val="0"/>
              <w:adjustRightInd w:val="0"/>
              <w:spacing w:after="0" w:line="360" w:lineRule="auto"/>
              <w:jc w:val="both"/>
              <w:rPr>
                <w:rFonts w:ascii="Times New Roman" w:eastAsia="Calibri" w:hAnsi="Times New Roman" w:cs="Times New Roman"/>
                <w:iCs/>
                <w:szCs w:val="24"/>
              </w:rPr>
            </w:pPr>
            <w:proofErr w:type="spellStart"/>
            <w:proofErr w:type="gramStart"/>
            <w:r w:rsidRPr="001D508D">
              <w:rPr>
                <w:rFonts w:ascii="Times New Roman" w:eastAsia="Calibri" w:hAnsi="Times New Roman" w:cs="Times New Roman"/>
                <w:iCs/>
                <w:szCs w:val="24"/>
              </w:rPr>
              <w:t>paraquat</w:t>
            </w:r>
            <w:proofErr w:type="spellEnd"/>
            <w:proofErr w:type="gramEnd"/>
          </w:p>
          <w:p w:rsidR="00F70429" w:rsidRPr="001D508D" w:rsidRDefault="00F70429" w:rsidP="001D508D">
            <w:pPr>
              <w:pStyle w:val="PargrafodaLista"/>
              <w:numPr>
                <w:ilvl w:val="0"/>
                <w:numId w:val="4"/>
              </w:numPr>
              <w:autoSpaceDE w:val="0"/>
              <w:autoSpaceDN w:val="0"/>
              <w:adjustRightInd w:val="0"/>
              <w:spacing w:after="0" w:line="360" w:lineRule="auto"/>
              <w:jc w:val="both"/>
              <w:rPr>
                <w:rFonts w:ascii="Times New Roman" w:eastAsia="Calibri" w:hAnsi="Times New Roman" w:cs="Times New Roman"/>
                <w:iCs/>
                <w:szCs w:val="24"/>
              </w:rPr>
            </w:pPr>
            <w:r w:rsidRPr="001D508D">
              <w:rPr>
                <w:rFonts w:ascii="Times New Roman" w:eastAsia="Calibri" w:hAnsi="Times New Roman" w:cs="Times New Roman"/>
                <w:szCs w:val="24"/>
              </w:rPr>
              <w:t></w:t>
            </w:r>
            <w:r w:rsidRPr="001D508D">
              <w:rPr>
                <w:rFonts w:ascii="Times New Roman" w:eastAsia="Calibri" w:hAnsi="Times New Roman" w:cs="Times New Roman"/>
                <w:iCs/>
                <w:szCs w:val="24"/>
              </w:rPr>
              <w:t>glifosato</w:t>
            </w:r>
          </w:p>
          <w:p w:rsidR="00F70429" w:rsidRPr="001D508D" w:rsidRDefault="00F70429" w:rsidP="001D508D">
            <w:pPr>
              <w:pStyle w:val="PargrafodaLista"/>
              <w:numPr>
                <w:ilvl w:val="0"/>
                <w:numId w:val="4"/>
              </w:numPr>
              <w:autoSpaceDE w:val="0"/>
              <w:autoSpaceDN w:val="0"/>
              <w:adjustRightInd w:val="0"/>
              <w:spacing w:after="0" w:line="360" w:lineRule="auto"/>
              <w:jc w:val="both"/>
              <w:rPr>
                <w:rFonts w:ascii="Times New Roman" w:eastAsia="Calibri" w:hAnsi="Times New Roman" w:cs="Times New Roman"/>
                <w:szCs w:val="24"/>
              </w:rPr>
            </w:pPr>
            <w:r w:rsidRPr="001D508D">
              <w:rPr>
                <w:rFonts w:ascii="Times New Roman" w:eastAsia="Calibri" w:hAnsi="Times New Roman" w:cs="Times New Roman"/>
                <w:szCs w:val="24"/>
              </w:rPr>
              <w:t></w:t>
            </w:r>
            <w:r w:rsidRPr="001D508D">
              <w:rPr>
                <w:rFonts w:ascii="Times New Roman" w:eastAsia="Calibri" w:hAnsi="Times New Roman" w:cs="Times New Roman"/>
                <w:iCs/>
                <w:szCs w:val="24"/>
              </w:rPr>
              <w:t xml:space="preserve">derivados do ácido </w:t>
            </w:r>
            <w:proofErr w:type="spellStart"/>
            <w:r w:rsidRPr="001D508D">
              <w:rPr>
                <w:rFonts w:ascii="Times New Roman" w:eastAsia="Calibri" w:hAnsi="Times New Roman" w:cs="Times New Roman"/>
                <w:iCs/>
                <w:szCs w:val="24"/>
              </w:rPr>
              <w:t>fenoxiacético</w:t>
            </w:r>
            <w:proofErr w:type="spellEnd"/>
          </w:p>
          <w:p w:rsidR="00F70429" w:rsidRPr="001D508D" w:rsidRDefault="00336D49" w:rsidP="001D508D">
            <w:pPr>
              <w:numPr>
                <w:ilvl w:val="0"/>
                <w:numId w:val="4"/>
              </w:numPr>
              <w:autoSpaceDE w:val="0"/>
              <w:autoSpaceDN w:val="0"/>
              <w:adjustRightInd w:val="0"/>
              <w:spacing w:after="0" w:line="360" w:lineRule="auto"/>
              <w:rPr>
                <w:rFonts w:ascii="Times New Roman" w:eastAsia="Calibri" w:hAnsi="Times New Roman" w:cs="Times New Roman"/>
                <w:szCs w:val="24"/>
              </w:rPr>
            </w:pPr>
            <w:r w:rsidRPr="001D508D">
              <w:rPr>
                <w:rFonts w:ascii="Times New Roman" w:eastAsia="Calibri" w:hAnsi="Times New Roman" w:cs="Times New Roman"/>
                <w:iCs/>
                <w:szCs w:val="24"/>
              </w:rPr>
              <w:t>D</w:t>
            </w:r>
            <w:r w:rsidR="00F70429" w:rsidRPr="001D508D">
              <w:rPr>
                <w:rFonts w:ascii="Times New Roman" w:eastAsia="Calibri" w:hAnsi="Times New Roman" w:cs="Times New Roman"/>
                <w:iCs/>
                <w:szCs w:val="24"/>
              </w:rPr>
              <w:t>initrofenóis</w:t>
            </w:r>
          </w:p>
        </w:tc>
      </w:tr>
    </w:tbl>
    <w:p w:rsidR="00F70429" w:rsidRPr="001D508D" w:rsidRDefault="00F70429" w:rsidP="001D508D">
      <w:pPr>
        <w:autoSpaceDE w:val="0"/>
        <w:autoSpaceDN w:val="0"/>
        <w:adjustRightInd w:val="0"/>
        <w:spacing w:after="0" w:line="240" w:lineRule="auto"/>
        <w:jc w:val="both"/>
        <w:rPr>
          <w:rFonts w:ascii="Times New Roman" w:eastAsia="Calibri" w:hAnsi="Times New Roman" w:cs="Times New Roman"/>
          <w:sz w:val="22"/>
          <w:szCs w:val="22"/>
        </w:rPr>
      </w:pPr>
      <w:r w:rsidRPr="001D508D">
        <w:rPr>
          <w:rFonts w:ascii="Times New Roman" w:eastAsia="Calibri" w:hAnsi="Times New Roman" w:cs="Times New Roman"/>
          <w:sz w:val="22"/>
          <w:szCs w:val="22"/>
        </w:rPr>
        <w:t>Quadro 4 – Classificação dos Agrotóxicos.</w:t>
      </w:r>
    </w:p>
    <w:p w:rsidR="001273E9" w:rsidRPr="001D508D" w:rsidRDefault="001273E9" w:rsidP="002555F5">
      <w:pPr>
        <w:autoSpaceDE w:val="0"/>
        <w:autoSpaceDN w:val="0"/>
        <w:adjustRightInd w:val="0"/>
        <w:spacing w:after="0" w:line="360" w:lineRule="auto"/>
        <w:jc w:val="both"/>
        <w:rPr>
          <w:rFonts w:ascii="Times New Roman" w:eastAsia="Calibri" w:hAnsi="Times New Roman" w:cs="Times New Roman"/>
          <w:szCs w:val="24"/>
        </w:rPr>
      </w:pP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i/>
          <w:iCs/>
          <w:szCs w:val="24"/>
        </w:rPr>
      </w:pPr>
      <w:r w:rsidRPr="001D508D">
        <w:rPr>
          <w:rFonts w:ascii="Times New Roman" w:eastAsia="Calibri" w:hAnsi="Times New Roman" w:cs="Times New Roman"/>
          <w:szCs w:val="24"/>
        </w:rPr>
        <w:t xml:space="preserve">Outros grupos importantes compreendem os </w:t>
      </w:r>
      <w:r w:rsidRPr="001D508D">
        <w:rPr>
          <w:rFonts w:ascii="Times New Roman" w:eastAsia="Calibri" w:hAnsi="Times New Roman" w:cs="Times New Roman"/>
          <w:szCs w:val="24"/>
        </w:rPr>
        <w:t xml:space="preserve">raticidas </w:t>
      </w:r>
      <w:proofErr w:type="gramStart"/>
      <w:r w:rsidRPr="001D508D">
        <w:rPr>
          <w:rFonts w:ascii="Times New Roman" w:eastAsia="Calibri" w:hAnsi="Times New Roman" w:cs="Times New Roman"/>
          <w:szCs w:val="24"/>
        </w:rPr>
        <w:t xml:space="preserve">( </w:t>
      </w:r>
      <w:proofErr w:type="spellStart"/>
      <w:proofErr w:type="gramEnd"/>
      <w:r w:rsidRPr="001D508D">
        <w:rPr>
          <w:rFonts w:ascii="Times New Roman" w:eastAsia="Calibri" w:hAnsi="Times New Roman" w:cs="Times New Roman"/>
          <w:szCs w:val="24"/>
        </w:rPr>
        <w:t>dicumarínicos</w:t>
      </w:r>
      <w:proofErr w:type="spellEnd"/>
      <w:r w:rsidRPr="001D508D">
        <w:rPr>
          <w:rFonts w:ascii="Times New Roman" w:eastAsia="Calibri" w:hAnsi="Times New Roman" w:cs="Times New Roman"/>
          <w:szCs w:val="24"/>
        </w:rPr>
        <w:t xml:space="preserve"> ): utilizados no combate a roedores, </w:t>
      </w:r>
      <w:r w:rsidRPr="001D508D">
        <w:rPr>
          <w:rFonts w:ascii="Times New Roman" w:eastAsia="Calibri" w:hAnsi="Times New Roman" w:cs="Times New Roman"/>
          <w:szCs w:val="24"/>
        </w:rPr>
        <w:t xml:space="preserve">acaricidas utilizados no combate a ácaros diversos, </w:t>
      </w:r>
      <w:r w:rsidRPr="001D508D">
        <w:rPr>
          <w:rFonts w:ascii="Times New Roman" w:eastAsia="Calibri" w:hAnsi="Times New Roman" w:cs="Times New Roman"/>
          <w:szCs w:val="24"/>
        </w:rPr>
        <w:t></w:t>
      </w:r>
      <w:proofErr w:type="spellStart"/>
      <w:r w:rsidRPr="001D508D">
        <w:rPr>
          <w:rFonts w:ascii="Times New Roman" w:eastAsia="Calibri" w:hAnsi="Times New Roman" w:cs="Times New Roman"/>
          <w:szCs w:val="24"/>
        </w:rPr>
        <w:t>nematicidasutilizados</w:t>
      </w:r>
      <w:proofErr w:type="spellEnd"/>
      <w:r w:rsidRPr="001D508D">
        <w:rPr>
          <w:rFonts w:ascii="Times New Roman" w:eastAsia="Calibri" w:hAnsi="Times New Roman" w:cs="Times New Roman"/>
          <w:szCs w:val="24"/>
        </w:rPr>
        <w:t xml:space="preserve"> no combate a </w:t>
      </w:r>
      <w:proofErr w:type="spellStart"/>
      <w:r w:rsidRPr="001D508D">
        <w:rPr>
          <w:rFonts w:ascii="Times New Roman" w:eastAsia="Calibri" w:hAnsi="Times New Roman" w:cs="Times New Roman"/>
          <w:szCs w:val="24"/>
        </w:rPr>
        <w:t>nematóides</w:t>
      </w:r>
      <w:proofErr w:type="spellEnd"/>
      <w:r w:rsidRPr="001D508D">
        <w:rPr>
          <w:rFonts w:ascii="Times New Roman" w:eastAsia="Calibri" w:hAnsi="Times New Roman" w:cs="Times New Roman"/>
          <w:szCs w:val="24"/>
        </w:rPr>
        <w:t xml:space="preserve">, </w:t>
      </w:r>
      <w:r w:rsidRPr="001D508D">
        <w:rPr>
          <w:rFonts w:ascii="Times New Roman" w:eastAsia="Calibri" w:hAnsi="Times New Roman" w:cs="Times New Roman"/>
          <w:szCs w:val="24"/>
        </w:rPr>
        <w:t></w:t>
      </w:r>
      <w:proofErr w:type="spellStart"/>
      <w:r w:rsidRPr="001D508D">
        <w:rPr>
          <w:rFonts w:ascii="Times New Roman" w:eastAsia="Calibri" w:hAnsi="Times New Roman" w:cs="Times New Roman"/>
          <w:szCs w:val="24"/>
        </w:rPr>
        <w:t>molusquicidas</w:t>
      </w:r>
      <w:proofErr w:type="spellEnd"/>
      <w:r w:rsidRPr="001D508D">
        <w:rPr>
          <w:rFonts w:ascii="Times New Roman" w:eastAsia="Calibri" w:hAnsi="Times New Roman" w:cs="Times New Roman"/>
          <w:szCs w:val="24"/>
        </w:rPr>
        <w:t xml:space="preserve"> utilizados no combate a moluscos, basicamente contra o caramujo da esquistossomose e </w:t>
      </w:r>
      <w:r w:rsidRPr="001D508D">
        <w:rPr>
          <w:rFonts w:ascii="Times New Roman" w:eastAsia="Calibri" w:hAnsi="Times New Roman" w:cs="Times New Roman"/>
          <w:szCs w:val="24"/>
        </w:rPr>
        <w:t></w:t>
      </w:r>
      <w:proofErr w:type="spellStart"/>
      <w:r w:rsidRPr="001D508D">
        <w:rPr>
          <w:rFonts w:ascii="Times New Roman" w:eastAsia="Calibri" w:hAnsi="Times New Roman" w:cs="Times New Roman"/>
          <w:iCs/>
          <w:szCs w:val="24"/>
        </w:rPr>
        <w:t>fumigantes</w:t>
      </w:r>
      <w:proofErr w:type="spellEnd"/>
      <w:r w:rsidRPr="001D508D">
        <w:rPr>
          <w:rFonts w:ascii="Times New Roman" w:eastAsia="Calibri" w:hAnsi="Times New Roman" w:cs="Times New Roman"/>
          <w:iCs/>
          <w:szCs w:val="24"/>
        </w:rPr>
        <w:t xml:space="preserve"> utilizados no combate a insetos, bactérias: </w:t>
      </w:r>
      <w:proofErr w:type="spellStart"/>
      <w:r w:rsidRPr="001D508D">
        <w:rPr>
          <w:rFonts w:ascii="Times New Roman" w:eastAsia="Calibri" w:hAnsi="Times New Roman" w:cs="Times New Roman"/>
          <w:iCs/>
          <w:szCs w:val="24"/>
        </w:rPr>
        <w:t>fosfetos</w:t>
      </w:r>
      <w:proofErr w:type="spellEnd"/>
      <w:r w:rsidRPr="001D508D">
        <w:rPr>
          <w:rFonts w:ascii="Times New Roman" w:eastAsia="Calibri" w:hAnsi="Times New Roman" w:cs="Times New Roman"/>
          <w:iCs/>
          <w:szCs w:val="24"/>
        </w:rPr>
        <w:t xml:space="preserve"> metálicos (</w:t>
      </w:r>
      <w:proofErr w:type="spellStart"/>
      <w:r w:rsidRPr="001D508D">
        <w:rPr>
          <w:rFonts w:ascii="Times New Roman" w:eastAsia="Calibri" w:hAnsi="Times New Roman" w:cs="Times New Roman"/>
          <w:iCs/>
          <w:szCs w:val="24"/>
        </w:rPr>
        <w:t>fosfina</w:t>
      </w:r>
      <w:proofErr w:type="spellEnd"/>
      <w:r w:rsidRPr="001D508D">
        <w:rPr>
          <w:rFonts w:ascii="Times New Roman" w:eastAsia="Calibri" w:hAnsi="Times New Roman" w:cs="Times New Roman"/>
          <w:iCs/>
          <w:szCs w:val="24"/>
        </w:rPr>
        <w:t>) e brometo de metila</w:t>
      </w:r>
      <w:r w:rsidRPr="001D508D">
        <w:rPr>
          <w:rFonts w:ascii="Times New Roman" w:eastAsia="Calibri" w:hAnsi="Times New Roman" w:cs="Times New Roman"/>
          <w:i/>
          <w:iCs/>
          <w:szCs w:val="24"/>
        </w:rPr>
        <w:t>.</w:t>
      </w:r>
    </w:p>
    <w:p w:rsidR="00F70429" w:rsidRPr="001D508D" w:rsidRDefault="00F70429" w:rsidP="005D522F">
      <w:pPr>
        <w:autoSpaceDE w:val="0"/>
        <w:autoSpaceDN w:val="0"/>
        <w:adjustRightInd w:val="0"/>
        <w:spacing w:after="0" w:line="360" w:lineRule="auto"/>
        <w:ind w:firstLine="708"/>
        <w:jc w:val="both"/>
        <w:rPr>
          <w:rFonts w:ascii="Times New Roman" w:eastAsia="Calibri" w:hAnsi="Times New Roman" w:cs="Times New Roman"/>
          <w:szCs w:val="24"/>
        </w:rPr>
      </w:pPr>
      <w:r w:rsidRPr="001D508D">
        <w:rPr>
          <w:rFonts w:ascii="Times New Roman" w:eastAsia="Calibri" w:hAnsi="Times New Roman" w:cs="Times New Roman"/>
          <w:szCs w:val="24"/>
        </w:rPr>
        <w:t>Para a aquisição dos defensivos agrícolas é necessário que se procure orientação técnica com o engenheiro agrônomo ou florestal; solicitar o receituário agronômico, seguindo-o atentamente; adquire o produto em lojas cadastradas e de confiança; verifique se é o produto recomendado (nome comercial, ingrediente ativo e concentração); observe a qualidade da embalagem, lacre, rótulo e bula, se o prazo de validade, o número de lote e a data de fabricação estão especificados e exigir a nota fiscal de consumidor específico.</w:t>
      </w:r>
    </w:p>
    <w:p w:rsidR="00F70429" w:rsidRPr="001D508D" w:rsidRDefault="00F70429" w:rsidP="001D508D">
      <w:pPr>
        <w:autoSpaceDE w:val="0"/>
        <w:autoSpaceDN w:val="0"/>
        <w:adjustRightInd w:val="0"/>
        <w:spacing w:after="0" w:line="360" w:lineRule="auto"/>
        <w:ind w:firstLine="357"/>
        <w:jc w:val="both"/>
        <w:rPr>
          <w:rFonts w:ascii="Times New Roman" w:eastAsia="Calibri" w:hAnsi="Times New Roman" w:cs="Times New Roman"/>
          <w:szCs w:val="24"/>
        </w:rPr>
      </w:pPr>
    </w:p>
    <w:p w:rsidR="00F70429" w:rsidRDefault="0019035C" w:rsidP="001D508D">
      <w:pPr>
        <w:autoSpaceDE w:val="0"/>
        <w:autoSpaceDN w:val="0"/>
        <w:adjustRightInd w:val="0"/>
        <w:spacing w:line="360" w:lineRule="auto"/>
        <w:jc w:val="both"/>
        <w:rPr>
          <w:rFonts w:ascii="Times New Roman" w:eastAsia="Calibri" w:hAnsi="Times New Roman" w:cs="Times New Roman"/>
          <w:b/>
          <w:szCs w:val="24"/>
        </w:rPr>
      </w:pPr>
      <w:r>
        <w:rPr>
          <w:rFonts w:ascii="Times New Roman" w:eastAsia="Calibri" w:hAnsi="Times New Roman" w:cs="Times New Roman"/>
          <w:b/>
          <w:szCs w:val="24"/>
        </w:rPr>
        <w:t>1</w:t>
      </w:r>
      <w:r w:rsidR="00F70429" w:rsidRPr="001D508D">
        <w:rPr>
          <w:rFonts w:ascii="Times New Roman" w:eastAsia="Calibri" w:hAnsi="Times New Roman" w:cs="Times New Roman"/>
          <w:b/>
          <w:szCs w:val="24"/>
        </w:rPr>
        <w:t>.3. LOGÍSTICA REVERSA</w:t>
      </w:r>
    </w:p>
    <w:p w:rsidR="002555F5" w:rsidRPr="001D508D" w:rsidRDefault="002555F5" w:rsidP="002555F5">
      <w:pPr>
        <w:autoSpaceDE w:val="0"/>
        <w:autoSpaceDN w:val="0"/>
        <w:adjustRightInd w:val="0"/>
        <w:spacing w:after="0" w:line="360" w:lineRule="auto"/>
        <w:jc w:val="both"/>
        <w:rPr>
          <w:rFonts w:ascii="Times New Roman" w:eastAsia="Calibri" w:hAnsi="Times New Roman" w:cs="Times New Roman"/>
          <w:b/>
          <w:szCs w:val="24"/>
        </w:rPr>
      </w:pPr>
    </w:p>
    <w:p w:rsidR="00F70429" w:rsidRPr="001D508D" w:rsidRDefault="00F70429" w:rsidP="005D522F">
      <w:pPr>
        <w:autoSpaceDE w:val="0"/>
        <w:autoSpaceDN w:val="0"/>
        <w:adjustRightInd w:val="0"/>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 xml:space="preserve">Logística reversa é um tema pouco explorado, de pouca produção textual. Foi nos anos 90, surgiram novas abordagens sobre o assunto destacando o aumento da preocupação com </w:t>
      </w:r>
      <w:r w:rsidRPr="001D508D">
        <w:rPr>
          <w:rFonts w:ascii="Times New Roman" w:hAnsi="Times New Roman" w:cs="Times New Roman"/>
          <w:szCs w:val="24"/>
        </w:rPr>
        <w:lastRenderedPageBreak/>
        <w:t xml:space="preserve">questões ambientais, legislação nessa área, órgãos de fiscalização e a preocupação com as perdas por parte das empresas, como aspectos que contribuíram para a evolução do tema logística reversa. </w:t>
      </w:r>
    </w:p>
    <w:p w:rsidR="00F70429" w:rsidRPr="001D508D" w:rsidRDefault="007067A9" w:rsidP="005D522F">
      <w:pPr>
        <w:autoSpaceDE w:val="0"/>
        <w:autoSpaceDN w:val="0"/>
        <w:adjustRightInd w:val="0"/>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A</w:t>
      </w:r>
      <w:r w:rsidR="00F70429" w:rsidRPr="001D508D">
        <w:rPr>
          <w:rFonts w:ascii="Times New Roman" w:hAnsi="Times New Roman" w:cs="Times New Roman"/>
          <w:szCs w:val="24"/>
        </w:rPr>
        <w:t xml:space="preserve"> conceituação mais antiga sobre logística reversa data do início dos anos 70. Onde se aplica os conceitos de distribuição, porém voltados para o processo de forma inversa, com o objetivo de se atender as necessidades de recolhimento de materiais provenientes do pós-consumo e pós-venda. No final dos anos 70, os referidos autores destacaram a logística reversa dando uma maior atenção para os aspectos da reciclagem e suas vantagens para o meio ambiente, e também seus benefícios econômicos, além da importância dos canais reversos como forma de viabilizar o retorno dos efluentes.</w:t>
      </w:r>
    </w:p>
    <w:p w:rsidR="00F70429" w:rsidRPr="001D508D" w:rsidRDefault="00F70429" w:rsidP="001D508D">
      <w:pPr>
        <w:autoSpaceDE w:val="0"/>
        <w:autoSpaceDN w:val="0"/>
        <w:adjustRightInd w:val="0"/>
        <w:spacing w:after="0" w:line="360" w:lineRule="auto"/>
        <w:ind w:firstLine="357"/>
        <w:jc w:val="both"/>
        <w:rPr>
          <w:rFonts w:ascii="Times New Roman" w:hAnsi="Times New Roman" w:cs="Times New Roman"/>
          <w:szCs w:val="24"/>
        </w:rPr>
      </w:pPr>
      <w:r w:rsidRPr="001D508D">
        <w:rPr>
          <w:rFonts w:ascii="Times New Roman" w:hAnsi="Times New Roman" w:cs="Times New Roman"/>
          <w:szCs w:val="24"/>
        </w:rPr>
        <w:t xml:space="preserve"> </w:t>
      </w:r>
      <w:r w:rsidR="005D522F">
        <w:rPr>
          <w:rFonts w:ascii="Times New Roman" w:hAnsi="Times New Roman" w:cs="Times New Roman"/>
          <w:szCs w:val="24"/>
        </w:rPr>
        <w:tab/>
      </w:r>
      <w:r w:rsidRPr="001D508D">
        <w:rPr>
          <w:rFonts w:ascii="Times New Roman" w:hAnsi="Times New Roman" w:cs="Times New Roman"/>
          <w:szCs w:val="24"/>
        </w:rPr>
        <w:t>Lambert e Stock (1981)</w:t>
      </w:r>
      <w:proofErr w:type="gramStart"/>
      <w:r w:rsidRPr="001D508D">
        <w:rPr>
          <w:rFonts w:ascii="Times New Roman" w:hAnsi="Times New Roman" w:cs="Times New Roman"/>
          <w:szCs w:val="24"/>
        </w:rPr>
        <w:t>, destacaram</w:t>
      </w:r>
      <w:proofErr w:type="gramEnd"/>
      <w:r w:rsidRPr="001D508D">
        <w:rPr>
          <w:rFonts w:ascii="Times New Roman" w:hAnsi="Times New Roman" w:cs="Times New Roman"/>
          <w:szCs w:val="24"/>
        </w:rPr>
        <w:t xml:space="preserve"> a logística reversa como “[...] o produto seguindo na contramão de uma rua de sentido único pela qual a grande maioria dos embarques de produtos flui em uma direção”. Nesta conceituação percebe-se a logística reversa fazendo o sentido contrário ao da logística direta. </w:t>
      </w:r>
    </w:p>
    <w:p w:rsidR="00F70429" w:rsidRPr="001D508D" w:rsidRDefault="00F70429" w:rsidP="005D522F">
      <w:pPr>
        <w:autoSpaceDE w:val="0"/>
        <w:autoSpaceDN w:val="0"/>
        <w:adjustRightInd w:val="0"/>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 xml:space="preserve">De forma mais abrangente, Leite (2009) conceitua logística reversa da seguinte forma: “[...] área da logística empresarial que planeja, opera e controla o fluxo e as informações logísticas correspondentes, do retorno dos bens de pós-vendas e de pós-consumo ao ciclo de negócios ou ao ciclo produtivo, por meio dos canais de distribuição reversos, agregando-lhes valor de diversas naturezas: econômica, ecológica, legal, logístico, de imagem corporativa, entre outros”. </w:t>
      </w:r>
    </w:p>
    <w:p w:rsidR="002555F5" w:rsidRDefault="00F70429" w:rsidP="005D522F">
      <w:pPr>
        <w:autoSpaceDE w:val="0"/>
        <w:autoSpaceDN w:val="0"/>
        <w:adjustRightInd w:val="0"/>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 xml:space="preserve">A logística reversa é responsável por tornar possível o retorno de materiais e produtos, após sua venda e consumo, aos centros produtivos e de negócios, por meio dos canais reversos de distribuição agregando valor aos mesmos. A rapidez com que um produto é lançado no mercado, o rápido avanço da tecnologia, juntamente com um grande fluxo de informações; a alta competitividade das empresas e o crescimento da consciência ecológica quanto às </w:t>
      </w:r>
      <w:proofErr w:type="spellStart"/>
      <w:r w:rsidRPr="001D508D">
        <w:rPr>
          <w:rFonts w:ascii="Times New Roman" w:hAnsi="Times New Roman" w:cs="Times New Roman"/>
          <w:szCs w:val="24"/>
        </w:rPr>
        <w:t>conseqüências</w:t>
      </w:r>
      <w:proofErr w:type="spellEnd"/>
      <w:r w:rsidRPr="001D508D">
        <w:rPr>
          <w:rFonts w:ascii="Times New Roman" w:hAnsi="Times New Roman" w:cs="Times New Roman"/>
          <w:szCs w:val="24"/>
        </w:rPr>
        <w:t xml:space="preserve"> provocadas pelos produtos e seus descartes no meio ambiente, estão contribuindo para a adoção de novos comportamentos por parte das organizações e da sociedade de um modo geral, sinalizando assim para uma valorização maior dos processos de retorno de produtos e materiais descartados no meio ambiente. A figura 1 a seguir reforça a importância do sistema logístico reverso e a atuação dos agentes envolvidos neste processo.  </w:t>
      </w:r>
    </w:p>
    <w:p w:rsidR="00F70429" w:rsidRPr="001D508D" w:rsidRDefault="00F70429" w:rsidP="001D508D">
      <w:pPr>
        <w:autoSpaceDE w:val="0"/>
        <w:autoSpaceDN w:val="0"/>
        <w:adjustRightInd w:val="0"/>
        <w:spacing w:after="0" w:line="360" w:lineRule="auto"/>
        <w:ind w:firstLine="357"/>
        <w:jc w:val="both"/>
        <w:rPr>
          <w:rFonts w:ascii="Times New Roman" w:hAnsi="Times New Roman" w:cs="Times New Roman"/>
          <w:szCs w:val="24"/>
        </w:rPr>
      </w:pPr>
      <w:r w:rsidRPr="001D508D">
        <w:rPr>
          <w:rFonts w:ascii="Times New Roman" w:hAnsi="Times New Roman" w:cs="Times New Roman"/>
          <w:szCs w:val="24"/>
        </w:rPr>
        <w:t xml:space="preserve"> </w:t>
      </w:r>
    </w:p>
    <w:p w:rsidR="00F70429" w:rsidRPr="001D508D" w:rsidRDefault="00F70429" w:rsidP="002555F5">
      <w:pPr>
        <w:autoSpaceDE w:val="0"/>
        <w:autoSpaceDN w:val="0"/>
        <w:adjustRightInd w:val="0"/>
        <w:spacing w:after="0" w:line="240" w:lineRule="auto"/>
        <w:ind w:firstLine="357"/>
        <w:jc w:val="both"/>
        <w:rPr>
          <w:rFonts w:ascii="Times New Roman" w:hAnsi="Times New Roman" w:cs="Times New Roman"/>
          <w:szCs w:val="24"/>
        </w:rPr>
      </w:pPr>
      <w:r w:rsidRPr="001D508D">
        <w:rPr>
          <w:rFonts w:ascii="Times New Roman" w:hAnsi="Times New Roman" w:cs="Times New Roman"/>
          <w:szCs w:val="24"/>
        </w:rPr>
        <w:t>Figura 1: Canais reversos de Valorização</w:t>
      </w:r>
    </w:p>
    <w:p w:rsidR="00F70429" w:rsidRPr="001D508D" w:rsidRDefault="00F70429" w:rsidP="001D508D">
      <w:pPr>
        <w:autoSpaceDE w:val="0"/>
        <w:autoSpaceDN w:val="0"/>
        <w:adjustRightInd w:val="0"/>
        <w:spacing w:after="0" w:line="360" w:lineRule="auto"/>
        <w:ind w:firstLine="357"/>
        <w:jc w:val="both"/>
        <w:rPr>
          <w:rFonts w:ascii="Times New Roman" w:hAnsi="Times New Roman" w:cs="Times New Roman"/>
          <w:szCs w:val="24"/>
        </w:rPr>
      </w:pPr>
      <w:r w:rsidRPr="001D508D">
        <w:rPr>
          <w:rFonts w:ascii="Times New Roman" w:hAnsi="Times New Roman" w:cs="Times New Roman"/>
          <w:noProof/>
          <w:szCs w:val="24"/>
          <w:lang w:eastAsia="pt-BR"/>
        </w:rPr>
        <w:lastRenderedPageBreak/>
        <w:drawing>
          <wp:inline distT="0" distB="0" distL="0" distR="0">
            <wp:extent cx="5448300" cy="3171825"/>
            <wp:effectExtent l="0" t="0" r="0" b="0"/>
            <wp:docPr id="3" name="Imagem 3" descr="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0" cy="3171825"/>
                    </a:xfrm>
                    <a:prstGeom prst="rect">
                      <a:avLst/>
                    </a:prstGeom>
                    <a:noFill/>
                    <a:ln>
                      <a:noFill/>
                    </a:ln>
                  </pic:spPr>
                </pic:pic>
              </a:graphicData>
            </a:graphic>
          </wp:inline>
        </w:drawing>
      </w:r>
    </w:p>
    <w:p w:rsidR="006B2157" w:rsidRDefault="00F70429" w:rsidP="008A58A7">
      <w:pPr>
        <w:autoSpaceDE w:val="0"/>
        <w:autoSpaceDN w:val="0"/>
        <w:adjustRightInd w:val="0"/>
        <w:spacing w:after="0" w:line="240" w:lineRule="auto"/>
        <w:ind w:firstLine="357"/>
        <w:jc w:val="both"/>
        <w:rPr>
          <w:rFonts w:ascii="Times New Roman" w:hAnsi="Times New Roman" w:cs="Times New Roman"/>
          <w:sz w:val="22"/>
          <w:szCs w:val="22"/>
        </w:rPr>
      </w:pPr>
      <w:r w:rsidRPr="008A58A7">
        <w:rPr>
          <w:rFonts w:ascii="Times New Roman" w:hAnsi="Times New Roman" w:cs="Times New Roman"/>
          <w:sz w:val="22"/>
          <w:szCs w:val="22"/>
        </w:rPr>
        <w:t xml:space="preserve">Fonte: adaptado de Rogers &amp; </w:t>
      </w:r>
      <w:proofErr w:type="spellStart"/>
      <w:r w:rsidRPr="008A58A7">
        <w:rPr>
          <w:rFonts w:ascii="Times New Roman" w:hAnsi="Times New Roman" w:cs="Times New Roman"/>
          <w:sz w:val="22"/>
          <w:szCs w:val="22"/>
        </w:rPr>
        <w:t>Tibben-Lembke</w:t>
      </w:r>
      <w:proofErr w:type="spellEnd"/>
      <w:r w:rsidRPr="008A58A7">
        <w:rPr>
          <w:rFonts w:ascii="Times New Roman" w:hAnsi="Times New Roman" w:cs="Times New Roman"/>
          <w:sz w:val="22"/>
          <w:szCs w:val="22"/>
        </w:rPr>
        <w:t xml:space="preserve">, 1999.  </w:t>
      </w:r>
    </w:p>
    <w:p w:rsidR="002555F5" w:rsidRPr="008A58A7" w:rsidRDefault="002555F5" w:rsidP="002555F5">
      <w:pPr>
        <w:autoSpaceDE w:val="0"/>
        <w:autoSpaceDN w:val="0"/>
        <w:adjustRightInd w:val="0"/>
        <w:spacing w:after="0" w:line="360" w:lineRule="auto"/>
        <w:ind w:firstLine="357"/>
        <w:jc w:val="both"/>
        <w:rPr>
          <w:rFonts w:ascii="Times New Roman" w:hAnsi="Times New Roman" w:cs="Times New Roman"/>
          <w:sz w:val="22"/>
          <w:szCs w:val="22"/>
        </w:rPr>
      </w:pPr>
    </w:p>
    <w:p w:rsidR="00F70429" w:rsidRPr="008A58A7" w:rsidRDefault="00F70429" w:rsidP="008A58A7">
      <w:pPr>
        <w:autoSpaceDE w:val="0"/>
        <w:autoSpaceDN w:val="0"/>
        <w:adjustRightInd w:val="0"/>
        <w:spacing w:after="0" w:line="240" w:lineRule="auto"/>
        <w:ind w:firstLine="357"/>
        <w:jc w:val="both"/>
        <w:rPr>
          <w:rFonts w:ascii="Times New Roman" w:hAnsi="Times New Roman" w:cs="Times New Roman"/>
          <w:sz w:val="22"/>
          <w:szCs w:val="22"/>
        </w:rPr>
      </w:pPr>
      <w:r w:rsidRPr="008A58A7">
        <w:rPr>
          <w:rFonts w:ascii="Times New Roman" w:hAnsi="Times New Roman" w:cs="Times New Roman"/>
          <w:noProof/>
          <w:vanish/>
          <w:color w:val="0000FF"/>
          <w:sz w:val="22"/>
          <w:szCs w:val="22"/>
          <w:lang w:eastAsia="pt-BR"/>
        </w:rPr>
        <w:drawing>
          <wp:inline distT="0" distB="0" distL="0" distR="0">
            <wp:extent cx="2657475" cy="1724025"/>
            <wp:effectExtent l="0" t="0" r="0" b="0"/>
            <wp:docPr id="2" name="Imagem 2" descr="ANd9GcTfBd_KHlt_z8MkXXbCeLE72YWIrq73BbJAiUw0fQNQea0xik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fBd_KHlt_z8MkXXbCeLE72YWIrq73BbJAiUw0fQNQea0xikp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1724025"/>
                    </a:xfrm>
                    <a:prstGeom prst="rect">
                      <a:avLst/>
                    </a:prstGeom>
                    <a:noFill/>
                    <a:ln>
                      <a:noFill/>
                    </a:ln>
                  </pic:spPr>
                </pic:pic>
              </a:graphicData>
            </a:graphic>
          </wp:inline>
        </w:drawing>
      </w:r>
      <w:r w:rsidRPr="008A58A7">
        <w:rPr>
          <w:rFonts w:ascii="Times New Roman" w:hAnsi="Times New Roman" w:cs="Times New Roman"/>
          <w:noProof/>
          <w:vanish/>
          <w:color w:val="0000FF"/>
          <w:sz w:val="22"/>
          <w:szCs w:val="22"/>
          <w:lang w:eastAsia="pt-BR"/>
        </w:rPr>
        <w:drawing>
          <wp:inline distT="0" distB="0" distL="0" distR="0">
            <wp:extent cx="2657475" cy="1724025"/>
            <wp:effectExtent l="0" t="0" r="0" b="0"/>
            <wp:docPr id="1" name="Imagem 1" descr="ANd9GcTfBd_KHlt_z8MkXXbCeLE72YWIrq73BbJAiUw0fQNQea0xik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fBd_KHlt_z8MkXXbCeLE72YWIrq73BbJAiUw0fQNQea0xikp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1724025"/>
                    </a:xfrm>
                    <a:prstGeom prst="rect">
                      <a:avLst/>
                    </a:prstGeom>
                    <a:noFill/>
                    <a:ln>
                      <a:noFill/>
                    </a:ln>
                  </pic:spPr>
                </pic:pic>
              </a:graphicData>
            </a:graphic>
          </wp:inline>
        </w:drawing>
      </w:r>
    </w:p>
    <w:p w:rsidR="00F70429" w:rsidRDefault="006B2157" w:rsidP="005D522F">
      <w:pPr>
        <w:autoSpaceDE w:val="0"/>
        <w:autoSpaceDN w:val="0"/>
        <w:adjustRightInd w:val="0"/>
        <w:spacing w:line="360" w:lineRule="auto"/>
        <w:ind w:firstLine="708"/>
        <w:jc w:val="both"/>
        <w:rPr>
          <w:rFonts w:ascii="Times New Roman" w:hAnsi="Times New Roman" w:cs="Times New Roman"/>
          <w:szCs w:val="24"/>
        </w:rPr>
      </w:pPr>
      <w:r w:rsidRPr="001D508D">
        <w:rPr>
          <w:rFonts w:ascii="Times New Roman" w:hAnsi="Times New Roman" w:cs="Times New Roman"/>
          <w:szCs w:val="24"/>
        </w:rPr>
        <w:t xml:space="preserve">Vale </w:t>
      </w:r>
      <w:r w:rsidR="00F70429" w:rsidRPr="001D508D">
        <w:rPr>
          <w:rFonts w:ascii="Times New Roman" w:hAnsi="Times New Roman" w:cs="Times New Roman"/>
          <w:szCs w:val="24"/>
        </w:rPr>
        <w:t>destaca</w:t>
      </w:r>
      <w:r w:rsidRPr="001D508D">
        <w:rPr>
          <w:rFonts w:ascii="Times New Roman" w:hAnsi="Times New Roman" w:cs="Times New Roman"/>
          <w:szCs w:val="24"/>
        </w:rPr>
        <w:t>r</w:t>
      </w:r>
      <w:r w:rsidR="00F70429" w:rsidRPr="001D508D">
        <w:rPr>
          <w:rFonts w:ascii="Times New Roman" w:hAnsi="Times New Roman" w:cs="Times New Roman"/>
          <w:szCs w:val="24"/>
        </w:rPr>
        <w:t xml:space="preserve"> um crescimento </w:t>
      </w:r>
      <w:r w:rsidRPr="001D508D">
        <w:rPr>
          <w:rFonts w:ascii="Times New Roman" w:hAnsi="Times New Roman" w:cs="Times New Roman"/>
          <w:szCs w:val="24"/>
        </w:rPr>
        <w:t>n</w:t>
      </w:r>
      <w:r w:rsidR="00F70429" w:rsidRPr="001D508D">
        <w:rPr>
          <w:rFonts w:ascii="Times New Roman" w:hAnsi="Times New Roman" w:cs="Times New Roman"/>
          <w:szCs w:val="24"/>
        </w:rPr>
        <w:t>a importância da logística reversa nas operações de logística empresarial</w:t>
      </w:r>
      <w:r w:rsidRPr="001D508D">
        <w:rPr>
          <w:rFonts w:ascii="Times New Roman" w:hAnsi="Times New Roman" w:cs="Times New Roman"/>
          <w:szCs w:val="24"/>
        </w:rPr>
        <w:t xml:space="preserve"> e </w:t>
      </w:r>
      <w:r w:rsidR="00F70429" w:rsidRPr="001D508D">
        <w:rPr>
          <w:rFonts w:ascii="Times New Roman" w:hAnsi="Times New Roman" w:cs="Times New Roman"/>
          <w:szCs w:val="24"/>
        </w:rPr>
        <w:t>a causa desse crescimento dá-se ao grande potencial econômico que possui o processo logístico reverso e que no momento não tem sido explorado como deveria.</w:t>
      </w:r>
    </w:p>
    <w:p w:rsidR="008A58A7" w:rsidRPr="001D508D" w:rsidRDefault="008A58A7" w:rsidP="002555F5">
      <w:pPr>
        <w:autoSpaceDE w:val="0"/>
        <w:autoSpaceDN w:val="0"/>
        <w:adjustRightInd w:val="0"/>
        <w:spacing w:after="0" w:line="360" w:lineRule="auto"/>
        <w:ind w:firstLine="357"/>
        <w:jc w:val="both"/>
        <w:rPr>
          <w:rFonts w:ascii="Times New Roman" w:hAnsi="Times New Roman" w:cs="Times New Roman"/>
          <w:szCs w:val="24"/>
        </w:rPr>
      </w:pPr>
    </w:p>
    <w:p w:rsidR="003446BD" w:rsidRDefault="0019035C" w:rsidP="008A58A7">
      <w:pPr>
        <w:autoSpaceDE w:val="0"/>
        <w:autoSpaceDN w:val="0"/>
        <w:adjustRightInd w:val="0"/>
        <w:spacing w:line="360" w:lineRule="auto"/>
        <w:jc w:val="both"/>
        <w:rPr>
          <w:rFonts w:ascii="Times New Roman" w:hAnsi="Times New Roman" w:cs="Times New Roman"/>
          <w:b/>
          <w:bCs/>
          <w:color w:val="000000"/>
          <w:szCs w:val="24"/>
        </w:rPr>
      </w:pPr>
      <w:proofErr w:type="gramStart"/>
      <w:r>
        <w:rPr>
          <w:rFonts w:ascii="Times New Roman" w:hAnsi="Times New Roman" w:cs="Times New Roman"/>
          <w:b/>
          <w:bCs/>
          <w:color w:val="000000"/>
          <w:szCs w:val="24"/>
        </w:rPr>
        <w:t>2</w:t>
      </w:r>
      <w:proofErr w:type="gramEnd"/>
      <w:r w:rsidR="009F33B0" w:rsidRPr="001D508D">
        <w:rPr>
          <w:rFonts w:ascii="Times New Roman" w:hAnsi="Times New Roman" w:cs="Times New Roman"/>
          <w:b/>
          <w:bCs/>
          <w:color w:val="000000"/>
          <w:szCs w:val="24"/>
        </w:rPr>
        <w:t xml:space="preserve"> ASPECTOS METODOLÓGICOS</w:t>
      </w:r>
    </w:p>
    <w:p w:rsidR="002555F5" w:rsidRPr="001D508D" w:rsidRDefault="002555F5" w:rsidP="002555F5">
      <w:pPr>
        <w:autoSpaceDE w:val="0"/>
        <w:autoSpaceDN w:val="0"/>
        <w:adjustRightInd w:val="0"/>
        <w:spacing w:after="0" w:line="360" w:lineRule="auto"/>
        <w:jc w:val="both"/>
        <w:rPr>
          <w:rFonts w:ascii="Times New Roman" w:hAnsi="Times New Roman" w:cs="Times New Roman"/>
          <w:b/>
          <w:bCs/>
          <w:color w:val="000000"/>
          <w:szCs w:val="24"/>
        </w:rPr>
      </w:pPr>
    </w:p>
    <w:p w:rsidR="009F33B0" w:rsidRPr="001D508D" w:rsidRDefault="009F33B0" w:rsidP="001D508D">
      <w:pPr>
        <w:autoSpaceDE w:val="0"/>
        <w:autoSpaceDN w:val="0"/>
        <w:adjustRightInd w:val="0"/>
        <w:spacing w:after="0" w:line="360" w:lineRule="auto"/>
        <w:rPr>
          <w:rFonts w:ascii="Times New Roman" w:hAnsi="Times New Roman" w:cs="Times New Roman"/>
          <w:szCs w:val="24"/>
        </w:rPr>
      </w:pPr>
      <w:r w:rsidRPr="001D508D">
        <w:rPr>
          <w:rFonts w:ascii="Times New Roman" w:hAnsi="Times New Roman" w:cs="Times New Roman"/>
          <w:b/>
          <w:bCs/>
          <w:color w:val="000000"/>
          <w:szCs w:val="24"/>
        </w:rPr>
        <w:t xml:space="preserve"> </w:t>
      </w:r>
      <w:r w:rsidR="00336D49" w:rsidRPr="001D508D">
        <w:rPr>
          <w:rFonts w:ascii="Times New Roman" w:hAnsi="Times New Roman" w:cs="Times New Roman"/>
          <w:b/>
          <w:bCs/>
          <w:color w:val="000000"/>
          <w:szCs w:val="24"/>
        </w:rPr>
        <w:tab/>
      </w:r>
      <w:r w:rsidR="003053F4" w:rsidRPr="001D508D">
        <w:rPr>
          <w:rFonts w:ascii="Times New Roman" w:hAnsi="Times New Roman" w:cs="Times New Roman"/>
          <w:szCs w:val="24"/>
        </w:rPr>
        <w:t>Quanto à abordagem, esta pesquisa é quantitativa, no que se refere aos propósitos,</w:t>
      </w:r>
      <w:proofErr w:type="gramStart"/>
      <w:r w:rsidR="003053F4" w:rsidRPr="001D508D">
        <w:rPr>
          <w:rFonts w:ascii="Times New Roman" w:hAnsi="Times New Roman" w:cs="Times New Roman"/>
          <w:szCs w:val="24"/>
        </w:rPr>
        <w:t xml:space="preserve">  </w:t>
      </w:r>
      <w:proofErr w:type="gramEnd"/>
      <w:r w:rsidR="003053F4" w:rsidRPr="001D508D">
        <w:rPr>
          <w:rFonts w:ascii="Times New Roman" w:hAnsi="Times New Roman" w:cs="Times New Roman"/>
          <w:szCs w:val="24"/>
        </w:rPr>
        <w:t>é de natureza exploratória. Em relação aos objetivos é de natureza descritiva, pois segundo Vergara (1997) este tipo de pesquisa expõe características de determinada população ou determinado fenômeno. Pode-se também estabelecer correlações entre variáveis e definir sua natureza. Não tem compromisso de explicar fenômenos que descreve, embora sirva de base para tal explicação. Assim, cabe lembrar que nesta pesquisa procurou-se descrever a realidade observada e estudada da forma como ela se apresenta, buscando compreende-la a partir daqueles que se envolveram ou se envolvem no processo, para então chegar-se a alguma conclusão.</w:t>
      </w:r>
    </w:p>
    <w:p w:rsidR="003053F4" w:rsidRPr="001D508D" w:rsidRDefault="003053F4" w:rsidP="001D508D">
      <w:pPr>
        <w:autoSpaceDE w:val="0"/>
        <w:autoSpaceDN w:val="0"/>
        <w:adjustRightInd w:val="0"/>
        <w:spacing w:after="0" w:line="360" w:lineRule="auto"/>
        <w:ind w:firstLine="709"/>
        <w:jc w:val="both"/>
        <w:rPr>
          <w:rFonts w:ascii="Times New Roman" w:hAnsi="Times New Roman" w:cs="Times New Roman"/>
          <w:b/>
          <w:bCs/>
          <w:color w:val="000000"/>
          <w:szCs w:val="24"/>
        </w:rPr>
      </w:pPr>
      <w:r w:rsidRPr="001D508D">
        <w:rPr>
          <w:rFonts w:ascii="Times New Roman" w:hAnsi="Times New Roman" w:cs="Times New Roman"/>
          <w:szCs w:val="24"/>
        </w:rPr>
        <w:t xml:space="preserve">O universo </w:t>
      </w:r>
      <w:r w:rsidRPr="001D508D">
        <w:rPr>
          <w:rFonts w:ascii="Times New Roman" w:hAnsi="Times New Roman" w:cs="Times New Roman"/>
          <w:color w:val="000000"/>
          <w:szCs w:val="24"/>
        </w:rPr>
        <w:t xml:space="preserve">da pesquisa foi de 178 propriedades cadastradas no </w:t>
      </w:r>
      <w:r w:rsidRPr="001D508D">
        <w:rPr>
          <w:rFonts w:ascii="Times New Roman" w:hAnsi="Times New Roman" w:cs="Times New Roman"/>
          <w:szCs w:val="24"/>
        </w:rPr>
        <w:t>Departamento Nacional de Obras Contra a Seca</w:t>
      </w:r>
      <w:r w:rsidRPr="001D508D">
        <w:rPr>
          <w:rFonts w:ascii="Times New Roman" w:hAnsi="Times New Roman" w:cs="Times New Roman"/>
          <w:color w:val="000000"/>
          <w:szCs w:val="24"/>
        </w:rPr>
        <w:t xml:space="preserve"> – DNOCS do município de Boqueirão – Paraíba de onde foi extraída uma amostra de 36 produtores rurais, correspondendo a 20,2% do universo.</w:t>
      </w:r>
    </w:p>
    <w:p w:rsidR="009F33B0" w:rsidRPr="001D508D" w:rsidRDefault="003053F4" w:rsidP="001D508D">
      <w:pPr>
        <w:autoSpaceDE w:val="0"/>
        <w:autoSpaceDN w:val="0"/>
        <w:adjustRightInd w:val="0"/>
        <w:spacing w:after="0" w:line="360" w:lineRule="auto"/>
        <w:rPr>
          <w:rFonts w:ascii="Times New Roman" w:hAnsi="Times New Roman" w:cs="Times New Roman"/>
          <w:bCs/>
          <w:color w:val="000000"/>
          <w:szCs w:val="24"/>
        </w:rPr>
      </w:pPr>
      <w:r w:rsidRPr="001D508D">
        <w:rPr>
          <w:rFonts w:ascii="Times New Roman" w:hAnsi="Times New Roman" w:cs="Times New Roman"/>
          <w:b/>
          <w:bCs/>
          <w:color w:val="000000"/>
          <w:szCs w:val="24"/>
        </w:rPr>
        <w:lastRenderedPageBreak/>
        <w:tab/>
      </w:r>
      <w:r w:rsidRPr="001D508D">
        <w:rPr>
          <w:rFonts w:ascii="Times New Roman" w:hAnsi="Times New Roman" w:cs="Times New Roman"/>
          <w:bCs/>
          <w:color w:val="000000"/>
          <w:szCs w:val="24"/>
        </w:rPr>
        <w:t xml:space="preserve">A coleta dos dados </w:t>
      </w:r>
      <w:r w:rsidR="003446BD" w:rsidRPr="001D508D">
        <w:rPr>
          <w:rFonts w:ascii="Times New Roman" w:hAnsi="Times New Roman" w:cs="Times New Roman"/>
          <w:bCs/>
          <w:color w:val="000000"/>
          <w:szCs w:val="24"/>
        </w:rPr>
        <w:t xml:space="preserve">se deu por meio da aplicação de questionários e </w:t>
      </w:r>
      <w:r w:rsidRPr="001D508D">
        <w:rPr>
          <w:rFonts w:ascii="Times New Roman" w:hAnsi="Times New Roman" w:cs="Times New Roman"/>
          <w:bCs/>
          <w:color w:val="000000"/>
          <w:szCs w:val="24"/>
        </w:rPr>
        <w:t xml:space="preserve">foi realizada pela autora no mês de </w:t>
      </w:r>
      <w:r w:rsidR="003446BD" w:rsidRPr="001D508D">
        <w:rPr>
          <w:rFonts w:ascii="Times New Roman" w:hAnsi="Times New Roman" w:cs="Times New Roman"/>
          <w:bCs/>
          <w:color w:val="000000"/>
          <w:szCs w:val="24"/>
        </w:rPr>
        <w:t>Maio de 2012. Os dados foram analisados por meio da estatística descritiva.</w:t>
      </w:r>
    </w:p>
    <w:p w:rsidR="003446BD" w:rsidRPr="001D508D" w:rsidRDefault="003446BD" w:rsidP="001D508D">
      <w:pPr>
        <w:autoSpaceDE w:val="0"/>
        <w:autoSpaceDN w:val="0"/>
        <w:adjustRightInd w:val="0"/>
        <w:spacing w:after="0" w:line="360" w:lineRule="auto"/>
        <w:rPr>
          <w:rFonts w:ascii="Times New Roman" w:hAnsi="Times New Roman" w:cs="Times New Roman"/>
          <w:bCs/>
          <w:color w:val="000000"/>
          <w:szCs w:val="24"/>
        </w:rPr>
      </w:pPr>
    </w:p>
    <w:p w:rsidR="009F33B0" w:rsidRPr="001D508D" w:rsidRDefault="0019035C" w:rsidP="001D508D">
      <w:pPr>
        <w:autoSpaceDE w:val="0"/>
        <w:autoSpaceDN w:val="0"/>
        <w:adjustRightInd w:val="0"/>
        <w:spacing w:after="0" w:line="360" w:lineRule="auto"/>
        <w:rPr>
          <w:rFonts w:ascii="Times New Roman" w:hAnsi="Times New Roman" w:cs="Times New Roman"/>
          <w:b/>
          <w:bCs/>
          <w:color w:val="000000"/>
          <w:szCs w:val="24"/>
        </w:rPr>
      </w:pPr>
      <w:proofErr w:type="gramStart"/>
      <w:r>
        <w:rPr>
          <w:rFonts w:ascii="Times New Roman" w:hAnsi="Times New Roman" w:cs="Times New Roman"/>
          <w:b/>
          <w:bCs/>
          <w:color w:val="000000"/>
          <w:szCs w:val="24"/>
        </w:rPr>
        <w:t>3</w:t>
      </w:r>
      <w:proofErr w:type="gramEnd"/>
      <w:r w:rsidR="009F33B0" w:rsidRPr="001D508D">
        <w:rPr>
          <w:rFonts w:ascii="Times New Roman" w:hAnsi="Times New Roman" w:cs="Times New Roman"/>
          <w:b/>
          <w:bCs/>
          <w:color w:val="000000"/>
          <w:szCs w:val="24"/>
        </w:rPr>
        <w:t xml:space="preserve"> </w:t>
      </w:r>
      <w:r w:rsidR="009F79E3">
        <w:rPr>
          <w:rFonts w:ascii="Times New Roman" w:hAnsi="Times New Roman" w:cs="Times New Roman"/>
          <w:b/>
          <w:bCs/>
          <w:color w:val="000000"/>
          <w:szCs w:val="24"/>
        </w:rPr>
        <w:t xml:space="preserve">APRESENTAÇÃO DOS </w:t>
      </w:r>
      <w:r w:rsidR="009F33B0" w:rsidRPr="001D508D">
        <w:rPr>
          <w:rFonts w:ascii="Times New Roman" w:hAnsi="Times New Roman" w:cs="Times New Roman"/>
          <w:b/>
          <w:bCs/>
          <w:color w:val="000000"/>
          <w:szCs w:val="24"/>
        </w:rPr>
        <w:t xml:space="preserve">RESULTADOS </w:t>
      </w:r>
    </w:p>
    <w:p w:rsidR="00336D49" w:rsidRPr="001D508D" w:rsidRDefault="00336D49" w:rsidP="001D508D">
      <w:pPr>
        <w:spacing w:after="0" w:line="360" w:lineRule="auto"/>
        <w:jc w:val="both"/>
        <w:rPr>
          <w:rFonts w:ascii="Times New Roman" w:hAnsi="Times New Roman" w:cs="Times New Roman"/>
          <w:bCs/>
          <w:color w:val="000000"/>
          <w:szCs w:val="24"/>
        </w:rPr>
      </w:pPr>
    </w:p>
    <w:p w:rsidR="00605739" w:rsidRPr="001D508D" w:rsidRDefault="009F33B0" w:rsidP="001D508D">
      <w:pPr>
        <w:spacing w:after="0" w:line="360" w:lineRule="auto"/>
        <w:jc w:val="both"/>
        <w:rPr>
          <w:rFonts w:ascii="Times New Roman" w:hAnsi="Times New Roman" w:cs="Times New Roman"/>
          <w:szCs w:val="24"/>
        </w:rPr>
      </w:pPr>
      <w:r w:rsidRPr="001D508D">
        <w:rPr>
          <w:rFonts w:ascii="Times New Roman" w:hAnsi="Times New Roman" w:cs="Times New Roman"/>
          <w:bCs/>
          <w:color w:val="000000"/>
          <w:szCs w:val="24"/>
        </w:rPr>
        <w:tab/>
      </w:r>
      <w:r w:rsidR="002708CC" w:rsidRPr="001D508D">
        <w:rPr>
          <w:rFonts w:ascii="Times New Roman" w:hAnsi="Times New Roman" w:cs="Times New Roman"/>
          <w:szCs w:val="24"/>
        </w:rPr>
        <w:t>De acordo com os dados</w:t>
      </w:r>
      <w:r w:rsidR="00184AC6" w:rsidRPr="001D508D">
        <w:rPr>
          <w:rFonts w:ascii="Times New Roman" w:hAnsi="Times New Roman" w:cs="Times New Roman"/>
          <w:szCs w:val="24"/>
        </w:rPr>
        <w:t xml:space="preserve"> </w:t>
      </w:r>
      <w:proofErr w:type="spellStart"/>
      <w:r w:rsidR="00184AC6" w:rsidRPr="001D508D">
        <w:rPr>
          <w:rFonts w:ascii="Times New Roman" w:hAnsi="Times New Roman" w:cs="Times New Roman"/>
          <w:szCs w:val="24"/>
        </w:rPr>
        <w:t>sócioeconômicos</w:t>
      </w:r>
      <w:proofErr w:type="spellEnd"/>
      <w:r w:rsidR="002708CC" w:rsidRPr="001D508D">
        <w:rPr>
          <w:rFonts w:ascii="Times New Roman" w:hAnsi="Times New Roman" w:cs="Times New Roman"/>
          <w:szCs w:val="24"/>
        </w:rPr>
        <w:t xml:space="preserve"> coletados foi </w:t>
      </w:r>
      <w:proofErr w:type="gramStart"/>
      <w:r w:rsidR="002708CC" w:rsidRPr="001D508D">
        <w:rPr>
          <w:rFonts w:ascii="Times New Roman" w:hAnsi="Times New Roman" w:cs="Times New Roman"/>
          <w:szCs w:val="24"/>
        </w:rPr>
        <w:t xml:space="preserve">observado </w:t>
      </w:r>
      <w:r w:rsidRPr="001D508D">
        <w:rPr>
          <w:rFonts w:ascii="Times New Roman" w:hAnsi="Times New Roman" w:cs="Times New Roman"/>
          <w:szCs w:val="24"/>
        </w:rPr>
        <w:t xml:space="preserve">uma predominância de produtores rurais do sexo masculino </w:t>
      </w:r>
      <w:r w:rsidR="00605739" w:rsidRPr="001D508D">
        <w:rPr>
          <w:rFonts w:ascii="Times New Roman" w:hAnsi="Times New Roman" w:cs="Times New Roman"/>
          <w:szCs w:val="24"/>
        </w:rPr>
        <w:t>(</w:t>
      </w:r>
      <w:r w:rsidRPr="001D508D">
        <w:rPr>
          <w:rFonts w:ascii="Times New Roman" w:hAnsi="Times New Roman" w:cs="Times New Roman"/>
          <w:szCs w:val="24"/>
        </w:rPr>
        <w:t>80,6%</w:t>
      </w:r>
      <w:r w:rsidR="00605739" w:rsidRPr="001D508D">
        <w:rPr>
          <w:rFonts w:ascii="Times New Roman" w:hAnsi="Times New Roman" w:cs="Times New Roman"/>
          <w:szCs w:val="24"/>
        </w:rPr>
        <w:t>)</w:t>
      </w:r>
      <w:r w:rsidRPr="001D508D">
        <w:rPr>
          <w:rFonts w:ascii="Times New Roman" w:hAnsi="Times New Roman" w:cs="Times New Roman"/>
          <w:szCs w:val="24"/>
        </w:rPr>
        <w:t xml:space="preserve"> </w:t>
      </w:r>
      <w:r w:rsidR="002708CC" w:rsidRPr="001D508D">
        <w:rPr>
          <w:rFonts w:ascii="Times New Roman" w:hAnsi="Times New Roman" w:cs="Times New Roman"/>
          <w:szCs w:val="24"/>
        </w:rPr>
        <w:t>e</w:t>
      </w:r>
      <w:r w:rsidRPr="001D508D">
        <w:rPr>
          <w:rFonts w:ascii="Times New Roman" w:hAnsi="Times New Roman" w:cs="Times New Roman"/>
          <w:szCs w:val="24"/>
        </w:rPr>
        <w:t xml:space="preserve"> 19,4% </w:t>
      </w:r>
      <w:r w:rsidR="002708CC" w:rsidRPr="001D508D">
        <w:rPr>
          <w:rFonts w:ascii="Times New Roman" w:hAnsi="Times New Roman" w:cs="Times New Roman"/>
          <w:szCs w:val="24"/>
        </w:rPr>
        <w:t>do sexo feminino</w:t>
      </w:r>
      <w:proofErr w:type="gramEnd"/>
      <w:r w:rsidR="002708CC" w:rsidRPr="001D508D">
        <w:rPr>
          <w:rFonts w:ascii="Times New Roman" w:hAnsi="Times New Roman" w:cs="Times New Roman"/>
          <w:szCs w:val="24"/>
        </w:rPr>
        <w:t xml:space="preserve">, onde </w:t>
      </w:r>
      <w:r w:rsidRPr="001D508D">
        <w:rPr>
          <w:rFonts w:ascii="Times New Roman" w:hAnsi="Times New Roman" w:cs="Times New Roman"/>
          <w:szCs w:val="24"/>
        </w:rPr>
        <w:t xml:space="preserve">  </w:t>
      </w:r>
      <w:r w:rsidR="002708CC" w:rsidRPr="001D508D">
        <w:rPr>
          <w:rFonts w:ascii="Times New Roman" w:hAnsi="Times New Roman" w:cs="Times New Roman"/>
          <w:szCs w:val="24"/>
        </w:rPr>
        <w:t xml:space="preserve">a maioria  </w:t>
      </w:r>
      <w:r w:rsidR="00605739" w:rsidRPr="001D508D">
        <w:rPr>
          <w:rFonts w:ascii="Times New Roman" w:hAnsi="Times New Roman" w:cs="Times New Roman"/>
          <w:szCs w:val="24"/>
        </w:rPr>
        <w:t>(</w:t>
      </w:r>
      <w:r w:rsidR="002708CC" w:rsidRPr="001D508D">
        <w:rPr>
          <w:rFonts w:ascii="Times New Roman" w:hAnsi="Times New Roman" w:cs="Times New Roman"/>
          <w:szCs w:val="24"/>
        </w:rPr>
        <w:t>77,8%</w:t>
      </w:r>
      <w:r w:rsidR="00605739" w:rsidRPr="001D508D">
        <w:rPr>
          <w:rFonts w:ascii="Times New Roman" w:hAnsi="Times New Roman" w:cs="Times New Roman"/>
          <w:szCs w:val="24"/>
        </w:rPr>
        <w:t>)</w:t>
      </w:r>
      <w:r w:rsidR="002708CC" w:rsidRPr="001D508D">
        <w:rPr>
          <w:rFonts w:ascii="Times New Roman" w:hAnsi="Times New Roman" w:cs="Times New Roman"/>
          <w:szCs w:val="24"/>
        </w:rPr>
        <w:t xml:space="preserve"> são casados, seguindo-se de viúvos (11,1%), divorciados (8,3%) e solteiros </w:t>
      </w:r>
      <w:r w:rsidR="00605739" w:rsidRPr="001D508D">
        <w:rPr>
          <w:rFonts w:ascii="Times New Roman" w:hAnsi="Times New Roman" w:cs="Times New Roman"/>
          <w:szCs w:val="24"/>
        </w:rPr>
        <w:t>(</w:t>
      </w:r>
      <w:r w:rsidR="002708CC" w:rsidRPr="001D508D">
        <w:rPr>
          <w:rFonts w:ascii="Times New Roman" w:hAnsi="Times New Roman" w:cs="Times New Roman"/>
          <w:szCs w:val="24"/>
        </w:rPr>
        <w:t>2,8%</w:t>
      </w:r>
      <w:r w:rsidR="00605739" w:rsidRPr="001D508D">
        <w:rPr>
          <w:rFonts w:ascii="Times New Roman" w:hAnsi="Times New Roman" w:cs="Times New Roman"/>
          <w:szCs w:val="24"/>
        </w:rPr>
        <w:t>)</w:t>
      </w:r>
      <w:r w:rsidR="002708CC" w:rsidRPr="001D508D">
        <w:rPr>
          <w:rFonts w:ascii="Times New Roman" w:hAnsi="Times New Roman" w:cs="Times New Roman"/>
          <w:szCs w:val="24"/>
        </w:rPr>
        <w:t>.</w:t>
      </w:r>
      <w:r w:rsidR="00605739" w:rsidRPr="001D508D">
        <w:rPr>
          <w:rFonts w:ascii="Times New Roman" w:hAnsi="Times New Roman" w:cs="Times New Roman"/>
          <w:szCs w:val="24"/>
        </w:rPr>
        <w:t xml:space="preserve"> A faixa etária predominante</w:t>
      </w:r>
      <w:proofErr w:type="gramStart"/>
      <w:r w:rsidR="00605739" w:rsidRPr="001D508D">
        <w:rPr>
          <w:rFonts w:ascii="Times New Roman" w:hAnsi="Times New Roman" w:cs="Times New Roman"/>
          <w:szCs w:val="24"/>
        </w:rPr>
        <w:t xml:space="preserve">  </w:t>
      </w:r>
      <w:proofErr w:type="gramEnd"/>
      <w:r w:rsidR="00605739" w:rsidRPr="001D508D">
        <w:rPr>
          <w:rFonts w:ascii="Times New Roman" w:hAnsi="Times New Roman" w:cs="Times New Roman"/>
          <w:szCs w:val="24"/>
        </w:rPr>
        <w:t xml:space="preserve">é de 60 anos acima (33,3%), seguido dos 40 a 49 anos (30,6%), 50 a 59 anos (19,4%) e 30 a 39 anos (16,7%) e a renda familiar dos pesquisados encontra-se em sua maioria (38,9%) com até 2 salários </w:t>
      </w:r>
      <w:proofErr w:type="spellStart"/>
      <w:r w:rsidR="00605739" w:rsidRPr="001D508D">
        <w:rPr>
          <w:rFonts w:ascii="Times New Roman" w:hAnsi="Times New Roman" w:cs="Times New Roman"/>
          <w:szCs w:val="24"/>
        </w:rPr>
        <w:t>míninos</w:t>
      </w:r>
      <w:proofErr w:type="spellEnd"/>
      <w:r w:rsidR="00605739" w:rsidRPr="001D508D">
        <w:rPr>
          <w:rFonts w:ascii="Times New Roman" w:hAnsi="Times New Roman" w:cs="Times New Roman"/>
          <w:szCs w:val="24"/>
        </w:rPr>
        <w:t xml:space="preserve">, sendo seguido por até 3 salários(22,2%), 5 salários acima (19,45), 1 salário (13,9%) e menos de um salário e até 4 salários representando juntos 5,6%, salienta-se que </w:t>
      </w:r>
      <w:r w:rsidR="00184AC6" w:rsidRPr="001D508D">
        <w:rPr>
          <w:rFonts w:ascii="Times New Roman" w:hAnsi="Times New Roman" w:cs="Times New Roman"/>
          <w:szCs w:val="24"/>
        </w:rPr>
        <w:t>d</w:t>
      </w:r>
      <w:r w:rsidR="00605739" w:rsidRPr="001D508D">
        <w:rPr>
          <w:rFonts w:ascii="Times New Roman" w:hAnsi="Times New Roman" w:cs="Times New Roman"/>
          <w:szCs w:val="24"/>
        </w:rPr>
        <w:t>essa renda</w:t>
      </w:r>
      <w:r w:rsidR="00184AC6" w:rsidRPr="001D508D">
        <w:rPr>
          <w:rFonts w:ascii="Times New Roman" w:hAnsi="Times New Roman" w:cs="Times New Roman"/>
          <w:szCs w:val="24"/>
        </w:rPr>
        <w:t xml:space="preserve"> 83,3 % dos pesquisados afirmaram ser proveniente das atividades agrícolas, 13,9% da aposentadoria e 2,8% como autônomos</w:t>
      </w:r>
      <w:r w:rsidR="00605739" w:rsidRPr="001D508D">
        <w:rPr>
          <w:rFonts w:ascii="Times New Roman" w:hAnsi="Times New Roman" w:cs="Times New Roman"/>
          <w:szCs w:val="24"/>
        </w:rPr>
        <w:t xml:space="preserve">. </w:t>
      </w:r>
    </w:p>
    <w:p w:rsidR="00184AC6" w:rsidRPr="001D508D" w:rsidRDefault="00184AC6" w:rsidP="001D508D">
      <w:pPr>
        <w:spacing w:after="0" w:line="360" w:lineRule="auto"/>
        <w:jc w:val="both"/>
        <w:rPr>
          <w:rFonts w:ascii="Times New Roman" w:hAnsi="Times New Roman" w:cs="Times New Roman"/>
          <w:szCs w:val="24"/>
        </w:rPr>
      </w:pPr>
      <w:r w:rsidRPr="001D508D">
        <w:rPr>
          <w:rFonts w:ascii="Times New Roman" w:hAnsi="Times New Roman" w:cs="Times New Roman"/>
          <w:szCs w:val="24"/>
        </w:rPr>
        <w:tab/>
        <w:t xml:space="preserve">Os aspectos ambientais coletados revelaram que o pimentão (36,1%), a </w:t>
      </w:r>
      <w:proofErr w:type="gramStart"/>
      <w:r w:rsidRPr="001D508D">
        <w:rPr>
          <w:rFonts w:ascii="Times New Roman" w:hAnsi="Times New Roman" w:cs="Times New Roman"/>
          <w:szCs w:val="24"/>
        </w:rPr>
        <w:t>banana(</w:t>
      </w:r>
      <w:proofErr w:type="gramEnd"/>
      <w:r w:rsidRPr="001D508D">
        <w:rPr>
          <w:rFonts w:ascii="Times New Roman" w:hAnsi="Times New Roman" w:cs="Times New Roman"/>
          <w:szCs w:val="24"/>
        </w:rPr>
        <w:t>33,3%) e o feijão(33,3%) são os tipos de culturas mais ocorrentes no período pesquisado, sendo seguidos do tomate com 19,4%, maracujá e milho com (16,7 % cada), mamão e cebola(11,1%), acerola (5,6%) e coentro, alface e coco com 2,8% cada.</w:t>
      </w:r>
    </w:p>
    <w:p w:rsidR="00047D35" w:rsidRPr="001D508D" w:rsidRDefault="00184AC6" w:rsidP="001D508D">
      <w:pPr>
        <w:spacing w:after="0" w:line="360" w:lineRule="auto"/>
        <w:ind w:firstLine="709"/>
        <w:jc w:val="both"/>
        <w:rPr>
          <w:rFonts w:ascii="Times New Roman" w:hAnsi="Times New Roman" w:cs="Times New Roman"/>
          <w:szCs w:val="24"/>
        </w:rPr>
      </w:pPr>
      <w:r w:rsidRPr="001D508D">
        <w:rPr>
          <w:rFonts w:ascii="Times New Roman" w:hAnsi="Times New Roman" w:cs="Times New Roman"/>
          <w:szCs w:val="24"/>
        </w:rPr>
        <w:t xml:space="preserve">Com relação </w:t>
      </w:r>
      <w:proofErr w:type="gramStart"/>
      <w:r w:rsidRPr="001D508D">
        <w:rPr>
          <w:rFonts w:ascii="Times New Roman" w:hAnsi="Times New Roman" w:cs="Times New Roman"/>
          <w:szCs w:val="24"/>
        </w:rPr>
        <w:t>a</w:t>
      </w:r>
      <w:proofErr w:type="gramEnd"/>
      <w:r w:rsidRPr="001D508D">
        <w:rPr>
          <w:rFonts w:ascii="Times New Roman" w:hAnsi="Times New Roman" w:cs="Times New Roman"/>
          <w:szCs w:val="24"/>
        </w:rPr>
        <w:t xml:space="preserve"> utilização agrotóxicos pelos produtores rurais do açude Epitácio Pessoa, pode-se constatar que a maioria (88,9%) utiliza os produtos e 11,1% não utiliza n</w:t>
      </w:r>
      <w:r w:rsidR="00DD23CA" w:rsidRPr="001D508D">
        <w:rPr>
          <w:rFonts w:ascii="Times New Roman" w:hAnsi="Times New Roman" w:cs="Times New Roman"/>
          <w:szCs w:val="24"/>
        </w:rPr>
        <w:t>enhum tipo de defensivo agrícolas</w:t>
      </w:r>
      <w:r w:rsidR="008344B0" w:rsidRPr="001D508D">
        <w:rPr>
          <w:rFonts w:ascii="Times New Roman" w:hAnsi="Times New Roman" w:cs="Times New Roman"/>
          <w:szCs w:val="24"/>
        </w:rPr>
        <w:t xml:space="preserve"> </w:t>
      </w:r>
      <w:r w:rsidR="00DD23CA" w:rsidRPr="001D508D">
        <w:rPr>
          <w:rFonts w:ascii="Times New Roman" w:hAnsi="Times New Roman" w:cs="Times New Roman"/>
          <w:szCs w:val="24"/>
        </w:rPr>
        <w:t xml:space="preserve">e </w:t>
      </w:r>
      <w:r w:rsidR="00047D35" w:rsidRPr="001D508D">
        <w:rPr>
          <w:rFonts w:ascii="Times New Roman" w:hAnsi="Times New Roman" w:cs="Times New Roman"/>
          <w:szCs w:val="24"/>
        </w:rPr>
        <w:t>o</w:t>
      </w:r>
      <w:r w:rsidR="00DD23CA" w:rsidRPr="001D508D">
        <w:rPr>
          <w:rFonts w:ascii="Times New Roman" w:hAnsi="Times New Roman" w:cs="Times New Roman"/>
          <w:szCs w:val="24"/>
        </w:rPr>
        <w:t>s produtos na sua totalidade(100%)</w:t>
      </w:r>
      <w:r w:rsidR="00047D35" w:rsidRPr="001D508D">
        <w:rPr>
          <w:rFonts w:ascii="Times New Roman" w:hAnsi="Times New Roman" w:cs="Times New Roman"/>
          <w:szCs w:val="24"/>
        </w:rPr>
        <w:t xml:space="preserve"> são adquiridos</w:t>
      </w:r>
      <w:r w:rsidR="00DD23CA" w:rsidRPr="001D508D">
        <w:rPr>
          <w:rFonts w:ascii="Times New Roman" w:hAnsi="Times New Roman" w:cs="Times New Roman"/>
          <w:szCs w:val="24"/>
        </w:rPr>
        <w:t xml:space="preserve"> no comércio local</w:t>
      </w:r>
      <w:r w:rsidR="00117345" w:rsidRPr="001D508D">
        <w:rPr>
          <w:rFonts w:ascii="Times New Roman" w:hAnsi="Times New Roman" w:cs="Times New Roman"/>
          <w:szCs w:val="24"/>
        </w:rPr>
        <w:t xml:space="preserve"> e</w:t>
      </w:r>
      <w:r w:rsidR="00047D35" w:rsidRPr="001D508D">
        <w:rPr>
          <w:rFonts w:ascii="Times New Roman" w:hAnsi="Times New Roman" w:cs="Times New Roman"/>
          <w:szCs w:val="24"/>
        </w:rPr>
        <w:t xml:space="preserve"> o local predominante de armazenagem dos agrotóxicos</w:t>
      </w:r>
      <w:r w:rsidR="0025359A" w:rsidRPr="001D508D">
        <w:rPr>
          <w:rFonts w:ascii="Times New Roman" w:hAnsi="Times New Roman" w:cs="Times New Roman"/>
          <w:szCs w:val="24"/>
        </w:rPr>
        <w:t xml:space="preserve"> por parte dos produtores rurais </w:t>
      </w:r>
      <w:r w:rsidR="00047D35" w:rsidRPr="001D508D">
        <w:rPr>
          <w:rFonts w:ascii="Times New Roman" w:hAnsi="Times New Roman" w:cs="Times New Roman"/>
          <w:szCs w:val="24"/>
        </w:rPr>
        <w:t>são os galpões correspondendo a 78,1%</w:t>
      </w:r>
      <w:r w:rsidR="0025359A" w:rsidRPr="001D508D">
        <w:rPr>
          <w:rFonts w:ascii="Times New Roman" w:hAnsi="Times New Roman" w:cs="Times New Roman"/>
          <w:szCs w:val="24"/>
        </w:rPr>
        <w:t xml:space="preserve">, pois </w:t>
      </w:r>
      <w:r w:rsidR="00047D35" w:rsidRPr="001D508D">
        <w:rPr>
          <w:rFonts w:ascii="Times New Roman" w:hAnsi="Times New Roman" w:cs="Times New Roman"/>
          <w:szCs w:val="24"/>
        </w:rPr>
        <w:t xml:space="preserve">18,8% </w:t>
      </w:r>
      <w:r w:rsidR="0025359A" w:rsidRPr="001D508D">
        <w:rPr>
          <w:rFonts w:ascii="Times New Roman" w:hAnsi="Times New Roman" w:cs="Times New Roman"/>
          <w:szCs w:val="24"/>
        </w:rPr>
        <w:t xml:space="preserve">dos pesquisados </w:t>
      </w:r>
      <w:r w:rsidR="00047D35" w:rsidRPr="001D508D">
        <w:rPr>
          <w:rFonts w:ascii="Times New Roman" w:hAnsi="Times New Roman" w:cs="Times New Roman"/>
          <w:szCs w:val="24"/>
        </w:rPr>
        <w:t>utilizam o produto imediatamente nas plantações, não necessitando armazená-las e apenas 1 produtor (3,1%) afirmou que armazena os produtos na garagem de casa.</w:t>
      </w:r>
    </w:p>
    <w:p w:rsidR="00117345" w:rsidRPr="001D508D" w:rsidRDefault="00047D35" w:rsidP="001D508D">
      <w:pPr>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Pode-se observar ainda que</w:t>
      </w:r>
      <w:r w:rsidR="00117345" w:rsidRPr="001D508D">
        <w:rPr>
          <w:rFonts w:ascii="Times New Roman" w:hAnsi="Times New Roman" w:cs="Times New Roman"/>
          <w:szCs w:val="24"/>
        </w:rPr>
        <w:t xml:space="preserve"> os empregados (68,8 %) são os responsáveis pela aplicação dos agrotóxicos nas plantações, e os proprietários e familiares correspondem a 31,2%. Apesar </w:t>
      </w:r>
      <w:proofErr w:type="gramStart"/>
      <w:r w:rsidR="00117345" w:rsidRPr="001D508D">
        <w:rPr>
          <w:rFonts w:ascii="Times New Roman" w:hAnsi="Times New Roman" w:cs="Times New Roman"/>
          <w:szCs w:val="24"/>
        </w:rPr>
        <w:t>da pesquisa demonstrar</w:t>
      </w:r>
      <w:proofErr w:type="gramEnd"/>
      <w:r w:rsidR="00117345" w:rsidRPr="001D508D">
        <w:rPr>
          <w:rFonts w:ascii="Times New Roman" w:hAnsi="Times New Roman" w:cs="Times New Roman"/>
          <w:szCs w:val="24"/>
        </w:rPr>
        <w:t xml:space="preserve"> uma maioria de pessoas (84,4%) utilizando os equipamentos de proteção individual – </w:t>
      </w:r>
      <w:proofErr w:type="spellStart"/>
      <w:r w:rsidR="00117345" w:rsidRPr="001D508D">
        <w:rPr>
          <w:rFonts w:ascii="Times New Roman" w:hAnsi="Times New Roman" w:cs="Times New Roman"/>
          <w:szCs w:val="24"/>
        </w:rPr>
        <w:t>EPI’s</w:t>
      </w:r>
      <w:proofErr w:type="spellEnd"/>
      <w:r w:rsidR="00117345" w:rsidRPr="001D508D">
        <w:rPr>
          <w:rFonts w:ascii="Times New Roman" w:hAnsi="Times New Roman" w:cs="Times New Roman"/>
          <w:szCs w:val="24"/>
        </w:rPr>
        <w:t xml:space="preserve">, ainda existe um número muito alto de pessoas (15,6%) sem a devida proteção exigida para a aplicação dos produtos nas plantações. </w:t>
      </w:r>
    </w:p>
    <w:p w:rsidR="004D5B5A" w:rsidRPr="001D508D" w:rsidRDefault="00117345" w:rsidP="001D508D">
      <w:pPr>
        <w:spacing w:after="0" w:line="360" w:lineRule="auto"/>
        <w:ind w:firstLine="709"/>
        <w:jc w:val="both"/>
        <w:rPr>
          <w:rFonts w:ascii="Times New Roman" w:hAnsi="Times New Roman" w:cs="Times New Roman"/>
          <w:szCs w:val="24"/>
        </w:rPr>
      </w:pPr>
      <w:r w:rsidRPr="001D508D">
        <w:rPr>
          <w:rFonts w:ascii="Times New Roman" w:hAnsi="Times New Roman" w:cs="Times New Roman"/>
          <w:szCs w:val="24"/>
        </w:rPr>
        <w:t xml:space="preserve">Quanto </w:t>
      </w:r>
      <w:proofErr w:type="gramStart"/>
      <w:r w:rsidRPr="001D508D">
        <w:rPr>
          <w:rFonts w:ascii="Times New Roman" w:hAnsi="Times New Roman" w:cs="Times New Roman"/>
          <w:szCs w:val="24"/>
        </w:rPr>
        <w:t>a</w:t>
      </w:r>
      <w:proofErr w:type="gramEnd"/>
      <w:r w:rsidRPr="001D508D">
        <w:rPr>
          <w:rFonts w:ascii="Times New Roman" w:hAnsi="Times New Roman" w:cs="Times New Roman"/>
          <w:szCs w:val="24"/>
        </w:rPr>
        <w:t xml:space="preserve"> destinação final das embalagens vazias de agrotóxicos </w:t>
      </w:r>
      <w:r w:rsidR="008344B0" w:rsidRPr="001D508D">
        <w:rPr>
          <w:rFonts w:ascii="Times New Roman" w:hAnsi="Times New Roman" w:cs="Times New Roman"/>
          <w:szCs w:val="24"/>
        </w:rPr>
        <w:t>a maio</w:t>
      </w:r>
      <w:r w:rsidR="00047D35" w:rsidRPr="001D508D">
        <w:rPr>
          <w:rFonts w:ascii="Times New Roman" w:hAnsi="Times New Roman" w:cs="Times New Roman"/>
          <w:szCs w:val="24"/>
        </w:rPr>
        <w:t xml:space="preserve">r parte </w:t>
      </w:r>
      <w:r w:rsidR="008344B0" w:rsidRPr="001D508D">
        <w:rPr>
          <w:rFonts w:ascii="Times New Roman" w:hAnsi="Times New Roman" w:cs="Times New Roman"/>
          <w:szCs w:val="24"/>
        </w:rPr>
        <w:t>(53,1%) dos produtores rurais queima</w:t>
      </w:r>
      <w:r w:rsidRPr="001D508D">
        <w:rPr>
          <w:rFonts w:ascii="Times New Roman" w:hAnsi="Times New Roman" w:cs="Times New Roman"/>
          <w:szCs w:val="24"/>
        </w:rPr>
        <w:t xml:space="preserve"> após o uso,</w:t>
      </w:r>
      <w:r w:rsidR="008344B0" w:rsidRPr="001D508D">
        <w:rPr>
          <w:rFonts w:ascii="Times New Roman" w:hAnsi="Times New Roman" w:cs="Times New Roman"/>
          <w:szCs w:val="24"/>
        </w:rPr>
        <w:t xml:space="preserve"> </w:t>
      </w:r>
      <w:r w:rsidR="001C2A69" w:rsidRPr="001D508D">
        <w:rPr>
          <w:rFonts w:ascii="Times New Roman" w:hAnsi="Times New Roman" w:cs="Times New Roman"/>
          <w:szCs w:val="24"/>
        </w:rPr>
        <w:t xml:space="preserve">no entanto </w:t>
      </w:r>
      <w:r w:rsidR="008344B0" w:rsidRPr="001D508D">
        <w:rPr>
          <w:rFonts w:ascii="Times New Roman" w:hAnsi="Times New Roman" w:cs="Times New Roman"/>
          <w:szCs w:val="24"/>
        </w:rPr>
        <w:t xml:space="preserve">37,5% dos pesquisados  afirmam que devolvem as embalagens ao comércio e 9,4% guardam essas embalagens para devolver ou </w:t>
      </w:r>
      <w:r w:rsidR="008344B0" w:rsidRPr="001D508D">
        <w:rPr>
          <w:rFonts w:ascii="Times New Roman" w:hAnsi="Times New Roman" w:cs="Times New Roman"/>
          <w:szCs w:val="24"/>
        </w:rPr>
        <w:lastRenderedPageBreak/>
        <w:t>jogam na serra como destino final</w:t>
      </w:r>
      <w:r w:rsidR="001C2A69" w:rsidRPr="001D508D">
        <w:rPr>
          <w:rFonts w:ascii="Times New Roman" w:hAnsi="Times New Roman" w:cs="Times New Roman"/>
          <w:szCs w:val="24"/>
        </w:rPr>
        <w:t>. Ainda foi visto</w:t>
      </w:r>
      <w:r w:rsidRPr="001D508D">
        <w:rPr>
          <w:rFonts w:ascii="Times New Roman" w:hAnsi="Times New Roman" w:cs="Times New Roman"/>
          <w:szCs w:val="24"/>
        </w:rPr>
        <w:t xml:space="preserve"> que apenas 59,4% dos pesquisados realizam a tríplice lavagem nas embalagens vazias de produtos agrotóxicos, enquanto que 40,6% não cumprem a Lei Nº</w:t>
      </w:r>
      <w:r w:rsidR="001246EB" w:rsidRPr="001D508D">
        <w:rPr>
          <w:rFonts w:ascii="Times New Roman" w:hAnsi="Times New Roman" w:cs="Times New Roman"/>
          <w:szCs w:val="24"/>
        </w:rPr>
        <w:t xml:space="preserve"> 9.974</w:t>
      </w:r>
      <w:r w:rsidRPr="001D508D">
        <w:rPr>
          <w:rFonts w:ascii="Times New Roman" w:hAnsi="Times New Roman" w:cs="Times New Roman"/>
          <w:szCs w:val="24"/>
        </w:rPr>
        <w:t xml:space="preserve"> que determina a tríplice lavagem das embalagens vazias antes da devolução das embalagens</w:t>
      </w:r>
      <w:r w:rsidR="003D2075" w:rsidRPr="001D508D">
        <w:rPr>
          <w:rFonts w:ascii="Times New Roman" w:hAnsi="Times New Roman" w:cs="Times New Roman"/>
          <w:szCs w:val="24"/>
        </w:rPr>
        <w:t>, sendo constatado que (84,2%) cumprem a determinação dada na Lei supracitada que também dispõe sobre o destino da água após a tríplice lavagem das embalagens de agrotóxicos</w:t>
      </w:r>
      <w:proofErr w:type="gramStart"/>
      <w:r w:rsidR="003D2075" w:rsidRPr="001D508D">
        <w:rPr>
          <w:rFonts w:ascii="Times New Roman" w:hAnsi="Times New Roman" w:cs="Times New Roman"/>
          <w:szCs w:val="24"/>
        </w:rPr>
        <w:t xml:space="preserve"> mas</w:t>
      </w:r>
      <w:proofErr w:type="gramEnd"/>
      <w:r w:rsidR="003D2075" w:rsidRPr="001D508D">
        <w:rPr>
          <w:rFonts w:ascii="Times New Roman" w:hAnsi="Times New Roman" w:cs="Times New Roman"/>
          <w:szCs w:val="24"/>
        </w:rPr>
        <w:t xml:space="preserve">  15,8% jogam a água no chão e, em decorrência</w:t>
      </w:r>
      <w:r w:rsidR="00CD1D62" w:rsidRPr="001D508D">
        <w:rPr>
          <w:rFonts w:ascii="Times New Roman" w:hAnsi="Times New Roman" w:cs="Times New Roman"/>
          <w:szCs w:val="24"/>
        </w:rPr>
        <w:t>,</w:t>
      </w:r>
      <w:r w:rsidR="003D2075" w:rsidRPr="001D508D">
        <w:rPr>
          <w:rFonts w:ascii="Times New Roman" w:hAnsi="Times New Roman" w:cs="Times New Roman"/>
          <w:szCs w:val="24"/>
        </w:rPr>
        <w:t xml:space="preserve"> contribuem para a contaminação do solo, da água e do ar.    </w:t>
      </w:r>
    </w:p>
    <w:p w:rsidR="004D5B5A" w:rsidRPr="001D508D" w:rsidRDefault="004D5B5A" w:rsidP="001D508D">
      <w:pPr>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 xml:space="preserve">A pesquisa demonstrou que 66,7% dos pesquisados utilizam transportes próprios (moto ou carro) para devolver as embalagens vazias dos produtos agrotóxicos, seguidos de 25% que utilizam carro fretado e 8,3% que devolvem as embalagens a pé e apenas </w:t>
      </w:r>
      <w:proofErr w:type="gramStart"/>
      <w:r w:rsidRPr="001D508D">
        <w:rPr>
          <w:rFonts w:ascii="Times New Roman" w:hAnsi="Times New Roman" w:cs="Times New Roman"/>
          <w:szCs w:val="24"/>
        </w:rPr>
        <w:t>1</w:t>
      </w:r>
      <w:proofErr w:type="gramEnd"/>
      <w:r w:rsidRPr="001D508D">
        <w:rPr>
          <w:rFonts w:ascii="Times New Roman" w:hAnsi="Times New Roman" w:cs="Times New Roman"/>
          <w:szCs w:val="24"/>
        </w:rPr>
        <w:t xml:space="preserve"> produtor rural (8,3%) afirmou que recebeu incentivo dos comerciantes em forma de desconto para a próxima compra ao devolver as embalagens vazias dos agrotóxicos, mas a maior parte (91,7%) afirma que não recebe nenhum tipo de incentivo quando devolve as embalagens vazias dos produtos e 58,3% dos pesquisados afirma possuir como comprovação da devolução das embalagens vazias dos agrotóxicos a nota fiscal carimbada, embora não tenha sido </w:t>
      </w:r>
      <w:r w:rsidR="00CC788D" w:rsidRPr="001D508D">
        <w:rPr>
          <w:rFonts w:ascii="Times New Roman" w:hAnsi="Times New Roman" w:cs="Times New Roman"/>
          <w:szCs w:val="24"/>
        </w:rPr>
        <w:t>comprovado</w:t>
      </w:r>
      <w:r w:rsidRPr="001D508D">
        <w:rPr>
          <w:rFonts w:ascii="Times New Roman" w:hAnsi="Times New Roman" w:cs="Times New Roman"/>
          <w:szCs w:val="24"/>
        </w:rPr>
        <w:t xml:space="preserve"> esse documento</w:t>
      </w:r>
      <w:r w:rsidR="00CC788D" w:rsidRPr="001D508D">
        <w:rPr>
          <w:rFonts w:ascii="Times New Roman" w:hAnsi="Times New Roman" w:cs="Times New Roman"/>
          <w:szCs w:val="24"/>
        </w:rPr>
        <w:t>,</w:t>
      </w:r>
      <w:r w:rsidRPr="001D508D">
        <w:rPr>
          <w:rFonts w:ascii="Times New Roman" w:hAnsi="Times New Roman" w:cs="Times New Roman"/>
          <w:szCs w:val="24"/>
        </w:rPr>
        <w:t xml:space="preserve"> </w:t>
      </w:r>
      <w:r w:rsidR="00CC788D" w:rsidRPr="001D508D">
        <w:rPr>
          <w:rFonts w:ascii="Times New Roman" w:hAnsi="Times New Roman" w:cs="Times New Roman"/>
          <w:szCs w:val="24"/>
        </w:rPr>
        <w:t>enquanto</w:t>
      </w:r>
      <w:r w:rsidRPr="001D508D">
        <w:rPr>
          <w:rFonts w:ascii="Times New Roman" w:hAnsi="Times New Roman" w:cs="Times New Roman"/>
          <w:szCs w:val="24"/>
        </w:rPr>
        <w:t xml:space="preserve"> 41,7% dos produtores rurais da região</w:t>
      </w:r>
      <w:r w:rsidR="00CC788D" w:rsidRPr="001D508D">
        <w:rPr>
          <w:rFonts w:ascii="Times New Roman" w:hAnsi="Times New Roman" w:cs="Times New Roman"/>
          <w:szCs w:val="24"/>
        </w:rPr>
        <w:t xml:space="preserve"> afirmam que</w:t>
      </w:r>
      <w:r w:rsidRPr="001D508D">
        <w:rPr>
          <w:rFonts w:ascii="Times New Roman" w:hAnsi="Times New Roman" w:cs="Times New Roman"/>
          <w:szCs w:val="24"/>
        </w:rPr>
        <w:t xml:space="preserve"> não recebem nenhum recibo ou comprovante como garantia da devolução dessas embalagens.  </w:t>
      </w:r>
    </w:p>
    <w:p w:rsidR="004D5B5A" w:rsidRPr="001D508D" w:rsidRDefault="004D5B5A" w:rsidP="001D508D">
      <w:pPr>
        <w:spacing w:after="0" w:line="360" w:lineRule="auto"/>
        <w:ind w:firstLine="709"/>
        <w:jc w:val="both"/>
        <w:rPr>
          <w:rFonts w:ascii="Times New Roman" w:hAnsi="Times New Roman" w:cs="Times New Roman"/>
          <w:szCs w:val="24"/>
        </w:rPr>
      </w:pPr>
    </w:p>
    <w:p w:rsidR="009F33B0" w:rsidRPr="001D508D" w:rsidRDefault="009F33B0" w:rsidP="001D508D">
      <w:pPr>
        <w:spacing w:after="0" w:line="360" w:lineRule="auto"/>
        <w:jc w:val="both"/>
        <w:rPr>
          <w:rFonts w:ascii="Times New Roman" w:hAnsi="Times New Roman" w:cs="Times New Roman"/>
          <w:b/>
          <w:szCs w:val="24"/>
        </w:rPr>
      </w:pPr>
      <w:r w:rsidRPr="001D508D">
        <w:rPr>
          <w:rFonts w:ascii="Times New Roman" w:hAnsi="Times New Roman" w:cs="Times New Roman"/>
          <w:b/>
          <w:szCs w:val="24"/>
        </w:rPr>
        <w:t>CON</w:t>
      </w:r>
      <w:r w:rsidR="002555F5">
        <w:rPr>
          <w:rFonts w:ascii="Times New Roman" w:hAnsi="Times New Roman" w:cs="Times New Roman"/>
          <w:b/>
          <w:szCs w:val="24"/>
        </w:rPr>
        <w:t>CLUSÃO</w:t>
      </w:r>
    </w:p>
    <w:p w:rsidR="00843501" w:rsidRPr="001D508D" w:rsidRDefault="00843501" w:rsidP="001D508D">
      <w:pPr>
        <w:spacing w:after="0" w:line="360" w:lineRule="auto"/>
        <w:jc w:val="both"/>
        <w:rPr>
          <w:rFonts w:ascii="Times New Roman" w:hAnsi="Times New Roman" w:cs="Times New Roman"/>
          <w:b/>
          <w:szCs w:val="24"/>
        </w:rPr>
      </w:pPr>
    </w:p>
    <w:p w:rsidR="003E2ADB" w:rsidRPr="001D508D" w:rsidRDefault="00C71ADE" w:rsidP="001D508D">
      <w:pPr>
        <w:autoSpaceDE w:val="0"/>
        <w:autoSpaceDN w:val="0"/>
        <w:adjustRightInd w:val="0"/>
        <w:spacing w:after="0" w:line="360" w:lineRule="auto"/>
        <w:ind w:firstLine="708"/>
        <w:jc w:val="both"/>
        <w:rPr>
          <w:rFonts w:ascii="Times New Roman" w:hAnsi="Times New Roman" w:cs="Times New Roman"/>
          <w:szCs w:val="24"/>
        </w:rPr>
      </w:pPr>
      <w:r w:rsidRPr="001D508D">
        <w:rPr>
          <w:rFonts w:ascii="Times New Roman" w:hAnsi="Times New Roman" w:cs="Times New Roman"/>
          <w:szCs w:val="24"/>
        </w:rPr>
        <w:t>Este artigo teve como objetivo</w:t>
      </w:r>
      <w:r w:rsidR="003E2ADB" w:rsidRPr="001D508D">
        <w:rPr>
          <w:rFonts w:ascii="Times New Roman" w:hAnsi="Times New Roman" w:cs="Times New Roman"/>
          <w:szCs w:val="24"/>
        </w:rPr>
        <w:t>s</w:t>
      </w:r>
      <w:r w:rsidRPr="001D508D">
        <w:rPr>
          <w:rFonts w:ascii="Times New Roman" w:hAnsi="Times New Roman" w:cs="Times New Roman"/>
          <w:szCs w:val="24"/>
        </w:rPr>
        <w:t xml:space="preserve"> </w:t>
      </w:r>
      <w:r w:rsidR="003E2ADB" w:rsidRPr="001D508D">
        <w:rPr>
          <w:rFonts w:ascii="Times New Roman" w:hAnsi="Times New Roman" w:cs="Times New Roman"/>
          <w:szCs w:val="24"/>
        </w:rPr>
        <w:t xml:space="preserve">diagnosticar </w:t>
      </w:r>
      <w:r w:rsidR="003E2ADB" w:rsidRPr="001D508D">
        <w:rPr>
          <w:rFonts w:ascii="Times New Roman" w:hAnsi="Times New Roman" w:cs="Times New Roman"/>
          <w:color w:val="000000"/>
          <w:szCs w:val="24"/>
        </w:rPr>
        <w:t xml:space="preserve">o destino final dado </w:t>
      </w:r>
      <w:proofErr w:type="gramStart"/>
      <w:r w:rsidR="003E2ADB" w:rsidRPr="001D508D">
        <w:rPr>
          <w:rFonts w:ascii="Times New Roman" w:hAnsi="Times New Roman" w:cs="Times New Roman"/>
          <w:color w:val="000000"/>
          <w:szCs w:val="24"/>
        </w:rPr>
        <w:t>as</w:t>
      </w:r>
      <w:proofErr w:type="gramEnd"/>
      <w:r w:rsidR="003E2ADB" w:rsidRPr="001D508D">
        <w:rPr>
          <w:rFonts w:ascii="Times New Roman" w:hAnsi="Times New Roman" w:cs="Times New Roman"/>
          <w:color w:val="000000"/>
          <w:szCs w:val="24"/>
        </w:rPr>
        <w:t xml:space="preserve"> embalagens vazias de produtos agrotóxicos utilizadas pelos produtores rurais do açude público Epitácio Pessoa em Boqueirão – Paraíba a fim de p</w:t>
      </w:r>
      <w:r w:rsidR="003E2ADB" w:rsidRPr="001D508D">
        <w:rPr>
          <w:rFonts w:ascii="Times New Roman" w:hAnsi="Times New Roman" w:cs="Times New Roman"/>
          <w:szCs w:val="24"/>
        </w:rPr>
        <w:t xml:space="preserve">ropor ações mitigadoras que venham minimizar os impactos ambientais adversos devido ao destino final incorreto dado pelos produtores rurais com relação </w:t>
      </w:r>
      <w:r w:rsidR="003E2ADB" w:rsidRPr="001D508D">
        <w:rPr>
          <w:rFonts w:ascii="Times New Roman" w:hAnsi="Times New Roman" w:cs="Times New Roman"/>
          <w:color w:val="000000"/>
          <w:szCs w:val="24"/>
        </w:rPr>
        <w:t>as embalagens vazias de produtos agrotóxicos, no entanto  a pesquisa demonstrou que a maior parte dos produtores rurais (</w:t>
      </w:r>
      <w:r w:rsidR="003E2ADB" w:rsidRPr="001D508D">
        <w:rPr>
          <w:rFonts w:ascii="Times New Roman" w:hAnsi="Times New Roman" w:cs="Times New Roman"/>
          <w:szCs w:val="24"/>
        </w:rPr>
        <w:t xml:space="preserve">53,1%) queima  as embalagens após o uso e apenas 37,5% afirmam que devolvem as embalagens enquanto 9,4% guardam essas embalagens para devolver ou jogam na serra como destino final. </w:t>
      </w:r>
    </w:p>
    <w:p w:rsidR="003E2ADB" w:rsidRPr="001D508D" w:rsidRDefault="003E2ADB" w:rsidP="001D508D">
      <w:pPr>
        <w:autoSpaceDE w:val="0"/>
        <w:autoSpaceDN w:val="0"/>
        <w:adjustRightInd w:val="0"/>
        <w:spacing w:line="360" w:lineRule="auto"/>
        <w:ind w:firstLine="709"/>
        <w:jc w:val="both"/>
        <w:rPr>
          <w:rFonts w:ascii="Times New Roman" w:hAnsi="Times New Roman" w:cs="Times New Roman"/>
          <w:szCs w:val="24"/>
        </w:rPr>
      </w:pPr>
      <w:r w:rsidRPr="001D508D">
        <w:rPr>
          <w:rFonts w:ascii="Times New Roman" w:eastAsia="Calibri" w:hAnsi="Times New Roman" w:cs="Times New Roman"/>
          <w:szCs w:val="24"/>
        </w:rPr>
        <w:t xml:space="preserve">Dessa forma fica evidenciada a necessidade das organizações produtivas repensarem seus processos, seus produtos e sua tecnologia, melhorando continuamente seus níveis de desempenho ambiental, de forma a conseguirem equilibrar suas atividades econômicas com a poluição por elas geradas. A forma que as organizações encontraram para negociar com as pressões oriundas das partes interessadas e atender as leis e aos requisitos que regulamentam e </w:t>
      </w:r>
      <w:r w:rsidRPr="001D508D">
        <w:rPr>
          <w:rFonts w:ascii="Times New Roman" w:eastAsia="Calibri" w:hAnsi="Times New Roman" w:cs="Times New Roman"/>
          <w:szCs w:val="24"/>
        </w:rPr>
        <w:lastRenderedPageBreak/>
        <w:t>regulam suas atividades foi construir um Sistema de Gestão Ambiental, capaz de identificar os impactos ambientais significativos por elas causados e controlar suas operações, para ter condições de monitorar, controlar e melhorar seus níveis de desempenho ambiental.</w:t>
      </w:r>
      <w:r w:rsidRPr="001D508D">
        <w:rPr>
          <w:rFonts w:ascii="Times New Roman" w:hAnsi="Times New Roman" w:cs="Times New Roman"/>
          <w:szCs w:val="24"/>
        </w:rPr>
        <w:t xml:space="preserve"> </w:t>
      </w:r>
    </w:p>
    <w:p w:rsidR="003E2ADB" w:rsidRDefault="00843501" w:rsidP="001D508D">
      <w:pPr>
        <w:autoSpaceDE w:val="0"/>
        <w:autoSpaceDN w:val="0"/>
        <w:adjustRightInd w:val="0"/>
        <w:spacing w:line="360" w:lineRule="auto"/>
        <w:ind w:firstLine="709"/>
        <w:jc w:val="both"/>
        <w:rPr>
          <w:rFonts w:ascii="Times New Roman" w:eastAsia="Calibri" w:hAnsi="Times New Roman" w:cs="Times New Roman"/>
          <w:szCs w:val="24"/>
        </w:rPr>
      </w:pPr>
      <w:r w:rsidRPr="001D508D">
        <w:rPr>
          <w:rFonts w:ascii="Times New Roman" w:hAnsi="Times New Roman" w:cs="Times New Roman"/>
          <w:szCs w:val="24"/>
        </w:rPr>
        <w:t>Dentro desse contexto, propõe-se a adesão do sistema de logística reversa como</w:t>
      </w:r>
      <w:proofErr w:type="gramStart"/>
      <w:r w:rsidRPr="001D508D">
        <w:rPr>
          <w:rFonts w:ascii="Times New Roman" w:hAnsi="Times New Roman" w:cs="Times New Roman"/>
          <w:szCs w:val="24"/>
        </w:rPr>
        <w:t xml:space="preserve">  </w:t>
      </w:r>
      <w:proofErr w:type="gramEnd"/>
      <w:r w:rsidRPr="001D508D">
        <w:rPr>
          <w:rFonts w:ascii="Times New Roman" w:hAnsi="Times New Roman" w:cs="Times New Roman"/>
          <w:szCs w:val="24"/>
        </w:rPr>
        <w:t>instrumento de gestão ambiental utilizado pelas indústrias fabricantes de produtos agrotóxicos que juntamente com o setor comercial, os produtores rurais e o poder público visa modificar o atual cenário de degradação ambiental causados pelo descarte inadequado das embalagens vazias de agrotóxicos em prol da sustentabilidade, reduzindo</w:t>
      </w:r>
      <w:r w:rsidRPr="001D508D">
        <w:rPr>
          <w:rFonts w:ascii="Times New Roman" w:eastAsia="Calibri" w:hAnsi="Times New Roman" w:cs="Times New Roman"/>
          <w:szCs w:val="24"/>
        </w:rPr>
        <w:t xml:space="preserve"> o risco de saúde das pessoas e a contaminação do meio ambiente.</w:t>
      </w:r>
    </w:p>
    <w:p w:rsidR="002555F5" w:rsidRPr="001D508D" w:rsidRDefault="002555F5" w:rsidP="002555F5">
      <w:pPr>
        <w:autoSpaceDE w:val="0"/>
        <w:autoSpaceDN w:val="0"/>
        <w:adjustRightInd w:val="0"/>
        <w:spacing w:after="0" w:line="360" w:lineRule="auto"/>
        <w:ind w:firstLine="709"/>
        <w:jc w:val="both"/>
        <w:rPr>
          <w:rFonts w:ascii="Times New Roman" w:eastAsia="Calibri" w:hAnsi="Times New Roman" w:cs="Times New Roman"/>
          <w:szCs w:val="24"/>
        </w:rPr>
      </w:pPr>
    </w:p>
    <w:p w:rsidR="009F33B0" w:rsidRDefault="009F33B0" w:rsidP="00445F8B">
      <w:pPr>
        <w:spacing w:after="0" w:line="480" w:lineRule="auto"/>
        <w:jc w:val="both"/>
        <w:rPr>
          <w:rFonts w:ascii="Times New Roman" w:hAnsi="Times New Roman" w:cs="Times New Roman"/>
          <w:b/>
          <w:szCs w:val="24"/>
        </w:rPr>
      </w:pPr>
      <w:r>
        <w:rPr>
          <w:rFonts w:ascii="Times New Roman" w:hAnsi="Times New Roman" w:cs="Times New Roman"/>
          <w:b/>
          <w:szCs w:val="24"/>
        </w:rPr>
        <w:t>REFERÊNCIAS</w:t>
      </w:r>
    </w:p>
    <w:p w:rsidR="002555F5" w:rsidRDefault="002555F5" w:rsidP="002555F5">
      <w:pPr>
        <w:spacing w:after="0" w:line="240" w:lineRule="auto"/>
        <w:jc w:val="both"/>
        <w:rPr>
          <w:rFonts w:ascii="Times New Roman" w:hAnsi="Times New Roman" w:cs="Times New Roman"/>
          <w:b/>
          <w:szCs w:val="24"/>
        </w:rPr>
      </w:pPr>
    </w:p>
    <w:p w:rsidR="000C3B68" w:rsidRDefault="000C3B68" w:rsidP="000C3B68">
      <w:pPr>
        <w:autoSpaceDE w:val="0"/>
        <w:autoSpaceDN w:val="0"/>
        <w:adjustRightInd w:val="0"/>
        <w:spacing w:before="120" w:after="120" w:line="240" w:lineRule="auto"/>
        <w:jc w:val="both"/>
        <w:rPr>
          <w:rFonts w:ascii="Arial" w:eastAsia="Times New Roman" w:hAnsi="Arial" w:cs="Arial"/>
          <w:szCs w:val="24"/>
          <w:lang w:eastAsia="pt-BR"/>
        </w:rPr>
      </w:pPr>
      <w:r w:rsidRPr="002555F5">
        <w:rPr>
          <w:rFonts w:ascii="Arial" w:eastAsia="Times New Roman" w:hAnsi="Arial" w:cs="Arial"/>
          <w:szCs w:val="24"/>
          <w:lang w:eastAsia="pt-BR"/>
        </w:rPr>
        <w:t xml:space="preserve">ABNT – Associação Brasileira de Normas Técnicas. </w:t>
      </w:r>
      <w:r w:rsidRPr="002555F5">
        <w:rPr>
          <w:rFonts w:ascii="Arial" w:eastAsia="Times New Roman" w:hAnsi="Arial" w:cs="Arial"/>
          <w:b/>
          <w:szCs w:val="24"/>
          <w:lang w:eastAsia="pt-BR"/>
        </w:rPr>
        <w:t>NBR 10004</w:t>
      </w:r>
      <w:r w:rsidRPr="002555F5">
        <w:rPr>
          <w:rFonts w:ascii="Arial" w:eastAsia="Times New Roman" w:hAnsi="Arial" w:cs="Arial"/>
          <w:szCs w:val="24"/>
          <w:lang w:eastAsia="pt-BR"/>
        </w:rPr>
        <w:t>: resíduos sólidos. Classificação. Rio de Janeiro – ABNT, 2004.</w:t>
      </w:r>
    </w:p>
    <w:p w:rsidR="002555F5" w:rsidRDefault="002555F5" w:rsidP="002555F5">
      <w:pPr>
        <w:autoSpaceDE w:val="0"/>
        <w:autoSpaceDN w:val="0"/>
        <w:adjustRightInd w:val="0"/>
        <w:spacing w:after="0" w:line="240" w:lineRule="auto"/>
        <w:jc w:val="both"/>
        <w:rPr>
          <w:rFonts w:ascii="Arial" w:eastAsia="Times New Roman" w:hAnsi="Arial" w:cs="Arial"/>
          <w:szCs w:val="24"/>
          <w:lang w:eastAsia="pt-BR"/>
        </w:rPr>
      </w:pPr>
    </w:p>
    <w:p w:rsidR="002555F5" w:rsidRPr="002555F5" w:rsidRDefault="002555F5" w:rsidP="000C3B68">
      <w:pPr>
        <w:autoSpaceDE w:val="0"/>
        <w:autoSpaceDN w:val="0"/>
        <w:adjustRightInd w:val="0"/>
        <w:spacing w:before="120" w:after="120" w:line="240" w:lineRule="auto"/>
        <w:jc w:val="both"/>
        <w:rPr>
          <w:rFonts w:ascii="Arial" w:eastAsia="Times New Roman" w:hAnsi="Arial" w:cs="Arial"/>
          <w:szCs w:val="24"/>
          <w:lang w:eastAsia="pt-BR"/>
        </w:rPr>
      </w:pPr>
    </w:p>
    <w:p w:rsidR="000C3B68" w:rsidRPr="002555F5" w:rsidRDefault="000C3B68" w:rsidP="000C3B68">
      <w:pPr>
        <w:autoSpaceDE w:val="0"/>
        <w:autoSpaceDN w:val="0"/>
        <w:adjustRightInd w:val="0"/>
        <w:spacing w:before="120" w:after="120" w:line="240" w:lineRule="auto"/>
        <w:jc w:val="both"/>
        <w:rPr>
          <w:rFonts w:ascii="Arial" w:eastAsia="Times New Roman" w:hAnsi="Arial" w:cs="Arial"/>
          <w:szCs w:val="24"/>
          <w:lang w:eastAsia="pt-BR"/>
        </w:rPr>
      </w:pPr>
      <w:r w:rsidRPr="002555F5">
        <w:rPr>
          <w:rFonts w:ascii="Arial" w:eastAsia="Times New Roman" w:hAnsi="Arial" w:cs="Arial"/>
          <w:szCs w:val="24"/>
          <w:lang w:eastAsia="pt-BR"/>
        </w:rPr>
        <w:t xml:space="preserve">ASSOCIAÇÃO NACIONAL DE DEFESA VEGETAL. </w:t>
      </w:r>
      <w:r w:rsidRPr="002555F5">
        <w:rPr>
          <w:rFonts w:ascii="Arial" w:eastAsia="Times New Roman" w:hAnsi="Arial" w:cs="Arial"/>
          <w:bCs/>
          <w:szCs w:val="24"/>
          <w:lang w:eastAsia="pt-BR"/>
        </w:rPr>
        <w:t xml:space="preserve">Institucional. </w:t>
      </w:r>
      <w:r w:rsidRPr="002555F5">
        <w:rPr>
          <w:rFonts w:ascii="Arial" w:eastAsia="Times New Roman" w:hAnsi="Arial" w:cs="Arial"/>
          <w:szCs w:val="24"/>
          <w:lang w:eastAsia="pt-BR"/>
        </w:rPr>
        <w:t xml:space="preserve">Disponível em: http://www.andef.com.br/2003/index.asp. Acesso em: </w:t>
      </w:r>
      <w:proofErr w:type="gramStart"/>
      <w:r w:rsidRPr="002555F5">
        <w:rPr>
          <w:rFonts w:ascii="Arial" w:eastAsia="Times New Roman" w:hAnsi="Arial" w:cs="Arial"/>
          <w:szCs w:val="24"/>
          <w:lang w:eastAsia="pt-BR"/>
        </w:rPr>
        <w:t>12 maio</w:t>
      </w:r>
      <w:proofErr w:type="gramEnd"/>
      <w:r w:rsidRPr="002555F5">
        <w:rPr>
          <w:rFonts w:ascii="Arial" w:eastAsia="Times New Roman" w:hAnsi="Arial" w:cs="Arial"/>
          <w:szCs w:val="24"/>
          <w:lang w:eastAsia="pt-BR"/>
        </w:rPr>
        <w:t>. 2009.</w:t>
      </w:r>
    </w:p>
    <w:p w:rsidR="002555F5" w:rsidRDefault="002555F5" w:rsidP="002555F5">
      <w:pPr>
        <w:spacing w:after="0" w:line="240" w:lineRule="auto"/>
        <w:jc w:val="both"/>
        <w:rPr>
          <w:rFonts w:ascii="Arial" w:eastAsia="Times New Roman" w:hAnsi="Arial" w:cs="Arial"/>
          <w:szCs w:val="24"/>
          <w:lang w:eastAsia="pt-BR"/>
        </w:rPr>
      </w:pPr>
    </w:p>
    <w:p w:rsidR="002555F5" w:rsidRDefault="002555F5" w:rsidP="006B2157">
      <w:pPr>
        <w:spacing w:before="120" w:after="120" w:line="240" w:lineRule="auto"/>
        <w:ind w:right="-1"/>
        <w:jc w:val="both"/>
        <w:rPr>
          <w:rFonts w:ascii="Arial" w:eastAsia="Times New Roman" w:hAnsi="Arial" w:cs="Arial"/>
          <w:szCs w:val="24"/>
          <w:lang w:eastAsia="pt-BR"/>
        </w:rPr>
      </w:pPr>
    </w:p>
    <w:p w:rsidR="006B2157" w:rsidRPr="002555F5" w:rsidRDefault="006B2157" w:rsidP="006B2157">
      <w:pPr>
        <w:spacing w:before="120" w:after="120" w:line="240" w:lineRule="auto"/>
        <w:ind w:right="-1"/>
        <w:jc w:val="both"/>
        <w:rPr>
          <w:rFonts w:ascii="Arial" w:eastAsia="Times New Roman" w:hAnsi="Arial" w:cs="Arial"/>
          <w:szCs w:val="24"/>
          <w:lang w:eastAsia="pt-BR"/>
        </w:rPr>
      </w:pPr>
      <w:r w:rsidRPr="002555F5">
        <w:rPr>
          <w:rFonts w:ascii="Arial" w:eastAsia="Times New Roman" w:hAnsi="Arial" w:cs="Arial"/>
          <w:szCs w:val="24"/>
          <w:lang w:eastAsia="pt-BR"/>
        </w:rPr>
        <w:t xml:space="preserve">CALDERONI, </w:t>
      </w:r>
      <w:proofErr w:type="spellStart"/>
      <w:r w:rsidRPr="002555F5">
        <w:rPr>
          <w:rFonts w:ascii="Arial" w:eastAsia="Times New Roman" w:hAnsi="Arial" w:cs="Arial"/>
          <w:szCs w:val="24"/>
          <w:lang w:eastAsia="pt-BR"/>
        </w:rPr>
        <w:t>Sebatai</w:t>
      </w:r>
      <w:proofErr w:type="spellEnd"/>
      <w:r w:rsidRPr="002555F5">
        <w:rPr>
          <w:rFonts w:ascii="Arial" w:eastAsia="Times New Roman" w:hAnsi="Arial" w:cs="Arial"/>
          <w:szCs w:val="24"/>
          <w:lang w:eastAsia="pt-BR"/>
        </w:rPr>
        <w:t xml:space="preserve">. </w:t>
      </w:r>
      <w:r w:rsidRPr="002555F5">
        <w:rPr>
          <w:rFonts w:ascii="Arial" w:eastAsia="Times New Roman" w:hAnsi="Arial" w:cs="Arial"/>
          <w:b/>
          <w:szCs w:val="24"/>
          <w:lang w:eastAsia="pt-BR"/>
        </w:rPr>
        <w:t>Os bilhões perdidos no lixo</w:t>
      </w:r>
      <w:r w:rsidRPr="002555F5">
        <w:rPr>
          <w:rFonts w:ascii="Arial" w:eastAsia="Times New Roman" w:hAnsi="Arial" w:cs="Arial"/>
          <w:szCs w:val="24"/>
          <w:lang w:eastAsia="pt-BR"/>
        </w:rPr>
        <w:t>.</w:t>
      </w:r>
      <w:r w:rsidRPr="002555F5">
        <w:rPr>
          <w:rFonts w:ascii="Arial" w:eastAsia="Times New Roman" w:hAnsi="Arial" w:cs="Arial"/>
          <w:b/>
          <w:szCs w:val="24"/>
          <w:lang w:eastAsia="pt-BR"/>
        </w:rPr>
        <w:t xml:space="preserve"> </w:t>
      </w:r>
      <w:r w:rsidRPr="002555F5">
        <w:rPr>
          <w:rFonts w:ascii="Arial" w:eastAsia="Times New Roman" w:hAnsi="Arial" w:cs="Arial"/>
          <w:szCs w:val="24"/>
          <w:lang w:eastAsia="pt-BR"/>
        </w:rPr>
        <w:t xml:space="preserve">3. </w:t>
      </w:r>
      <w:proofErr w:type="gramStart"/>
      <w:r w:rsidRPr="002555F5">
        <w:rPr>
          <w:rFonts w:ascii="Arial" w:eastAsia="Times New Roman" w:hAnsi="Arial" w:cs="Arial"/>
          <w:szCs w:val="24"/>
          <w:lang w:eastAsia="pt-BR"/>
        </w:rPr>
        <w:t>ed.</w:t>
      </w:r>
      <w:proofErr w:type="gramEnd"/>
      <w:r w:rsidRPr="002555F5">
        <w:rPr>
          <w:rFonts w:ascii="Arial" w:eastAsia="Times New Roman" w:hAnsi="Arial" w:cs="Arial"/>
          <w:szCs w:val="24"/>
          <w:lang w:eastAsia="pt-BR"/>
        </w:rPr>
        <w:t xml:space="preserve"> São Paulo. Editora </w:t>
      </w:r>
      <w:proofErr w:type="spellStart"/>
      <w:r w:rsidRPr="002555F5">
        <w:rPr>
          <w:rFonts w:ascii="Arial" w:eastAsia="Times New Roman" w:hAnsi="Arial" w:cs="Arial"/>
          <w:szCs w:val="24"/>
          <w:lang w:eastAsia="pt-BR"/>
        </w:rPr>
        <w:t>Humanitas</w:t>
      </w:r>
      <w:proofErr w:type="spellEnd"/>
      <w:r w:rsidRPr="002555F5">
        <w:rPr>
          <w:rFonts w:ascii="Arial" w:eastAsia="Times New Roman" w:hAnsi="Arial" w:cs="Arial"/>
          <w:szCs w:val="24"/>
          <w:lang w:eastAsia="pt-BR"/>
        </w:rPr>
        <w:t>, 1999.</w:t>
      </w:r>
    </w:p>
    <w:p w:rsidR="002555F5" w:rsidRDefault="002555F5" w:rsidP="002555F5">
      <w:pPr>
        <w:autoSpaceDE w:val="0"/>
        <w:autoSpaceDN w:val="0"/>
        <w:adjustRightInd w:val="0"/>
        <w:spacing w:after="0" w:line="240" w:lineRule="auto"/>
        <w:jc w:val="both"/>
        <w:rPr>
          <w:rFonts w:ascii="Arial" w:eastAsia="Times New Roman" w:hAnsi="Arial" w:cs="Arial"/>
          <w:bCs/>
          <w:szCs w:val="24"/>
          <w:lang w:eastAsia="pt-BR"/>
        </w:rPr>
      </w:pPr>
    </w:p>
    <w:p w:rsidR="002555F5" w:rsidRDefault="002555F5" w:rsidP="006B2157">
      <w:pPr>
        <w:autoSpaceDE w:val="0"/>
        <w:autoSpaceDN w:val="0"/>
        <w:adjustRightInd w:val="0"/>
        <w:spacing w:before="120" w:after="120" w:line="240" w:lineRule="auto"/>
        <w:jc w:val="both"/>
        <w:rPr>
          <w:rFonts w:ascii="Arial" w:eastAsia="Times New Roman" w:hAnsi="Arial" w:cs="Arial"/>
          <w:bCs/>
          <w:szCs w:val="24"/>
          <w:lang w:eastAsia="pt-BR"/>
        </w:rPr>
      </w:pPr>
    </w:p>
    <w:p w:rsidR="006B2157" w:rsidRPr="002555F5" w:rsidRDefault="006B2157" w:rsidP="006B2157">
      <w:pPr>
        <w:autoSpaceDE w:val="0"/>
        <w:autoSpaceDN w:val="0"/>
        <w:adjustRightInd w:val="0"/>
        <w:spacing w:before="120" w:after="120" w:line="240" w:lineRule="auto"/>
        <w:jc w:val="both"/>
        <w:rPr>
          <w:rFonts w:ascii="Arial" w:eastAsia="Times New Roman" w:hAnsi="Arial" w:cs="Arial"/>
          <w:bCs/>
          <w:szCs w:val="24"/>
          <w:lang w:eastAsia="pt-BR"/>
        </w:rPr>
      </w:pPr>
      <w:r w:rsidRPr="002555F5">
        <w:rPr>
          <w:rFonts w:ascii="Arial" w:eastAsia="Times New Roman" w:hAnsi="Arial" w:cs="Arial"/>
          <w:bCs/>
          <w:szCs w:val="24"/>
          <w:lang w:eastAsia="pt-BR"/>
        </w:rPr>
        <w:t xml:space="preserve">FRANCA, </w:t>
      </w:r>
      <w:proofErr w:type="spellStart"/>
      <w:r w:rsidRPr="002555F5">
        <w:rPr>
          <w:rFonts w:ascii="Arial" w:eastAsia="Times New Roman" w:hAnsi="Arial" w:cs="Arial"/>
          <w:bCs/>
          <w:szCs w:val="24"/>
          <w:lang w:eastAsia="pt-BR"/>
        </w:rPr>
        <w:t>Rosiléa</w:t>
      </w:r>
      <w:proofErr w:type="spellEnd"/>
      <w:r w:rsidRPr="002555F5">
        <w:rPr>
          <w:rFonts w:ascii="Arial" w:eastAsia="Times New Roman" w:hAnsi="Arial" w:cs="Arial"/>
          <w:bCs/>
          <w:szCs w:val="24"/>
          <w:lang w:eastAsia="pt-BR"/>
        </w:rPr>
        <w:t xml:space="preserve"> Garcia e  RUARO, </w:t>
      </w:r>
      <w:proofErr w:type="spellStart"/>
      <w:r w:rsidRPr="002555F5">
        <w:rPr>
          <w:rFonts w:ascii="Arial" w:eastAsia="Times New Roman" w:hAnsi="Arial" w:cs="Arial"/>
          <w:bCs/>
          <w:szCs w:val="24"/>
          <w:lang w:eastAsia="pt-BR"/>
        </w:rPr>
        <w:t>Édina</w:t>
      </w:r>
      <w:proofErr w:type="spellEnd"/>
      <w:r w:rsidRPr="002555F5">
        <w:rPr>
          <w:rFonts w:ascii="Arial" w:eastAsia="Times New Roman" w:hAnsi="Arial" w:cs="Arial"/>
          <w:bCs/>
          <w:szCs w:val="24"/>
          <w:lang w:eastAsia="pt-BR"/>
        </w:rPr>
        <w:t xml:space="preserve"> Cristina Rodrigues. </w:t>
      </w:r>
      <w:r w:rsidRPr="002555F5">
        <w:rPr>
          <w:rFonts w:ascii="Arial" w:eastAsia="Times New Roman" w:hAnsi="Arial" w:cs="Arial"/>
          <w:b/>
          <w:bCs/>
          <w:szCs w:val="24"/>
          <w:lang w:eastAsia="pt-BR"/>
        </w:rPr>
        <w:t>Diagnóstico da disposição final dos resíduos sólidos urbanos na região da Associação dos Municípios do Alto Irani</w:t>
      </w:r>
      <w:r w:rsidRPr="002555F5">
        <w:rPr>
          <w:rFonts w:ascii="Arial" w:eastAsia="Times New Roman" w:hAnsi="Arial" w:cs="Arial"/>
          <w:bCs/>
          <w:szCs w:val="24"/>
          <w:lang w:eastAsia="pt-BR"/>
        </w:rPr>
        <w:t xml:space="preserve"> (AMAI), Santa Catarina.</w:t>
      </w:r>
      <w:r w:rsidRPr="002555F5">
        <w:rPr>
          <w:rFonts w:ascii="Arial" w:eastAsia="Times New Roman" w:hAnsi="Arial" w:cs="Arial"/>
          <w:bCs/>
          <w:i/>
          <w:iCs/>
          <w:szCs w:val="24"/>
          <w:lang w:eastAsia="pt-BR"/>
        </w:rPr>
        <w:t xml:space="preserve"> Ciênc. saúde coletiva</w:t>
      </w:r>
      <w:r w:rsidRPr="002555F5">
        <w:rPr>
          <w:rFonts w:ascii="Arial" w:eastAsia="Times New Roman" w:hAnsi="Arial" w:cs="Arial"/>
          <w:bCs/>
          <w:szCs w:val="24"/>
          <w:lang w:eastAsia="pt-BR"/>
        </w:rPr>
        <w:t xml:space="preserve"> [online]. 2009, vol.14, n.6, pp. 2191-2197. ISSN 1413-8123.  </w:t>
      </w:r>
      <w:proofErr w:type="spellStart"/>
      <w:r w:rsidRPr="002555F5">
        <w:rPr>
          <w:rFonts w:ascii="Arial" w:eastAsia="Times New Roman" w:hAnsi="Arial" w:cs="Arial"/>
          <w:bCs/>
          <w:szCs w:val="24"/>
          <w:lang w:eastAsia="pt-BR"/>
        </w:rPr>
        <w:t>doi</w:t>
      </w:r>
      <w:proofErr w:type="spellEnd"/>
      <w:r w:rsidRPr="002555F5">
        <w:rPr>
          <w:rFonts w:ascii="Arial" w:eastAsia="Times New Roman" w:hAnsi="Arial" w:cs="Arial"/>
          <w:bCs/>
          <w:szCs w:val="24"/>
          <w:lang w:eastAsia="pt-BR"/>
        </w:rPr>
        <w:t>: 10.1590/S1413-81232009000600026.</w:t>
      </w:r>
    </w:p>
    <w:p w:rsidR="002555F5" w:rsidRDefault="002555F5" w:rsidP="004017CB">
      <w:pPr>
        <w:autoSpaceDE w:val="0"/>
        <w:autoSpaceDN w:val="0"/>
        <w:adjustRightInd w:val="0"/>
        <w:spacing w:before="120" w:after="120" w:line="240" w:lineRule="auto"/>
        <w:jc w:val="both"/>
        <w:rPr>
          <w:rFonts w:ascii="Arial" w:eastAsia="Calibri" w:hAnsi="Arial" w:cs="Arial"/>
          <w:szCs w:val="24"/>
        </w:rPr>
      </w:pPr>
    </w:p>
    <w:p w:rsidR="002555F5" w:rsidRDefault="002555F5" w:rsidP="002555F5">
      <w:pPr>
        <w:autoSpaceDE w:val="0"/>
        <w:autoSpaceDN w:val="0"/>
        <w:adjustRightInd w:val="0"/>
        <w:spacing w:after="0" w:line="240" w:lineRule="auto"/>
        <w:jc w:val="both"/>
        <w:rPr>
          <w:rFonts w:ascii="Arial" w:eastAsia="Calibri" w:hAnsi="Arial" w:cs="Arial"/>
          <w:szCs w:val="24"/>
        </w:rPr>
      </w:pPr>
    </w:p>
    <w:p w:rsidR="004017CB" w:rsidRPr="002555F5" w:rsidRDefault="004017CB" w:rsidP="004017CB">
      <w:pPr>
        <w:autoSpaceDE w:val="0"/>
        <w:autoSpaceDN w:val="0"/>
        <w:adjustRightInd w:val="0"/>
        <w:spacing w:before="120" w:after="120" w:line="240" w:lineRule="auto"/>
        <w:jc w:val="both"/>
        <w:rPr>
          <w:rFonts w:ascii="Arial" w:eastAsia="Times New Roman" w:hAnsi="Arial" w:cs="Arial"/>
          <w:szCs w:val="24"/>
          <w:lang w:eastAsia="pt-BR"/>
        </w:rPr>
      </w:pPr>
      <w:r w:rsidRPr="002555F5">
        <w:rPr>
          <w:rFonts w:ascii="Arial" w:eastAsia="Calibri" w:hAnsi="Arial" w:cs="Arial"/>
          <w:szCs w:val="24"/>
        </w:rPr>
        <w:t xml:space="preserve">INSTITUTO NACIONAL DE PROCESSAMENTO DE EMBALAGENS VAZIAS. </w:t>
      </w:r>
      <w:r w:rsidRPr="002555F5">
        <w:rPr>
          <w:rFonts w:ascii="Arial" w:eastAsia="Calibri" w:hAnsi="Arial" w:cs="Arial"/>
          <w:b/>
          <w:bCs/>
          <w:szCs w:val="24"/>
        </w:rPr>
        <w:t>Institucional</w:t>
      </w:r>
      <w:r w:rsidRPr="002555F5">
        <w:rPr>
          <w:rFonts w:ascii="Arial" w:eastAsia="Calibri" w:hAnsi="Arial" w:cs="Arial"/>
          <w:szCs w:val="24"/>
        </w:rPr>
        <w:t xml:space="preserve">. Disponível em: </w:t>
      </w:r>
      <w:hyperlink r:id="rId10" w:history="1">
        <w:r w:rsidRPr="002555F5">
          <w:rPr>
            <w:rFonts w:ascii="Arial" w:eastAsia="Calibri" w:hAnsi="Arial" w:cs="Arial"/>
            <w:color w:val="0000FF"/>
            <w:szCs w:val="24"/>
            <w:u w:val="single"/>
          </w:rPr>
          <w:t>http://www.inpev.org.br/institucional/inpev/inpev.asp</w:t>
        </w:r>
      </w:hyperlink>
      <w:r w:rsidRPr="002555F5">
        <w:rPr>
          <w:rFonts w:ascii="Arial" w:eastAsia="Calibri" w:hAnsi="Arial" w:cs="Arial"/>
          <w:szCs w:val="24"/>
        </w:rPr>
        <w:t xml:space="preserve">. Acesso em </w:t>
      </w:r>
      <w:proofErr w:type="gramStart"/>
      <w:r w:rsidRPr="002555F5">
        <w:rPr>
          <w:rFonts w:ascii="Arial" w:eastAsia="Calibri" w:hAnsi="Arial" w:cs="Arial"/>
          <w:szCs w:val="24"/>
        </w:rPr>
        <w:t>08 Maio</w:t>
      </w:r>
      <w:proofErr w:type="gramEnd"/>
      <w:r w:rsidRPr="002555F5">
        <w:rPr>
          <w:rFonts w:ascii="Arial" w:eastAsia="Calibri" w:hAnsi="Arial" w:cs="Arial"/>
          <w:szCs w:val="24"/>
        </w:rPr>
        <w:t xml:space="preserve"> de 2010.</w:t>
      </w:r>
    </w:p>
    <w:p w:rsidR="002555F5" w:rsidRDefault="002555F5" w:rsidP="000C3B68">
      <w:pPr>
        <w:autoSpaceDE w:val="0"/>
        <w:autoSpaceDN w:val="0"/>
        <w:adjustRightInd w:val="0"/>
        <w:spacing w:before="120" w:after="120" w:line="240" w:lineRule="auto"/>
        <w:ind w:right="-1"/>
        <w:jc w:val="both"/>
        <w:rPr>
          <w:rFonts w:ascii="Arial" w:eastAsia="Times New Roman" w:hAnsi="Arial" w:cs="Arial"/>
          <w:szCs w:val="24"/>
          <w:lang w:eastAsia="pt-BR"/>
        </w:rPr>
      </w:pPr>
    </w:p>
    <w:p w:rsidR="002555F5" w:rsidRDefault="002555F5" w:rsidP="002555F5">
      <w:pPr>
        <w:autoSpaceDE w:val="0"/>
        <w:autoSpaceDN w:val="0"/>
        <w:adjustRightInd w:val="0"/>
        <w:spacing w:after="0" w:line="240" w:lineRule="auto"/>
        <w:jc w:val="both"/>
        <w:rPr>
          <w:rFonts w:ascii="Arial" w:eastAsia="Times New Roman" w:hAnsi="Arial" w:cs="Arial"/>
          <w:szCs w:val="24"/>
          <w:lang w:eastAsia="pt-BR"/>
        </w:rPr>
      </w:pPr>
    </w:p>
    <w:p w:rsidR="000C3B68" w:rsidRPr="002555F5" w:rsidRDefault="000C3B68" w:rsidP="000C3B68">
      <w:pPr>
        <w:autoSpaceDE w:val="0"/>
        <w:autoSpaceDN w:val="0"/>
        <w:adjustRightInd w:val="0"/>
        <w:spacing w:before="120" w:after="120" w:line="240" w:lineRule="auto"/>
        <w:ind w:right="-1"/>
        <w:jc w:val="both"/>
        <w:rPr>
          <w:rFonts w:ascii="Arial" w:eastAsia="Times New Roman" w:hAnsi="Arial" w:cs="Arial"/>
          <w:szCs w:val="24"/>
          <w:lang w:eastAsia="pt-BR"/>
        </w:rPr>
      </w:pPr>
      <w:r w:rsidRPr="002555F5">
        <w:rPr>
          <w:rFonts w:ascii="Arial" w:eastAsia="Times New Roman" w:hAnsi="Arial" w:cs="Arial"/>
          <w:szCs w:val="24"/>
          <w:lang w:eastAsia="pt-BR"/>
        </w:rPr>
        <w:lastRenderedPageBreak/>
        <w:t xml:space="preserve">IPT/CEMPRE. </w:t>
      </w:r>
      <w:r w:rsidRPr="002555F5">
        <w:rPr>
          <w:rFonts w:ascii="Arial" w:eastAsia="Times New Roman" w:hAnsi="Arial" w:cs="Arial"/>
          <w:b/>
          <w:szCs w:val="24"/>
          <w:lang w:eastAsia="pt-BR"/>
        </w:rPr>
        <w:t xml:space="preserve">Lixo municipal: </w:t>
      </w:r>
      <w:r w:rsidRPr="002555F5">
        <w:rPr>
          <w:rFonts w:ascii="Arial" w:eastAsia="Times New Roman" w:hAnsi="Arial" w:cs="Arial"/>
          <w:szCs w:val="24"/>
          <w:lang w:eastAsia="pt-BR"/>
        </w:rPr>
        <w:t xml:space="preserve">manual de gerenciamento integrado. 2. </w:t>
      </w:r>
      <w:proofErr w:type="gramStart"/>
      <w:r w:rsidRPr="002555F5">
        <w:rPr>
          <w:rFonts w:ascii="Arial" w:eastAsia="Times New Roman" w:hAnsi="Arial" w:cs="Arial"/>
          <w:szCs w:val="24"/>
          <w:lang w:eastAsia="pt-BR"/>
        </w:rPr>
        <w:t>ed.</w:t>
      </w:r>
      <w:proofErr w:type="gramEnd"/>
      <w:r w:rsidRPr="002555F5">
        <w:rPr>
          <w:rFonts w:ascii="Arial" w:eastAsia="Times New Roman" w:hAnsi="Arial" w:cs="Arial"/>
          <w:szCs w:val="24"/>
          <w:lang w:eastAsia="pt-BR"/>
        </w:rPr>
        <w:t xml:space="preserve"> São Paulo, 2000.</w:t>
      </w:r>
    </w:p>
    <w:p w:rsidR="002555F5" w:rsidRDefault="002555F5" w:rsidP="00F616F3">
      <w:pPr>
        <w:autoSpaceDE w:val="0"/>
        <w:autoSpaceDN w:val="0"/>
        <w:adjustRightInd w:val="0"/>
        <w:spacing w:before="120" w:after="120" w:line="240" w:lineRule="auto"/>
        <w:ind w:right="-1"/>
        <w:jc w:val="both"/>
        <w:rPr>
          <w:rFonts w:ascii="Arial" w:eastAsia="Times New Roman" w:hAnsi="Arial" w:cs="Arial"/>
          <w:szCs w:val="24"/>
          <w:lang w:eastAsia="pt-BR"/>
        </w:rPr>
      </w:pPr>
    </w:p>
    <w:p w:rsidR="002555F5" w:rsidRDefault="002555F5" w:rsidP="002555F5">
      <w:pPr>
        <w:autoSpaceDE w:val="0"/>
        <w:autoSpaceDN w:val="0"/>
        <w:adjustRightInd w:val="0"/>
        <w:spacing w:after="0" w:line="240" w:lineRule="auto"/>
        <w:jc w:val="both"/>
        <w:rPr>
          <w:rFonts w:ascii="Arial" w:eastAsia="Times New Roman" w:hAnsi="Arial" w:cs="Arial"/>
          <w:szCs w:val="24"/>
          <w:lang w:eastAsia="pt-BR"/>
        </w:rPr>
      </w:pPr>
    </w:p>
    <w:p w:rsidR="00F616F3" w:rsidRPr="002555F5" w:rsidRDefault="00F616F3" w:rsidP="00F616F3">
      <w:pPr>
        <w:autoSpaceDE w:val="0"/>
        <w:autoSpaceDN w:val="0"/>
        <w:adjustRightInd w:val="0"/>
        <w:spacing w:before="120" w:after="120" w:line="240" w:lineRule="auto"/>
        <w:ind w:right="-1"/>
        <w:jc w:val="both"/>
        <w:rPr>
          <w:rFonts w:ascii="Arial" w:eastAsia="Times New Roman" w:hAnsi="Arial" w:cs="Arial"/>
          <w:szCs w:val="24"/>
          <w:lang w:val="en-US" w:eastAsia="pt-BR"/>
        </w:rPr>
      </w:pPr>
      <w:proofErr w:type="gramStart"/>
      <w:r w:rsidRPr="002555F5">
        <w:rPr>
          <w:rFonts w:ascii="Arial" w:eastAsia="Times New Roman" w:hAnsi="Arial" w:cs="Arial"/>
          <w:szCs w:val="24"/>
          <w:lang w:eastAsia="pt-BR"/>
        </w:rPr>
        <w:t>KOTAKA,</w:t>
      </w:r>
      <w:proofErr w:type="gramEnd"/>
      <w:r w:rsidRPr="002555F5">
        <w:rPr>
          <w:rFonts w:ascii="Arial" w:eastAsia="Times New Roman" w:hAnsi="Arial" w:cs="Arial"/>
          <w:szCs w:val="24"/>
          <w:lang w:eastAsia="pt-BR"/>
        </w:rPr>
        <w:t xml:space="preserve">E.T.; ZAMBRONE,F.A.D. </w:t>
      </w:r>
      <w:r w:rsidRPr="002555F5">
        <w:rPr>
          <w:rFonts w:ascii="Arial" w:eastAsia="Times New Roman" w:hAnsi="Arial" w:cs="Arial"/>
          <w:b/>
          <w:szCs w:val="24"/>
          <w:lang w:eastAsia="pt-BR"/>
        </w:rPr>
        <w:t xml:space="preserve">Contribuições para a Construção de Diretrizes de Avaliação do Risco Toxicológico de Agrotóxicos. </w:t>
      </w:r>
      <w:r w:rsidRPr="002555F5">
        <w:rPr>
          <w:rFonts w:ascii="Arial" w:eastAsia="Times New Roman" w:hAnsi="Arial" w:cs="Arial"/>
          <w:szCs w:val="24"/>
          <w:lang w:val="en-US" w:eastAsia="pt-BR"/>
        </w:rPr>
        <w:t xml:space="preserve">Campinas, SP: </w:t>
      </w:r>
      <w:proofErr w:type="spellStart"/>
      <w:r w:rsidRPr="002555F5">
        <w:rPr>
          <w:rFonts w:ascii="Arial" w:eastAsia="Times New Roman" w:hAnsi="Arial" w:cs="Arial"/>
          <w:szCs w:val="24"/>
          <w:lang w:val="en-US" w:eastAsia="pt-BR"/>
        </w:rPr>
        <w:t>ilsi</w:t>
      </w:r>
      <w:proofErr w:type="spellEnd"/>
      <w:r w:rsidRPr="002555F5">
        <w:rPr>
          <w:rFonts w:ascii="Arial" w:eastAsia="Times New Roman" w:hAnsi="Arial" w:cs="Arial"/>
          <w:szCs w:val="24"/>
          <w:lang w:val="en-US" w:eastAsia="pt-BR"/>
        </w:rPr>
        <w:t xml:space="preserve">, 2001. </w:t>
      </w:r>
      <w:proofErr w:type="gramStart"/>
      <w:r w:rsidRPr="002555F5">
        <w:rPr>
          <w:rFonts w:ascii="Arial" w:eastAsia="Times New Roman" w:hAnsi="Arial" w:cs="Arial"/>
          <w:szCs w:val="24"/>
          <w:lang w:val="en-US" w:eastAsia="pt-BR"/>
        </w:rPr>
        <w:t>160 p.</w:t>
      </w:r>
      <w:proofErr w:type="gramEnd"/>
    </w:p>
    <w:p w:rsidR="002555F5" w:rsidRDefault="002555F5" w:rsidP="002555F5">
      <w:pPr>
        <w:autoSpaceDE w:val="0"/>
        <w:autoSpaceDN w:val="0"/>
        <w:adjustRightInd w:val="0"/>
        <w:spacing w:after="0" w:line="240" w:lineRule="auto"/>
        <w:jc w:val="both"/>
        <w:rPr>
          <w:rFonts w:ascii="Arial" w:eastAsia="Times New Roman" w:hAnsi="Arial" w:cs="Arial"/>
          <w:szCs w:val="24"/>
          <w:lang w:val="en-US" w:eastAsia="pt-BR"/>
        </w:rPr>
      </w:pPr>
    </w:p>
    <w:p w:rsidR="002555F5" w:rsidRDefault="002555F5" w:rsidP="00B007B7">
      <w:pPr>
        <w:autoSpaceDE w:val="0"/>
        <w:autoSpaceDN w:val="0"/>
        <w:adjustRightInd w:val="0"/>
        <w:spacing w:before="120" w:after="120" w:line="240" w:lineRule="auto"/>
        <w:ind w:right="-1"/>
        <w:jc w:val="both"/>
        <w:rPr>
          <w:rFonts w:ascii="Arial" w:eastAsia="Times New Roman" w:hAnsi="Arial" w:cs="Arial"/>
          <w:szCs w:val="24"/>
          <w:lang w:val="en-US" w:eastAsia="pt-BR"/>
        </w:rPr>
      </w:pPr>
    </w:p>
    <w:p w:rsidR="00B007B7" w:rsidRPr="002555F5" w:rsidRDefault="00B007B7" w:rsidP="00B007B7">
      <w:pPr>
        <w:autoSpaceDE w:val="0"/>
        <w:autoSpaceDN w:val="0"/>
        <w:adjustRightInd w:val="0"/>
        <w:spacing w:before="120" w:after="120" w:line="240" w:lineRule="auto"/>
        <w:ind w:right="-1"/>
        <w:jc w:val="both"/>
        <w:rPr>
          <w:rFonts w:ascii="Arial" w:eastAsia="Times New Roman" w:hAnsi="Arial" w:cs="Arial"/>
          <w:szCs w:val="24"/>
          <w:lang w:eastAsia="pt-BR"/>
        </w:rPr>
      </w:pPr>
      <w:proofErr w:type="gramStart"/>
      <w:r w:rsidRPr="002555F5">
        <w:rPr>
          <w:rFonts w:ascii="Arial" w:eastAsia="Times New Roman" w:hAnsi="Arial" w:cs="Arial"/>
          <w:szCs w:val="24"/>
          <w:lang w:val="en-US" w:eastAsia="pt-BR"/>
        </w:rPr>
        <w:t>LAMBERT, D.; STOCK, J. S</w:t>
      </w:r>
      <w:r w:rsidRPr="002555F5">
        <w:rPr>
          <w:rFonts w:ascii="Arial" w:eastAsia="Times New Roman" w:hAnsi="Arial" w:cs="Arial"/>
          <w:b/>
          <w:i/>
          <w:szCs w:val="24"/>
          <w:lang w:val="en-US" w:eastAsia="pt-BR"/>
        </w:rPr>
        <w:t xml:space="preserve">trategic Physical </w:t>
      </w:r>
      <w:proofErr w:type="spellStart"/>
      <w:r w:rsidRPr="002555F5">
        <w:rPr>
          <w:rFonts w:ascii="Arial" w:eastAsia="Times New Roman" w:hAnsi="Arial" w:cs="Arial"/>
          <w:b/>
          <w:i/>
          <w:szCs w:val="24"/>
          <w:lang w:val="en-US" w:eastAsia="pt-BR"/>
        </w:rPr>
        <w:t>Distribuition</w:t>
      </w:r>
      <w:proofErr w:type="spellEnd"/>
      <w:r w:rsidRPr="002555F5">
        <w:rPr>
          <w:rFonts w:ascii="Arial" w:eastAsia="Times New Roman" w:hAnsi="Arial" w:cs="Arial"/>
          <w:b/>
          <w:i/>
          <w:szCs w:val="24"/>
          <w:lang w:val="en-US" w:eastAsia="pt-BR"/>
        </w:rPr>
        <w:t xml:space="preserve"> Management.</w:t>
      </w:r>
      <w:proofErr w:type="gramEnd"/>
      <w:r w:rsidRPr="002555F5">
        <w:rPr>
          <w:rFonts w:ascii="Arial" w:eastAsia="Times New Roman" w:hAnsi="Arial" w:cs="Arial"/>
          <w:b/>
          <w:i/>
          <w:szCs w:val="24"/>
          <w:lang w:val="en-US" w:eastAsia="pt-BR"/>
        </w:rPr>
        <w:t xml:space="preserve"> </w:t>
      </w:r>
      <w:proofErr w:type="spellStart"/>
      <w:r w:rsidRPr="002555F5">
        <w:rPr>
          <w:rFonts w:ascii="Arial" w:eastAsia="Times New Roman" w:hAnsi="Arial" w:cs="Arial"/>
          <w:i/>
          <w:szCs w:val="24"/>
          <w:lang w:eastAsia="pt-BR"/>
        </w:rPr>
        <w:t>Homewood</w:t>
      </w:r>
      <w:proofErr w:type="spellEnd"/>
      <w:r w:rsidRPr="002555F5">
        <w:rPr>
          <w:rFonts w:ascii="Arial" w:eastAsia="Times New Roman" w:hAnsi="Arial" w:cs="Arial"/>
          <w:i/>
          <w:szCs w:val="24"/>
          <w:lang w:eastAsia="pt-BR"/>
        </w:rPr>
        <w:t xml:space="preserve"> – II: Irwin, </w:t>
      </w:r>
      <w:r w:rsidRPr="002555F5">
        <w:rPr>
          <w:rFonts w:ascii="Arial" w:eastAsia="Times New Roman" w:hAnsi="Arial" w:cs="Arial"/>
          <w:szCs w:val="24"/>
          <w:lang w:eastAsia="pt-BR"/>
        </w:rPr>
        <w:t xml:space="preserve">1981. </w:t>
      </w:r>
    </w:p>
    <w:p w:rsidR="002555F5" w:rsidRDefault="002555F5" w:rsidP="002555F5">
      <w:pPr>
        <w:autoSpaceDE w:val="0"/>
        <w:autoSpaceDN w:val="0"/>
        <w:adjustRightInd w:val="0"/>
        <w:spacing w:after="0" w:line="240" w:lineRule="auto"/>
        <w:jc w:val="both"/>
        <w:rPr>
          <w:rFonts w:ascii="Arial" w:eastAsia="Times New Roman" w:hAnsi="Arial" w:cs="Arial"/>
          <w:szCs w:val="24"/>
          <w:lang w:eastAsia="pt-BR"/>
        </w:rPr>
      </w:pPr>
    </w:p>
    <w:p w:rsidR="002555F5" w:rsidRDefault="002555F5" w:rsidP="002555F5">
      <w:pPr>
        <w:autoSpaceDE w:val="0"/>
        <w:autoSpaceDN w:val="0"/>
        <w:adjustRightInd w:val="0"/>
        <w:spacing w:after="0" w:line="240" w:lineRule="auto"/>
        <w:jc w:val="both"/>
        <w:rPr>
          <w:rFonts w:ascii="Arial" w:eastAsia="Times New Roman" w:hAnsi="Arial" w:cs="Arial"/>
          <w:szCs w:val="24"/>
          <w:lang w:eastAsia="pt-BR"/>
        </w:rPr>
      </w:pPr>
    </w:p>
    <w:p w:rsidR="00B007B7" w:rsidRPr="002555F5" w:rsidRDefault="00B007B7" w:rsidP="00B007B7">
      <w:pPr>
        <w:autoSpaceDE w:val="0"/>
        <w:autoSpaceDN w:val="0"/>
        <w:adjustRightInd w:val="0"/>
        <w:spacing w:before="120" w:after="120" w:line="240" w:lineRule="auto"/>
        <w:ind w:right="-1"/>
        <w:jc w:val="both"/>
        <w:rPr>
          <w:rFonts w:ascii="Arial" w:eastAsia="Times New Roman" w:hAnsi="Arial" w:cs="Arial"/>
          <w:szCs w:val="24"/>
          <w:lang w:eastAsia="pt-BR"/>
        </w:rPr>
      </w:pPr>
      <w:r w:rsidRPr="002555F5">
        <w:rPr>
          <w:rFonts w:ascii="Arial" w:eastAsia="Times New Roman" w:hAnsi="Arial" w:cs="Arial"/>
          <w:szCs w:val="24"/>
          <w:lang w:eastAsia="pt-BR"/>
        </w:rPr>
        <w:t xml:space="preserve">LEITE, P. R. </w:t>
      </w:r>
      <w:r w:rsidRPr="002555F5">
        <w:rPr>
          <w:rFonts w:ascii="Arial" w:eastAsia="Times New Roman" w:hAnsi="Arial" w:cs="Arial"/>
          <w:b/>
          <w:szCs w:val="24"/>
          <w:lang w:eastAsia="pt-BR"/>
        </w:rPr>
        <w:t xml:space="preserve">Logística Reversa: </w:t>
      </w:r>
      <w:r w:rsidRPr="002555F5">
        <w:rPr>
          <w:rFonts w:ascii="Arial" w:eastAsia="Times New Roman" w:hAnsi="Arial" w:cs="Arial"/>
          <w:szCs w:val="24"/>
          <w:lang w:eastAsia="pt-BR"/>
        </w:rPr>
        <w:t>meio ambiente e competitividade. São Paulo: Pearson Prentice Hall, 2009.</w:t>
      </w:r>
    </w:p>
    <w:p w:rsidR="002555F5" w:rsidRDefault="002555F5" w:rsidP="002555F5">
      <w:pPr>
        <w:autoSpaceDE w:val="0"/>
        <w:autoSpaceDN w:val="0"/>
        <w:adjustRightInd w:val="0"/>
        <w:spacing w:after="0" w:line="240" w:lineRule="auto"/>
        <w:jc w:val="both"/>
        <w:rPr>
          <w:rFonts w:ascii="Arial" w:eastAsia="Times New Roman" w:hAnsi="Arial" w:cs="Arial"/>
          <w:szCs w:val="24"/>
          <w:lang w:eastAsia="pt-BR"/>
        </w:rPr>
      </w:pPr>
    </w:p>
    <w:p w:rsidR="002555F5" w:rsidRDefault="002555F5" w:rsidP="00F616F3">
      <w:pPr>
        <w:autoSpaceDE w:val="0"/>
        <w:autoSpaceDN w:val="0"/>
        <w:adjustRightInd w:val="0"/>
        <w:spacing w:before="120" w:after="120" w:line="240" w:lineRule="auto"/>
        <w:ind w:right="-1"/>
        <w:jc w:val="both"/>
        <w:rPr>
          <w:rFonts w:ascii="Arial" w:eastAsia="Times New Roman" w:hAnsi="Arial" w:cs="Arial"/>
          <w:szCs w:val="24"/>
          <w:lang w:eastAsia="pt-BR"/>
        </w:rPr>
      </w:pPr>
    </w:p>
    <w:p w:rsidR="00F616F3" w:rsidRPr="002555F5" w:rsidRDefault="00F616F3" w:rsidP="00F616F3">
      <w:pPr>
        <w:autoSpaceDE w:val="0"/>
        <w:autoSpaceDN w:val="0"/>
        <w:adjustRightInd w:val="0"/>
        <w:spacing w:before="120" w:after="120" w:line="240" w:lineRule="auto"/>
        <w:ind w:right="-1"/>
        <w:jc w:val="both"/>
        <w:rPr>
          <w:rFonts w:ascii="Arial" w:eastAsia="Times New Roman" w:hAnsi="Arial" w:cs="Arial"/>
          <w:szCs w:val="24"/>
          <w:lang w:eastAsia="pt-BR"/>
        </w:rPr>
      </w:pPr>
      <w:r w:rsidRPr="002555F5">
        <w:rPr>
          <w:rFonts w:ascii="Arial" w:eastAsia="Times New Roman" w:hAnsi="Arial" w:cs="Arial"/>
          <w:szCs w:val="24"/>
          <w:lang w:eastAsia="pt-BR"/>
        </w:rPr>
        <w:t xml:space="preserve">NBR10004/2004 ABNT Associação Brasileira de Normas Técnicas. </w:t>
      </w:r>
      <w:r w:rsidRPr="002555F5">
        <w:rPr>
          <w:rFonts w:ascii="Arial" w:eastAsia="Times New Roman" w:hAnsi="Arial" w:cs="Arial"/>
          <w:b/>
          <w:szCs w:val="24"/>
          <w:lang w:eastAsia="pt-BR"/>
        </w:rPr>
        <w:t>NBR 10004</w:t>
      </w:r>
      <w:r w:rsidRPr="002555F5">
        <w:rPr>
          <w:rFonts w:ascii="Arial" w:eastAsia="Times New Roman" w:hAnsi="Arial" w:cs="Arial"/>
          <w:szCs w:val="24"/>
          <w:lang w:eastAsia="pt-BR"/>
        </w:rPr>
        <w:t>: resíduos sólidos. Classificação. Rio de Janeiro – ABNT, 2004.</w:t>
      </w:r>
    </w:p>
    <w:p w:rsidR="002555F5" w:rsidRDefault="002555F5" w:rsidP="00F616F3">
      <w:pPr>
        <w:autoSpaceDE w:val="0"/>
        <w:autoSpaceDN w:val="0"/>
        <w:adjustRightInd w:val="0"/>
        <w:spacing w:before="120" w:after="120" w:line="240" w:lineRule="auto"/>
        <w:ind w:right="-1"/>
        <w:jc w:val="both"/>
        <w:rPr>
          <w:rFonts w:ascii="Arial" w:eastAsia="Times New Roman" w:hAnsi="Arial" w:cs="Arial"/>
          <w:szCs w:val="24"/>
          <w:lang w:val="en-US" w:eastAsia="pt-BR"/>
        </w:rPr>
      </w:pPr>
    </w:p>
    <w:p w:rsidR="002555F5" w:rsidRDefault="002555F5" w:rsidP="002555F5">
      <w:pPr>
        <w:autoSpaceDE w:val="0"/>
        <w:autoSpaceDN w:val="0"/>
        <w:adjustRightInd w:val="0"/>
        <w:spacing w:after="0" w:line="240" w:lineRule="auto"/>
        <w:jc w:val="both"/>
        <w:rPr>
          <w:rFonts w:ascii="Arial" w:eastAsia="Times New Roman" w:hAnsi="Arial" w:cs="Arial"/>
          <w:szCs w:val="24"/>
          <w:lang w:val="en-US" w:eastAsia="pt-BR"/>
        </w:rPr>
      </w:pPr>
    </w:p>
    <w:p w:rsidR="00F616F3" w:rsidRPr="002555F5" w:rsidRDefault="00F616F3" w:rsidP="00F616F3">
      <w:pPr>
        <w:autoSpaceDE w:val="0"/>
        <w:autoSpaceDN w:val="0"/>
        <w:adjustRightInd w:val="0"/>
        <w:spacing w:before="120" w:after="120" w:line="240" w:lineRule="auto"/>
        <w:ind w:right="-1"/>
        <w:jc w:val="both"/>
        <w:rPr>
          <w:rFonts w:ascii="Arial" w:eastAsia="Times New Roman" w:hAnsi="Arial" w:cs="Arial"/>
          <w:szCs w:val="24"/>
          <w:lang w:val="en-US" w:eastAsia="pt-BR"/>
        </w:rPr>
      </w:pPr>
      <w:r w:rsidRPr="002555F5">
        <w:rPr>
          <w:rFonts w:ascii="Arial" w:eastAsia="Times New Roman" w:hAnsi="Arial" w:cs="Arial"/>
          <w:szCs w:val="24"/>
          <w:lang w:val="en-US" w:eastAsia="pt-BR"/>
        </w:rPr>
        <w:t xml:space="preserve">ROGERS, D. S.; TIBBEN-LEMBKE, R. S. </w:t>
      </w:r>
      <w:r w:rsidRPr="002555F5">
        <w:rPr>
          <w:rFonts w:ascii="Arial" w:eastAsia="Times New Roman" w:hAnsi="Arial" w:cs="Arial"/>
          <w:b/>
          <w:szCs w:val="24"/>
          <w:lang w:val="en-US" w:eastAsia="pt-BR"/>
        </w:rPr>
        <w:t xml:space="preserve">Going Backwards: </w:t>
      </w:r>
      <w:r w:rsidRPr="002555F5">
        <w:rPr>
          <w:rFonts w:ascii="Arial" w:eastAsia="Times New Roman" w:hAnsi="Arial" w:cs="Arial"/>
          <w:szCs w:val="24"/>
          <w:lang w:val="en-US" w:eastAsia="pt-BR"/>
        </w:rPr>
        <w:t xml:space="preserve">reverse logistics trends and practices. Reno: University of Nevada, 1999. </w:t>
      </w:r>
    </w:p>
    <w:p w:rsidR="002555F5" w:rsidRDefault="002555F5" w:rsidP="00F70429">
      <w:pPr>
        <w:autoSpaceDE w:val="0"/>
        <w:autoSpaceDN w:val="0"/>
        <w:adjustRightInd w:val="0"/>
        <w:spacing w:after="0" w:line="240" w:lineRule="auto"/>
        <w:jc w:val="both"/>
        <w:rPr>
          <w:rFonts w:ascii="Arial" w:hAnsi="Arial" w:cs="Arial"/>
          <w:szCs w:val="24"/>
        </w:rPr>
      </w:pPr>
    </w:p>
    <w:p w:rsidR="002555F5" w:rsidRDefault="002555F5" w:rsidP="00F70429">
      <w:pPr>
        <w:autoSpaceDE w:val="0"/>
        <w:autoSpaceDN w:val="0"/>
        <w:adjustRightInd w:val="0"/>
        <w:spacing w:after="0" w:line="240" w:lineRule="auto"/>
        <w:jc w:val="both"/>
        <w:rPr>
          <w:rFonts w:ascii="Arial" w:hAnsi="Arial" w:cs="Arial"/>
          <w:szCs w:val="24"/>
        </w:rPr>
      </w:pPr>
    </w:p>
    <w:p w:rsidR="00CF3CB3" w:rsidRPr="002555F5" w:rsidRDefault="00B007B7" w:rsidP="00F70429">
      <w:pPr>
        <w:autoSpaceDE w:val="0"/>
        <w:autoSpaceDN w:val="0"/>
        <w:adjustRightInd w:val="0"/>
        <w:spacing w:after="0" w:line="240" w:lineRule="auto"/>
        <w:jc w:val="both"/>
        <w:rPr>
          <w:rFonts w:ascii="Arial" w:hAnsi="Arial" w:cs="Arial"/>
          <w:szCs w:val="24"/>
        </w:rPr>
      </w:pPr>
      <w:proofErr w:type="gramStart"/>
      <w:r w:rsidRPr="002555F5">
        <w:rPr>
          <w:rFonts w:ascii="Arial" w:hAnsi="Arial" w:cs="Arial"/>
          <w:szCs w:val="24"/>
        </w:rPr>
        <w:t>VERGARA,</w:t>
      </w:r>
      <w:proofErr w:type="gramEnd"/>
      <w:r w:rsidRPr="002555F5">
        <w:rPr>
          <w:rFonts w:ascii="Arial" w:hAnsi="Arial" w:cs="Arial"/>
          <w:szCs w:val="24"/>
        </w:rPr>
        <w:t xml:space="preserve"> S. C. </w:t>
      </w:r>
      <w:r w:rsidRPr="002555F5">
        <w:rPr>
          <w:rFonts w:ascii="Arial" w:hAnsi="Arial" w:cs="Arial"/>
          <w:b/>
          <w:iCs/>
          <w:szCs w:val="24"/>
        </w:rPr>
        <w:t>Projetos e relatórios de pesquisa em administração.</w:t>
      </w:r>
      <w:r w:rsidRPr="002555F5">
        <w:rPr>
          <w:rFonts w:ascii="Arial" w:hAnsi="Arial" w:cs="Arial"/>
          <w:i/>
          <w:iCs/>
          <w:szCs w:val="24"/>
        </w:rPr>
        <w:t xml:space="preserve"> </w:t>
      </w:r>
      <w:r w:rsidRPr="002555F5">
        <w:rPr>
          <w:rFonts w:ascii="Arial" w:hAnsi="Arial" w:cs="Arial"/>
          <w:szCs w:val="24"/>
        </w:rPr>
        <w:t xml:space="preserve">São </w:t>
      </w:r>
      <w:bookmarkStart w:id="0" w:name="_GoBack"/>
      <w:bookmarkEnd w:id="0"/>
      <w:r w:rsidRPr="002555F5">
        <w:rPr>
          <w:rFonts w:ascii="Arial" w:hAnsi="Arial" w:cs="Arial"/>
          <w:szCs w:val="24"/>
        </w:rPr>
        <w:t xml:space="preserve">Paulo: </w:t>
      </w:r>
      <w:proofErr w:type="gramStart"/>
      <w:r w:rsidRPr="002555F5">
        <w:rPr>
          <w:rFonts w:ascii="Arial" w:hAnsi="Arial" w:cs="Arial"/>
          <w:szCs w:val="24"/>
        </w:rPr>
        <w:t>Atlas,</w:t>
      </w:r>
      <w:proofErr w:type="gramEnd"/>
      <w:r w:rsidRPr="002555F5">
        <w:rPr>
          <w:rFonts w:ascii="Arial" w:hAnsi="Arial" w:cs="Arial"/>
          <w:szCs w:val="24"/>
        </w:rPr>
        <w:t>1997.</w:t>
      </w:r>
    </w:p>
    <w:sectPr w:rsidR="00CF3CB3" w:rsidRPr="002555F5" w:rsidSect="008A58A7">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907" w:rsidRDefault="008F5907" w:rsidP="009F33B0">
      <w:pPr>
        <w:spacing w:after="0" w:line="240" w:lineRule="auto"/>
      </w:pPr>
      <w:r>
        <w:separator/>
      </w:r>
    </w:p>
  </w:endnote>
  <w:endnote w:type="continuationSeparator" w:id="0">
    <w:p w:rsidR="008F5907" w:rsidRDefault="008F5907" w:rsidP="009F3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907" w:rsidRDefault="008F5907" w:rsidP="009F33B0">
      <w:pPr>
        <w:spacing w:after="0" w:line="240" w:lineRule="auto"/>
      </w:pPr>
      <w:r>
        <w:separator/>
      </w:r>
    </w:p>
  </w:footnote>
  <w:footnote w:type="continuationSeparator" w:id="0">
    <w:p w:rsidR="008F5907" w:rsidRDefault="008F5907" w:rsidP="009F33B0">
      <w:pPr>
        <w:spacing w:after="0" w:line="240" w:lineRule="auto"/>
      </w:pPr>
      <w:r>
        <w:continuationSeparator/>
      </w:r>
    </w:p>
  </w:footnote>
  <w:footnote w:id="1">
    <w:p w:rsidR="00A450F9" w:rsidRDefault="00CC6892" w:rsidP="00846D40">
      <w:pPr>
        <w:pStyle w:val="Textodenotaderodap"/>
        <w:jc w:val="both"/>
      </w:pPr>
      <w:r>
        <w:t>*</w:t>
      </w:r>
      <w:r w:rsidR="00A450F9">
        <w:rPr>
          <w:rStyle w:val="Refdenotaderodap"/>
        </w:rPr>
        <w:footnoteRef/>
      </w:r>
      <w:r w:rsidR="00A450F9">
        <w:t xml:space="preserve"> </w:t>
      </w:r>
      <w:r w:rsidR="00A450F9">
        <w:rPr>
          <w:rFonts w:ascii="Calibri" w:hAnsi="Calibri" w:cs="Calibri"/>
          <w:color w:val="000000"/>
        </w:rPr>
        <w:t>Professora Mestra do Departamento de Administração e Economia (DAEC) da Universidade Estadual da Paraíba (UEPB). Doutoranda do Programa de Pós-Graduação em Recursos Naturais da Universidade Federal de Campina Grande (UFCG). E-mail: rogevivi@yahoo.com.br</w:t>
      </w:r>
    </w:p>
  </w:footnote>
  <w:footnote w:id="2">
    <w:p w:rsidR="00A450F9" w:rsidRDefault="00CC6892" w:rsidP="00846D40">
      <w:pPr>
        <w:pStyle w:val="Textodenotaderodap"/>
        <w:jc w:val="both"/>
      </w:pPr>
      <w:r>
        <w:t>*</w:t>
      </w:r>
      <w:r w:rsidR="00A450F9">
        <w:rPr>
          <w:rStyle w:val="Refdenotaderodap"/>
        </w:rPr>
        <w:footnoteRef/>
      </w:r>
      <w:r w:rsidR="00A450F9">
        <w:t xml:space="preserve"> Professor Doutor do Departamento de Ciências Atmosféricas (DCA) e Professor Orientador do Programa de Pós-Graduação em Recursos Naturais da Universidade Federal de Campina Grande (UFCG). E-mail: </w:t>
      </w:r>
      <w:r w:rsidR="00846D40">
        <w:t>@</w:t>
      </w:r>
      <w:proofErr w:type="spellStart"/>
      <w:proofErr w:type="gramStart"/>
      <w:r w:rsidR="00846D40">
        <w:t>dca</w:t>
      </w:r>
      <w:proofErr w:type="spellEnd"/>
      <w:r w:rsidR="00D95F72">
        <w:t>.</w:t>
      </w:r>
      <w:proofErr w:type="gramEnd"/>
      <w:r w:rsidR="00D95F72">
        <w:t>ufcg.edu.</w:t>
      </w:r>
      <w:proofErr w:type="spellStart"/>
      <w:r w:rsidR="00D95F72">
        <w:t>br</w:t>
      </w:r>
      <w:proofErr w:type="spellEnd"/>
      <w:r w:rsidR="00A450F9">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523"/>
    <w:multiLevelType w:val="hybridMultilevel"/>
    <w:tmpl w:val="06F8D9A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143C783A"/>
    <w:multiLevelType w:val="hybridMultilevel"/>
    <w:tmpl w:val="98E034A8"/>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3CA84955"/>
    <w:multiLevelType w:val="hybridMultilevel"/>
    <w:tmpl w:val="F692D1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4E001020"/>
    <w:multiLevelType w:val="hybridMultilevel"/>
    <w:tmpl w:val="27B4A564"/>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33B0"/>
    <w:rsid w:val="00022C8C"/>
    <w:rsid w:val="00047D35"/>
    <w:rsid w:val="000C3B68"/>
    <w:rsid w:val="00102355"/>
    <w:rsid w:val="00113E07"/>
    <w:rsid w:val="00117345"/>
    <w:rsid w:val="001246EB"/>
    <w:rsid w:val="001273E9"/>
    <w:rsid w:val="001443DE"/>
    <w:rsid w:val="00184AC6"/>
    <w:rsid w:val="0019035C"/>
    <w:rsid w:val="001B78D8"/>
    <w:rsid w:val="001C2A69"/>
    <w:rsid w:val="001D508D"/>
    <w:rsid w:val="0025359A"/>
    <w:rsid w:val="002555F5"/>
    <w:rsid w:val="002708CC"/>
    <w:rsid w:val="002B5718"/>
    <w:rsid w:val="003053F4"/>
    <w:rsid w:val="00336D49"/>
    <w:rsid w:val="003446BD"/>
    <w:rsid w:val="003D2075"/>
    <w:rsid w:val="003E2ADB"/>
    <w:rsid w:val="004017CB"/>
    <w:rsid w:val="00445F8B"/>
    <w:rsid w:val="004D5B5A"/>
    <w:rsid w:val="005D522F"/>
    <w:rsid w:val="005D6CC9"/>
    <w:rsid w:val="005F545E"/>
    <w:rsid w:val="00605739"/>
    <w:rsid w:val="006718ED"/>
    <w:rsid w:val="006B2157"/>
    <w:rsid w:val="007067A9"/>
    <w:rsid w:val="007A41A1"/>
    <w:rsid w:val="007B4CB0"/>
    <w:rsid w:val="008344B0"/>
    <w:rsid w:val="00843501"/>
    <w:rsid w:val="00846D40"/>
    <w:rsid w:val="008A58A7"/>
    <w:rsid w:val="008F5907"/>
    <w:rsid w:val="009D1CEC"/>
    <w:rsid w:val="009F14CF"/>
    <w:rsid w:val="009F33B0"/>
    <w:rsid w:val="009F79E3"/>
    <w:rsid w:val="00A17D34"/>
    <w:rsid w:val="00A450F9"/>
    <w:rsid w:val="00B007B7"/>
    <w:rsid w:val="00B76F72"/>
    <w:rsid w:val="00BA4CEB"/>
    <w:rsid w:val="00C71ADE"/>
    <w:rsid w:val="00CC6892"/>
    <w:rsid w:val="00CC788D"/>
    <w:rsid w:val="00CD1D62"/>
    <w:rsid w:val="00CF3CB3"/>
    <w:rsid w:val="00D95F72"/>
    <w:rsid w:val="00DD23CA"/>
    <w:rsid w:val="00E352BA"/>
    <w:rsid w:val="00E96AD9"/>
    <w:rsid w:val="00F616F3"/>
    <w:rsid w:val="00F70429"/>
    <w:rsid w:val="00F86E9E"/>
    <w:rsid w:val="00F97907"/>
    <w:rsid w:val="00FB45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B0"/>
    <w:rPr>
      <w:sz w:val="24"/>
      <w:szCs w:val="18"/>
    </w:rPr>
  </w:style>
  <w:style w:type="paragraph" w:styleId="Ttulo1">
    <w:name w:val="heading 1"/>
    <w:basedOn w:val="Normal"/>
    <w:link w:val="Ttulo1Char"/>
    <w:uiPriority w:val="99"/>
    <w:qFormat/>
    <w:rsid w:val="009F33B0"/>
    <w:pPr>
      <w:spacing w:after="0" w:line="360" w:lineRule="auto"/>
      <w:outlineLvl w:val="0"/>
    </w:pPr>
    <w:rPr>
      <w:rFonts w:ascii="Times New Roman" w:eastAsia="Times New Roman" w:hAnsi="Times New Roman" w:cs="Times New Roman"/>
      <w:b/>
      <w:bCs/>
      <w:kern w:val="36"/>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F33B0"/>
    <w:rPr>
      <w:rFonts w:ascii="Times New Roman" w:eastAsia="Times New Roman" w:hAnsi="Times New Roman" w:cs="Times New Roman"/>
      <w:b/>
      <w:bCs/>
      <w:kern w:val="36"/>
      <w:sz w:val="24"/>
      <w:szCs w:val="48"/>
      <w:lang w:eastAsia="pt-BR"/>
    </w:rPr>
  </w:style>
  <w:style w:type="paragraph" w:styleId="NormalWeb">
    <w:name w:val="Normal (Web)"/>
    <w:basedOn w:val="Normal"/>
    <w:unhideWhenUsed/>
    <w:rsid w:val="009F33B0"/>
    <w:pPr>
      <w:spacing w:before="100" w:beforeAutospacing="1" w:after="100" w:afterAutospacing="1" w:line="240" w:lineRule="auto"/>
    </w:pPr>
    <w:rPr>
      <w:rFonts w:ascii="Times New Roman" w:eastAsia="Times New Roman" w:hAnsi="Times New Roman" w:cs="Times New Roman"/>
      <w:color w:val="000000"/>
      <w:szCs w:val="24"/>
      <w:lang w:eastAsia="pt-BR"/>
    </w:rPr>
  </w:style>
  <w:style w:type="paragraph" w:styleId="Textodenotaderodap">
    <w:name w:val="footnote text"/>
    <w:basedOn w:val="Normal"/>
    <w:link w:val="TextodenotaderodapChar"/>
    <w:uiPriority w:val="99"/>
    <w:semiHidden/>
    <w:unhideWhenUsed/>
    <w:rsid w:val="009F33B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33B0"/>
    <w:rPr>
      <w:sz w:val="20"/>
      <w:szCs w:val="20"/>
    </w:rPr>
  </w:style>
  <w:style w:type="paragraph" w:styleId="PargrafodaLista">
    <w:name w:val="List Paragraph"/>
    <w:basedOn w:val="Normal"/>
    <w:uiPriority w:val="34"/>
    <w:qFormat/>
    <w:rsid w:val="009F33B0"/>
    <w:pPr>
      <w:ind w:left="720"/>
      <w:contextualSpacing/>
    </w:pPr>
  </w:style>
  <w:style w:type="character" w:styleId="Refdenotaderodap">
    <w:name w:val="footnote reference"/>
    <w:basedOn w:val="Fontepargpadro"/>
    <w:uiPriority w:val="99"/>
    <w:semiHidden/>
    <w:unhideWhenUsed/>
    <w:rsid w:val="009F33B0"/>
    <w:rPr>
      <w:vertAlign w:val="superscript"/>
    </w:rPr>
  </w:style>
  <w:style w:type="table" w:styleId="Tabelacomgrade">
    <w:name w:val="Table Grid"/>
    <w:basedOn w:val="Tabelanormal"/>
    <w:uiPriority w:val="59"/>
    <w:rsid w:val="009F3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708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08CC"/>
    <w:rPr>
      <w:rFonts w:ascii="Tahoma" w:hAnsi="Tahoma" w:cs="Tahoma"/>
      <w:sz w:val="16"/>
      <w:szCs w:val="16"/>
    </w:rPr>
  </w:style>
  <w:style w:type="paragraph" w:styleId="Cabealho">
    <w:name w:val="header"/>
    <w:basedOn w:val="Normal"/>
    <w:link w:val="CabealhoChar"/>
    <w:uiPriority w:val="99"/>
    <w:unhideWhenUsed/>
    <w:rsid w:val="00CC68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892"/>
    <w:rPr>
      <w:sz w:val="24"/>
      <w:szCs w:val="18"/>
    </w:rPr>
  </w:style>
  <w:style w:type="paragraph" w:styleId="Rodap">
    <w:name w:val="footer"/>
    <w:basedOn w:val="Normal"/>
    <w:link w:val="RodapChar"/>
    <w:uiPriority w:val="99"/>
    <w:unhideWhenUsed/>
    <w:rsid w:val="00CC6892"/>
    <w:pPr>
      <w:tabs>
        <w:tab w:val="center" w:pos="4252"/>
        <w:tab w:val="right" w:pos="8504"/>
      </w:tabs>
      <w:spacing w:after="0" w:line="240" w:lineRule="auto"/>
    </w:pPr>
  </w:style>
  <w:style w:type="character" w:customStyle="1" w:styleId="RodapChar">
    <w:name w:val="Rodapé Char"/>
    <w:basedOn w:val="Fontepargpadro"/>
    <w:link w:val="Rodap"/>
    <w:uiPriority w:val="99"/>
    <w:rsid w:val="00CC6892"/>
    <w:rPr>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B0"/>
    <w:rPr>
      <w:sz w:val="24"/>
      <w:szCs w:val="18"/>
    </w:rPr>
  </w:style>
  <w:style w:type="paragraph" w:styleId="Ttulo1">
    <w:name w:val="heading 1"/>
    <w:basedOn w:val="Normal"/>
    <w:link w:val="Ttulo1Char"/>
    <w:uiPriority w:val="99"/>
    <w:qFormat/>
    <w:rsid w:val="009F33B0"/>
    <w:pPr>
      <w:spacing w:after="0" w:line="360" w:lineRule="auto"/>
      <w:outlineLvl w:val="0"/>
    </w:pPr>
    <w:rPr>
      <w:rFonts w:ascii="Times New Roman" w:eastAsia="Times New Roman" w:hAnsi="Times New Roman" w:cs="Times New Roman"/>
      <w:b/>
      <w:bCs/>
      <w:kern w:val="36"/>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F33B0"/>
    <w:rPr>
      <w:rFonts w:ascii="Times New Roman" w:eastAsia="Times New Roman" w:hAnsi="Times New Roman" w:cs="Times New Roman"/>
      <w:b/>
      <w:bCs/>
      <w:kern w:val="36"/>
      <w:sz w:val="24"/>
      <w:szCs w:val="48"/>
      <w:lang w:eastAsia="pt-BR"/>
    </w:rPr>
  </w:style>
  <w:style w:type="paragraph" w:styleId="NormalWeb">
    <w:name w:val="Normal (Web)"/>
    <w:basedOn w:val="Normal"/>
    <w:unhideWhenUsed/>
    <w:rsid w:val="009F33B0"/>
    <w:pPr>
      <w:spacing w:before="100" w:beforeAutospacing="1" w:after="100" w:afterAutospacing="1" w:line="240" w:lineRule="auto"/>
    </w:pPr>
    <w:rPr>
      <w:rFonts w:ascii="Times New Roman" w:eastAsia="Times New Roman" w:hAnsi="Times New Roman" w:cs="Times New Roman"/>
      <w:color w:val="000000"/>
      <w:szCs w:val="24"/>
      <w:lang w:eastAsia="pt-BR"/>
    </w:rPr>
  </w:style>
  <w:style w:type="paragraph" w:styleId="Textodenotaderodap">
    <w:name w:val="footnote text"/>
    <w:basedOn w:val="Normal"/>
    <w:link w:val="TextodenotaderodapChar"/>
    <w:uiPriority w:val="99"/>
    <w:semiHidden/>
    <w:unhideWhenUsed/>
    <w:rsid w:val="009F33B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33B0"/>
    <w:rPr>
      <w:sz w:val="20"/>
      <w:szCs w:val="20"/>
    </w:rPr>
  </w:style>
  <w:style w:type="paragraph" w:styleId="PargrafodaLista">
    <w:name w:val="List Paragraph"/>
    <w:basedOn w:val="Normal"/>
    <w:uiPriority w:val="34"/>
    <w:qFormat/>
    <w:rsid w:val="009F33B0"/>
    <w:pPr>
      <w:ind w:left="720"/>
      <w:contextualSpacing/>
    </w:pPr>
  </w:style>
  <w:style w:type="character" w:styleId="Refdenotaderodap">
    <w:name w:val="footnote reference"/>
    <w:basedOn w:val="Fontepargpadro"/>
    <w:uiPriority w:val="99"/>
    <w:semiHidden/>
    <w:unhideWhenUsed/>
    <w:rsid w:val="009F33B0"/>
    <w:rPr>
      <w:vertAlign w:val="superscript"/>
    </w:rPr>
  </w:style>
  <w:style w:type="table" w:styleId="Tabelacomgrade">
    <w:name w:val="Table Grid"/>
    <w:basedOn w:val="Tabelanormal"/>
    <w:uiPriority w:val="59"/>
    <w:rsid w:val="009F3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708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08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pev.org.br/institucional/inpev/inpev.as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F463-7052-422A-85BB-61B18EFC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5090</Words>
  <Characters>27488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dc:creator>
  <cp:keywords/>
  <dc:description/>
  <cp:lastModifiedBy>Valued Acer Customer</cp:lastModifiedBy>
  <cp:revision>16</cp:revision>
  <dcterms:created xsi:type="dcterms:W3CDTF">2013-01-17T00:06:00Z</dcterms:created>
  <dcterms:modified xsi:type="dcterms:W3CDTF">2013-02-15T14:18:00Z</dcterms:modified>
</cp:coreProperties>
</file>