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680E8" w14:textId="77777777" w:rsidR="00C93E09" w:rsidRPr="00907988" w:rsidRDefault="00C93E09" w:rsidP="00A51C4B">
      <w:pPr>
        <w:pStyle w:val="Padro"/>
        <w:spacing w:after="0" w:line="360" w:lineRule="auto"/>
        <w:ind w:right="-568"/>
        <w:rPr>
          <w:rFonts w:ascii="Arial" w:hAnsi="Arial" w:cs="Arial"/>
          <w:b/>
          <w:sz w:val="24"/>
          <w:szCs w:val="24"/>
        </w:rPr>
      </w:pPr>
      <w:bookmarkStart w:id="0" w:name="_Hlk41599125"/>
      <w:bookmarkEnd w:id="0"/>
      <w:r w:rsidRPr="00907988">
        <w:rPr>
          <w:rFonts w:ascii="Arial" w:hAnsi="Arial" w:cs="Arial"/>
          <w:b/>
          <w:sz w:val="24"/>
          <w:szCs w:val="24"/>
        </w:rPr>
        <w:t xml:space="preserve">UNIFACISA – CENTRO UNIVERSITÁRIO </w:t>
      </w:r>
    </w:p>
    <w:p w14:paraId="6BFC30DA" w14:textId="77777777" w:rsidR="00E54149" w:rsidRPr="00907988" w:rsidRDefault="00E54149" w:rsidP="00A51C4B">
      <w:pPr>
        <w:pStyle w:val="Padro"/>
        <w:spacing w:after="0" w:line="360" w:lineRule="auto"/>
        <w:ind w:right="-568"/>
        <w:rPr>
          <w:rFonts w:ascii="Arial" w:hAnsi="Arial" w:cs="Arial"/>
          <w:b/>
          <w:sz w:val="24"/>
          <w:szCs w:val="24"/>
        </w:rPr>
      </w:pPr>
      <w:r w:rsidRPr="00907988">
        <w:rPr>
          <w:rFonts w:ascii="Arial" w:hAnsi="Arial" w:cs="Arial"/>
          <w:b/>
          <w:sz w:val="24"/>
          <w:szCs w:val="24"/>
        </w:rPr>
        <w:t xml:space="preserve">CESED - CENTRO DE ENSINO SUPERIOR E DESENVOLVIMENTO </w:t>
      </w:r>
    </w:p>
    <w:p w14:paraId="44EAFC9A" w14:textId="77777777" w:rsidR="00C338F5" w:rsidRPr="00907988" w:rsidRDefault="000F3521" w:rsidP="00A51C4B">
      <w:pPr>
        <w:pStyle w:val="Padro"/>
        <w:spacing w:after="0" w:line="360" w:lineRule="auto"/>
        <w:rPr>
          <w:rFonts w:ascii="Arial" w:hAnsi="Arial" w:cs="Arial"/>
          <w:b/>
          <w:sz w:val="24"/>
          <w:szCs w:val="24"/>
        </w:rPr>
      </w:pPr>
      <w:r w:rsidRPr="00907988">
        <w:rPr>
          <w:rFonts w:ascii="Arial" w:hAnsi="Arial" w:cs="Arial"/>
          <w:b/>
          <w:sz w:val="24"/>
          <w:szCs w:val="24"/>
        </w:rPr>
        <w:t xml:space="preserve">CURSO DE DIREITO </w:t>
      </w:r>
    </w:p>
    <w:p w14:paraId="4E52D5E8" w14:textId="77777777" w:rsidR="00732DEF" w:rsidRPr="00907988" w:rsidRDefault="00732DEF" w:rsidP="00A51C4B">
      <w:pPr>
        <w:pStyle w:val="Padro"/>
        <w:spacing w:after="0" w:line="360" w:lineRule="auto"/>
        <w:rPr>
          <w:rFonts w:ascii="Arial" w:hAnsi="Arial" w:cs="Arial"/>
          <w:b/>
          <w:sz w:val="24"/>
          <w:szCs w:val="24"/>
        </w:rPr>
      </w:pPr>
    </w:p>
    <w:p w14:paraId="6DB9B141" w14:textId="77777777" w:rsidR="00C338F5" w:rsidRPr="00907988" w:rsidRDefault="00C338F5" w:rsidP="00A51C4B">
      <w:pPr>
        <w:pStyle w:val="Padro"/>
        <w:spacing w:after="0" w:line="360" w:lineRule="auto"/>
        <w:rPr>
          <w:rFonts w:ascii="Arial" w:hAnsi="Arial" w:cs="Arial"/>
          <w:b/>
          <w:sz w:val="24"/>
          <w:szCs w:val="24"/>
        </w:rPr>
      </w:pPr>
    </w:p>
    <w:p w14:paraId="07D1F251" w14:textId="77777777" w:rsidR="00C338F5" w:rsidRPr="00907988" w:rsidRDefault="00812DC7" w:rsidP="00A51C4B">
      <w:pPr>
        <w:pStyle w:val="Padro"/>
        <w:spacing w:after="0" w:line="360" w:lineRule="auto"/>
        <w:rPr>
          <w:rFonts w:ascii="Arial" w:hAnsi="Arial" w:cs="Arial"/>
          <w:b/>
          <w:sz w:val="24"/>
          <w:szCs w:val="24"/>
        </w:rPr>
      </w:pPr>
      <w:r w:rsidRPr="00907988">
        <w:rPr>
          <w:rFonts w:ascii="Arial" w:hAnsi="Arial" w:cs="Arial"/>
          <w:b/>
          <w:sz w:val="24"/>
          <w:szCs w:val="24"/>
        </w:rPr>
        <w:t>WELBER ANTONIO NOGUEIRA DA SILVA</w:t>
      </w:r>
    </w:p>
    <w:p w14:paraId="1C49CFE4" w14:textId="77777777" w:rsidR="00C338F5" w:rsidRPr="00907988" w:rsidRDefault="00C338F5" w:rsidP="00A51C4B">
      <w:pPr>
        <w:pStyle w:val="Padro"/>
        <w:spacing w:after="0" w:line="360" w:lineRule="auto"/>
        <w:rPr>
          <w:rFonts w:ascii="Arial" w:hAnsi="Arial" w:cs="Arial"/>
          <w:b/>
          <w:sz w:val="24"/>
          <w:szCs w:val="24"/>
        </w:rPr>
      </w:pPr>
    </w:p>
    <w:p w14:paraId="56B915B9" w14:textId="77777777" w:rsidR="00C338F5" w:rsidRPr="00907988" w:rsidRDefault="00C338F5" w:rsidP="00A51C4B">
      <w:pPr>
        <w:pStyle w:val="Padro"/>
        <w:spacing w:after="0" w:line="360" w:lineRule="auto"/>
        <w:rPr>
          <w:rFonts w:ascii="Arial" w:hAnsi="Arial" w:cs="Arial"/>
          <w:b/>
          <w:sz w:val="24"/>
          <w:szCs w:val="24"/>
        </w:rPr>
      </w:pPr>
    </w:p>
    <w:p w14:paraId="15834761" w14:textId="77777777" w:rsidR="00C338F5" w:rsidRPr="00907988" w:rsidRDefault="00C338F5" w:rsidP="00A51C4B">
      <w:pPr>
        <w:pStyle w:val="Padro"/>
        <w:spacing w:after="0" w:line="360" w:lineRule="auto"/>
        <w:rPr>
          <w:rFonts w:ascii="Arial" w:hAnsi="Arial" w:cs="Arial"/>
          <w:b/>
          <w:sz w:val="24"/>
          <w:szCs w:val="24"/>
        </w:rPr>
      </w:pPr>
    </w:p>
    <w:p w14:paraId="64FDCCCA" w14:textId="77777777" w:rsidR="00A51C4B" w:rsidRPr="00907988" w:rsidRDefault="00A51C4B" w:rsidP="00A51C4B">
      <w:pPr>
        <w:pStyle w:val="Padro"/>
        <w:spacing w:after="0" w:line="360" w:lineRule="auto"/>
        <w:rPr>
          <w:rFonts w:ascii="Arial" w:hAnsi="Arial" w:cs="Arial"/>
          <w:b/>
          <w:sz w:val="24"/>
          <w:szCs w:val="24"/>
        </w:rPr>
      </w:pPr>
    </w:p>
    <w:p w14:paraId="77A64EDA" w14:textId="77777777" w:rsidR="00A51C4B" w:rsidRPr="00907988" w:rsidRDefault="00A51C4B" w:rsidP="00A51C4B">
      <w:pPr>
        <w:pStyle w:val="Padro"/>
        <w:spacing w:after="0" w:line="360" w:lineRule="auto"/>
        <w:rPr>
          <w:rFonts w:ascii="Arial" w:hAnsi="Arial" w:cs="Arial"/>
          <w:b/>
          <w:sz w:val="24"/>
          <w:szCs w:val="24"/>
        </w:rPr>
      </w:pPr>
    </w:p>
    <w:p w14:paraId="422BE97F" w14:textId="77777777" w:rsidR="00A51C4B" w:rsidRPr="00907988" w:rsidRDefault="00A51C4B" w:rsidP="00A51C4B">
      <w:pPr>
        <w:pStyle w:val="Padro"/>
        <w:spacing w:after="0" w:line="360" w:lineRule="auto"/>
        <w:rPr>
          <w:rFonts w:ascii="Arial" w:hAnsi="Arial" w:cs="Arial"/>
          <w:b/>
          <w:sz w:val="24"/>
          <w:szCs w:val="24"/>
        </w:rPr>
      </w:pPr>
    </w:p>
    <w:p w14:paraId="685620AA" w14:textId="77777777" w:rsidR="00C338F5" w:rsidRPr="00907988" w:rsidRDefault="00C338F5" w:rsidP="00A51C4B">
      <w:pPr>
        <w:pStyle w:val="Padro"/>
        <w:spacing w:after="0" w:line="360" w:lineRule="auto"/>
        <w:rPr>
          <w:rFonts w:ascii="Arial" w:hAnsi="Arial" w:cs="Arial"/>
          <w:b/>
          <w:sz w:val="24"/>
          <w:szCs w:val="24"/>
        </w:rPr>
      </w:pPr>
    </w:p>
    <w:p w14:paraId="4B2FFE16" w14:textId="68458B31" w:rsidR="00C338F5" w:rsidRPr="00907988" w:rsidRDefault="001925DD" w:rsidP="00A51C4B">
      <w:pPr>
        <w:pStyle w:val="Ttulo1"/>
        <w:jc w:val="center"/>
        <w:rPr>
          <w:rFonts w:ascii="Arial" w:hAnsi="Arial" w:cs="Arial"/>
          <w:szCs w:val="24"/>
        </w:rPr>
      </w:pPr>
      <w:r w:rsidRPr="00907988">
        <w:rPr>
          <w:rFonts w:ascii="Arial" w:hAnsi="Arial" w:cs="Arial"/>
          <w:szCs w:val="24"/>
        </w:rPr>
        <w:t>PARCELAMENTO TRIBUTÁRIO:</w:t>
      </w:r>
      <w:r w:rsidR="00CC720F" w:rsidRPr="00907988">
        <w:rPr>
          <w:rFonts w:ascii="Arial" w:hAnsi="Arial" w:cs="Arial"/>
          <w:szCs w:val="24"/>
        </w:rPr>
        <w:t xml:space="preserve"> </w:t>
      </w:r>
      <w:r w:rsidR="002C1B2C" w:rsidRPr="00907988">
        <w:rPr>
          <w:rFonts w:ascii="Arial" w:hAnsi="Arial" w:cs="Arial"/>
          <w:szCs w:val="24"/>
        </w:rPr>
        <w:t>TEORIA DOS JOGOS</w:t>
      </w:r>
      <w:r w:rsidR="003A1147" w:rsidRPr="00907988">
        <w:rPr>
          <w:rFonts w:ascii="Arial" w:hAnsi="Arial" w:cs="Arial"/>
          <w:szCs w:val="24"/>
        </w:rPr>
        <w:t xml:space="preserve"> APLICADA AO COMPORTAMENTO DE</w:t>
      </w:r>
      <w:r w:rsidR="002C1B2C" w:rsidRPr="00907988">
        <w:rPr>
          <w:rFonts w:ascii="Arial" w:hAnsi="Arial" w:cs="Arial"/>
          <w:szCs w:val="24"/>
        </w:rPr>
        <w:t xml:space="preserve"> </w:t>
      </w:r>
      <w:r w:rsidR="00CC720F" w:rsidRPr="00907988">
        <w:rPr>
          <w:rFonts w:ascii="Arial" w:hAnsi="Arial" w:cs="Arial"/>
          <w:szCs w:val="24"/>
        </w:rPr>
        <w:t xml:space="preserve">GRANDES </w:t>
      </w:r>
      <w:r w:rsidR="003A1147" w:rsidRPr="00907988">
        <w:rPr>
          <w:rFonts w:ascii="Arial" w:hAnsi="Arial" w:cs="Arial"/>
          <w:szCs w:val="24"/>
        </w:rPr>
        <w:t>DEVEDORES COM CAPACIDADE DE PAGAMENTO</w:t>
      </w:r>
    </w:p>
    <w:p w14:paraId="0B337427" w14:textId="77777777" w:rsidR="00C338F5" w:rsidRPr="00907988" w:rsidRDefault="00C338F5" w:rsidP="00A51C4B">
      <w:pPr>
        <w:pStyle w:val="Padro"/>
        <w:spacing w:after="0" w:line="360" w:lineRule="auto"/>
        <w:rPr>
          <w:rFonts w:ascii="Arial" w:hAnsi="Arial" w:cs="Arial"/>
          <w:b/>
          <w:sz w:val="24"/>
          <w:szCs w:val="24"/>
        </w:rPr>
      </w:pPr>
    </w:p>
    <w:p w14:paraId="4FFBADB2" w14:textId="77777777" w:rsidR="00C338F5" w:rsidRPr="00907988" w:rsidRDefault="00C338F5" w:rsidP="00A51C4B">
      <w:pPr>
        <w:pStyle w:val="Padro"/>
        <w:spacing w:after="0" w:line="360" w:lineRule="auto"/>
        <w:rPr>
          <w:rFonts w:ascii="Arial" w:hAnsi="Arial" w:cs="Arial"/>
          <w:b/>
          <w:sz w:val="24"/>
          <w:szCs w:val="24"/>
        </w:rPr>
      </w:pPr>
    </w:p>
    <w:p w14:paraId="6626B8F5" w14:textId="77777777" w:rsidR="00A51C4B" w:rsidRPr="00907988" w:rsidRDefault="00A51C4B" w:rsidP="00A51C4B">
      <w:pPr>
        <w:pStyle w:val="Padro"/>
        <w:spacing w:after="0" w:line="360" w:lineRule="auto"/>
        <w:rPr>
          <w:rFonts w:ascii="Arial" w:hAnsi="Arial" w:cs="Arial"/>
          <w:b/>
          <w:sz w:val="24"/>
          <w:szCs w:val="24"/>
        </w:rPr>
      </w:pPr>
    </w:p>
    <w:p w14:paraId="76927919" w14:textId="77777777" w:rsidR="00A51C4B" w:rsidRPr="00907988" w:rsidRDefault="00A51C4B" w:rsidP="00A51C4B">
      <w:pPr>
        <w:pStyle w:val="Padro"/>
        <w:spacing w:after="0" w:line="360" w:lineRule="auto"/>
        <w:rPr>
          <w:rFonts w:ascii="Arial" w:hAnsi="Arial" w:cs="Arial"/>
          <w:b/>
          <w:sz w:val="24"/>
          <w:szCs w:val="24"/>
        </w:rPr>
      </w:pPr>
    </w:p>
    <w:p w14:paraId="6C3CBC13" w14:textId="77777777" w:rsidR="00A51C4B" w:rsidRPr="00907988" w:rsidRDefault="00A51C4B" w:rsidP="00A51C4B">
      <w:pPr>
        <w:pStyle w:val="Padro"/>
        <w:spacing w:after="0" w:line="360" w:lineRule="auto"/>
        <w:rPr>
          <w:rFonts w:ascii="Arial" w:hAnsi="Arial" w:cs="Arial"/>
          <w:b/>
          <w:sz w:val="24"/>
          <w:szCs w:val="24"/>
        </w:rPr>
      </w:pPr>
    </w:p>
    <w:p w14:paraId="710818D0" w14:textId="77777777" w:rsidR="00A51C4B" w:rsidRPr="00907988" w:rsidRDefault="00A51C4B" w:rsidP="00A51C4B">
      <w:pPr>
        <w:pStyle w:val="Padro"/>
        <w:spacing w:after="0" w:line="360" w:lineRule="auto"/>
        <w:rPr>
          <w:rFonts w:ascii="Arial" w:hAnsi="Arial" w:cs="Arial"/>
          <w:b/>
          <w:sz w:val="24"/>
          <w:szCs w:val="24"/>
        </w:rPr>
      </w:pPr>
    </w:p>
    <w:p w14:paraId="054361FB" w14:textId="77777777" w:rsidR="00C338F5" w:rsidRPr="00907988" w:rsidRDefault="00C338F5" w:rsidP="00A51C4B">
      <w:pPr>
        <w:pStyle w:val="Padro"/>
        <w:spacing w:after="0" w:line="360" w:lineRule="auto"/>
        <w:rPr>
          <w:rFonts w:ascii="Arial" w:hAnsi="Arial" w:cs="Arial"/>
          <w:b/>
          <w:sz w:val="24"/>
          <w:szCs w:val="24"/>
        </w:rPr>
      </w:pPr>
    </w:p>
    <w:p w14:paraId="3D99CD79" w14:textId="77777777" w:rsidR="000F3521" w:rsidRPr="00907988" w:rsidRDefault="000F3521" w:rsidP="00A51C4B">
      <w:pPr>
        <w:pStyle w:val="Padro"/>
        <w:spacing w:after="0" w:line="360" w:lineRule="auto"/>
        <w:jc w:val="center"/>
        <w:rPr>
          <w:rFonts w:ascii="Arial" w:hAnsi="Arial" w:cs="Arial"/>
          <w:b/>
          <w:sz w:val="24"/>
          <w:szCs w:val="24"/>
        </w:rPr>
      </w:pPr>
    </w:p>
    <w:p w14:paraId="50263E09" w14:textId="77777777" w:rsidR="00A51C4B" w:rsidRPr="00907988" w:rsidRDefault="00A51C4B" w:rsidP="00A51C4B">
      <w:pPr>
        <w:pStyle w:val="Padro"/>
        <w:spacing w:after="0" w:line="360" w:lineRule="auto"/>
        <w:jc w:val="center"/>
        <w:rPr>
          <w:rFonts w:ascii="Arial" w:hAnsi="Arial" w:cs="Arial"/>
          <w:b/>
          <w:sz w:val="24"/>
          <w:szCs w:val="24"/>
        </w:rPr>
      </w:pPr>
    </w:p>
    <w:p w14:paraId="506C5D91" w14:textId="77777777" w:rsidR="000F3521" w:rsidRPr="00907988" w:rsidRDefault="000F3521" w:rsidP="00A51C4B">
      <w:pPr>
        <w:pStyle w:val="Padro"/>
        <w:spacing w:after="0" w:line="360" w:lineRule="auto"/>
        <w:jc w:val="center"/>
        <w:rPr>
          <w:rFonts w:ascii="Arial" w:hAnsi="Arial" w:cs="Arial"/>
          <w:b/>
          <w:sz w:val="24"/>
          <w:szCs w:val="24"/>
        </w:rPr>
      </w:pPr>
    </w:p>
    <w:p w14:paraId="684E6FDF" w14:textId="77777777" w:rsidR="000F3521" w:rsidRPr="00907988" w:rsidRDefault="000F3521" w:rsidP="00A51C4B">
      <w:pPr>
        <w:pStyle w:val="Padro"/>
        <w:spacing w:after="0" w:line="360" w:lineRule="auto"/>
        <w:jc w:val="center"/>
        <w:rPr>
          <w:rFonts w:ascii="Arial" w:hAnsi="Arial" w:cs="Arial"/>
          <w:b/>
          <w:sz w:val="24"/>
          <w:szCs w:val="24"/>
        </w:rPr>
      </w:pPr>
    </w:p>
    <w:p w14:paraId="2426A2F1" w14:textId="77777777" w:rsidR="00C338F5" w:rsidRPr="00907988" w:rsidRDefault="00C338F5" w:rsidP="00A51C4B">
      <w:pPr>
        <w:pStyle w:val="Padro"/>
        <w:spacing w:after="0" w:line="360" w:lineRule="auto"/>
        <w:jc w:val="center"/>
        <w:rPr>
          <w:rFonts w:ascii="Arial" w:hAnsi="Arial" w:cs="Arial"/>
          <w:b/>
          <w:sz w:val="24"/>
          <w:szCs w:val="24"/>
        </w:rPr>
      </w:pPr>
    </w:p>
    <w:p w14:paraId="7945C4B9" w14:textId="522AD6E4" w:rsidR="00C338F5" w:rsidRDefault="00C338F5" w:rsidP="00A51C4B">
      <w:pPr>
        <w:pStyle w:val="Padro"/>
        <w:spacing w:after="0" w:line="360" w:lineRule="auto"/>
        <w:jc w:val="center"/>
        <w:rPr>
          <w:rFonts w:ascii="Arial" w:hAnsi="Arial" w:cs="Arial"/>
          <w:b/>
          <w:sz w:val="24"/>
          <w:szCs w:val="24"/>
        </w:rPr>
      </w:pPr>
    </w:p>
    <w:p w14:paraId="5082C763" w14:textId="442803A5" w:rsidR="00DE62C1" w:rsidRDefault="00DE62C1" w:rsidP="00A51C4B">
      <w:pPr>
        <w:pStyle w:val="Padro"/>
        <w:spacing w:after="0" w:line="360" w:lineRule="auto"/>
        <w:jc w:val="center"/>
        <w:rPr>
          <w:rFonts w:ascii="Arial" w:hAnsi="Arial" w:cs="Arial"/>
          <w:b/>
          <w:sz w:val="24"/>
          <w:szCs w:val="24"/>
        </w:rPr>
      </w:pPr>
    </w:p>
    <w:p w14:paraId="4E20B33F" w14:textId="57895DB7" w:rsidR="00DE62C1" w:rsidRDefault="00DE62C1" w:rsidP="00A51C4B">
      <w:pPr>
        <w:pStyle w:val="Padro"/>
        <w:spacing w:after="0" w:line="360" w:lineRule="auto"/>
        <w:jc w:val="center"/>
        <w:rPr>
          <w:rFonts w:ascii="Arial" w:hAnsi="Arial" w:cs="Arial"/>
          <w:b/>
          <w:sz w:val="24"/>
          <w:szCs w:val="24"/>
        </w:rPr>
      </w:pPr>
    </w:p>
    <w:p w14:paraId="77B544AC" w14:textId="77777777" w:rsidR="00DE62C1" w:rsidRPr="00907988" w:rsidRDefault="00DE62C1" w:rsidP="00A51C4B">
      <w:pPr>
        <w:pStyle w:val="Padro"/>
        <w:spacing w:after="0" w:line="360" w:lineRule="auto"/>
        <w:jc w:val="center"/>
        <w:rPr>
          <w:rFonts w:ascii="Arial" w:hAnsi="Arial" w:cs="Arial"/>
          <w:b/>
          <w:sz w:val="24"/>
          <w:szCs w:val="24"/>
        </w:rPr>
      </w:pPr>
    </w:p>
    <w:p w14:paraId="7A5CE0F0" w14:textId="2822F902" w:rsidR="00C338F5" w:rsidRPr="00907988" w:rsidRDefault="000F3521" w:rsidP="00A51C4B">
      <w:pPr>
        <w:pStyle w:val="Padro"/>
        <w:spacing w:after="0" w:line="360" w:lineRule="auto"/>
        <w:jc w:val="center"/>
        <w:rPr>
          <w:rFonts w:ascii="Arial" w:hAnsi="Arial" w:cs="Arial"/>
          <w:b/>
          <w:sz w:val="24"/>
          <w:szCs w:val="24"/>
        </w:rPr>
      </w:pPr>
      <w:r w:rsidRPr="00907988">
        <w:rPr>
          <w:rFonts w:ascii="Arial" w:hAnsi="Arial" w:cs="Arial"/>
          <w:b/>
          <w:sz w:val="24"/>
          <w:szCs w:val="24"/>
        </w:rPr>
        <w:t>CAMPINA GRANDE-PB</w:t>
      </w:r>
    </w:p>
    <w:p w14:paraId="677ED2E3" w14:textId="77777777" w:rsidR="00DE62C1" w:rsidRDefault="001637A6" w:rsidP="00DE62C1">
      <w:pPr>
        <w:pStyle w:val="Padro"/>
        <w:spacing w:after="0" w:line="360" w:lineRule="auto"/>
        <w:jc w:val="center"/>
        <w:rPr>
          <w:rFonts w:ascii="Arial" w:hAnsi="Arial" w:cs="Arial"/>
          <w:b/>
          <w:sz w:val="24"/>
          <w:szCs w:val="24"/>
        </w:rPr>
      </w:pPr>
      <w:r w:rsidRPr="00907988">
        <w:rPr>
          <w:rFonts w:ascii="Arial" w:hAnsi="Arial" w:cs="Arial"/>
          <w:b/>
          <w:sz w:val="24"/>
          <w:szCs w:val="24"/>
        </w:rPr>
        <w:t>20</w:t>
      </w:r>
      <w:r w:rsidR="00EB1F6A" w:rsidRPr="00907988">
        <w:rPr>
          <w:rFonts w:ascii="Arial" w:hAnsi="Arial" w:cs="Arial"/>
          <w:b/>
          <w:sz w:val="24"/>
          <w:szCs w:val="24"/>
        </w:rPr>
        <w:t>20</w:t>
      </w:r>
    </w:p>
    <w:p w14:paraId="49555183" w14:textId="65401BFE" w:rsidR="00C338F5" w:rsidRPr="00DE62C1" w:rsidRDefault="001637A6" w:rsidP="00DE62C1">
      <w:pPr>
        <w:pStyle w:val="Padro"/>
        <w:spacing w:after="0" w:line="360" w:lineRule="auto"/>
        <w:jc w:val="center"/>
        <w:rPr>
          <w:rFonts w:ascii="Arial" w:hAnsi="Arial" w:cs="Arial"/>
          <w:b/>
          <w:sz w:val="24"/>
          <w:szCs w:val="24"/>
        </w:rPr>
      </w:pPr>
      <w:r w:rsidRPr="00907988">
        <w:rPr>
          <w:rFonts w:ascii="Arial" w:hAnsi="Arial" w:cs="Arial"/>
          <w:sz w:val="24"/>
          <w:szCs w:val="24"/>
        </w:rPr>
        <w:lastRenderedPageBreak/>
        <w:t>WELBER ANTONIO NOGUEIRA DA SILVA</w:t>
      </w:r>
    </w:p>
    <w:p w14:paraId="6924E0A2" w14:textId="77777777" w:rsidR="00C338F5" w:rsidRPr="00907988" w:rsidRDefault="00C338F5" w:rsidP="00A51C4B">
      <w:pPr>
        <w:pStyle w:val="Padro"/>
        <w:spacing w:after="0" w:line="480" w:lineRule="auto"/>
        <w:rPr>
          <w:rFonts w:ascii="Arial" w:hAnsi="Arial" w:cs="Arial"/>
          <w:sz w:val="24"/>
          <w:szCs w:val="24"/>
        </w:rPr>
      </w:pPr>
    </w:p>
    <w:p w14:paraId="1306C948" w14:textId="77777777" w:rsidR="00A51C4B" w:rsidRPr="00907988" w:rsidRDefault="00A51C4B" w:rsidP="00A51C4B">
      <w:pPr>
        <w:pStyle w:val="Padro"/>
        <w:spacing w:after="0" w:line="480" w:lineRule="auto"/>
        <w:rPr>
          <w:rFonts w:ascii="Arial" w:hAnsi="Arial" w:cs="Arial"/>
          <w:sz w:val="24"/>
          <w:szCs w:val="24"/>
        </w:rPr>
      </w:pPr>
    </w:p>
    <w:p w14:paraId="066499F0" w14:textId="77777777" w:rsidR="00A51C4B" w:rsidRPr="00907988" w:rsidRDefault="00A51C4B" w:rsidP="00A51C4B">
      <w:pPr>
        <w:pStyle w:val="Padro"/>
        <w:spacing w:after="0" w:line="480" w:lineRule="auto"/>
        <w:rPr>
          <w:rFonts w:ascii="Arial" w:hAnsi="Arial" w:cs="Arial"/>
          <w:sz w:val="24"/>
          <w:szCs w:val="24"/>
        </w:rPr>
      </w:pPr>
    </w:p>
    <w:p w14:paraId="5C724A4D" w14:textId="77777777" w:rsidR="00A51C4B" w:rsidRPr="00907988" w:rsidRDefault="00A51C4B" w:rsidP="00A51C4B">
      <w:pPr>
        <w:pStyle w:val="Padro"/>
        <w:spacing w:after="0" w:line="480" w:lineRule="auto"/>
        <w:rPr>
          <w:rFonts w:ascii="Arial" w:hAnsi="Arial" w:cs="Arial"/>
          <w:sz w:val="24"/>
          <w:szCs w:val="24"/>
        </w:rPr>
      </w:pPr>
    </w:p>
    <w:p w14:paraId="27995C11" w14:textId="77777777" w:rsidR="00A51C4B" w:rsidRPr="00907988" w:rsidRDefault="00A51C4B" w:rsidP="00A51C4B">
      <w:pPr>
        <w:pStyle w:val="Padro"/>
        <w:spacing w:after="0" w:line="480" w:lineRule="auto"/>
        <w:rPr>
          <w:rFonts w:ascii="Arial" w:hAnsi="Arial" w:cs="Arial"/>
          <w:sz w:val="24"/>
          <w:szCs w:val="24"/>
        </w:rPr>
      </w:pPr>
    </w:p>
    <w:p w14:paraId="4E70BC92" w14:textId="77777777" w:rsidR="00C338F5" w:rsidRPr="00907988" w:rsidRDefault="00C338F5" w:rsidP="00A51C4B">
      <w:pPr>
        <w:pStyle w:val="Padro"/>
        <w:spacing w:after="0" w:line="480" w:lineRule="auto"/>
        <w:rPr>
          <w:rFonts w:ascii="Arial" w:hAnsi="Arial" w:cs="Arial"/>
          <w:sz w:val="24"/>
          <w:szCs w:val="24"/>
        </w:rPr>
      </w:pPr>
    </w:p>
    <w:p w14:paraId="55FF0AEC" w14:textId="01998DCC" w:rsidR="00C338F5" w:rsidRPr="00907988" w:rsidRDefault="001637A6" w:rsidP="00A51C4B">
      <w:pPr>
        <w:pStyle w:val="Ttulo1"/>
        <w:spacing w:line="480" w:lineRule="auto"/>
        <w:jc w:val="center"/>
        <w:rPr>
          <w:rFonts w:ascii="Arial" w:hAnsi="Arial" w:cs="Arial"/>
          <w:szCs w:val="24"/>
        </w:rPr>
      </w:pPr>
      <w:r w:rsidRPr="00907988">
        <w:rPr>
          <w:rFonts w:ascii="Arial" w:hAnsi="Arial" w:cs="Arial"/>
          <w:b w:val="0"/>
          <w:szCs w:val="24"/>
        </w:rPr>
        <w:t>PARCELAMENTO T</w:t>
      </w:r>
      <w:r w:rsidR="0011597C" w:rsidRPr="00907988">
        <w:rPr>
          <w:rFonts w:ascii="Arial" w:hAnsi="Arial" w:cs="Arial"/>
          <w:b w:val="0"/>
          <w:szCs w:val="24"/>
        </w:rPr>
        <w:t xml:space="preserve">RIBUTÁRIO: </w:t>
      </w:r>
      <w:r w:rsidR="003A1147" w:rsidRPr="00907988">
        <w:rPr>
          <w:rFonts w:ascii="Arial" w:hAnsi="Arial" w:cs="Arial"/>
          <w:b w:val="0"/>
          <w:szCs w:val="24"/>
        </w:rPr>
        <w:t>A TEORIA DOS JOGOS APLICADA AO COMPORTAMENTO DE GRANDES DEVEDORES COM CAPACIDADE DE PAGAMENTO</w:t>
      </w:r>
    </w:p>
    <w:p w14:paraId="2B1410F2" w14:textId="77777777" w:rsidR="00C338F5" w:rsidRPr="00907988" w:rsidRDefault="00C338F5">
      <w:pPr>
        <w:pStyle w:val="Padro"/>
        <w:spacing w:after="0" w:line="100" w:lineRule="atLeast"/>
        <w:jc w:val="center"/>
        <w:rPr>
          <w:rFonts w:ascii="Arial" w:hAnsi="Arial" w:cs="Arial"/>
          <w:sz w:val="24"/>
          <w:szCs w:val="24"/>
        </w:rPr>
      </w:pPr>
    </w:p>
    <w:p w14:paraId="3BDAE177" w14:textId="77777777" w:rsidR="00C338F5" w:rsidRPr="00907988" w:rsidRDefault="00C338F5">
      <w:pPr>
        <w:pStyle w:val="Padro"/>
        <w:spacing w:after="0" w:line="100" w:lineRule="atLeast"/>
        <w:ind w:left="4536"/>
        <w:jc w:val="both"/>
        <w:rPr>
          <w:rFonts w:ascii="Arial" w:hAnsi="Arial" w:cs="Arial"/>
          <w:sz w:val="24"/>
          <w:szCs w:val="24"/>
        </w:rPr>
      </w:pPr>
    </w:p>
    <w:p w14:paraId="57086BFE" w14:textId="77777777" w:rsidR="00C338F5" w:rsidRPr="00907988" w:rsidRDefault="00C338F5">
      <w:pPr>
        <w:pStyle w:val="Padro"/>
        <w:spacing w:after="0" w:line="100" w:lineRule="atLeast"/>
        <w:ind w:left="4536"/>
        <w:jc w:val="both"/>
        <w:rPr>
          <w:rFonts w:ascii="Arial" w:hAnsi="Arial" w:cs="Arial"/>
          <w:sz w:val="24"/>
          <w:szCs w:val="24"/>
        </w:rPr>
      </w:pPr>
    </w:p>
    <w:p w14:paraId="7923E056" w14:textId="77777777" w:rsidR="00C338F5" w:rsidRPr="00907988" w:rsidRDefault="00C338F5">
      <w:pPr>
        <w:pStyle w:val="Padro"/>
        <w:spacing w:after="0" w:line="100" w:lineRule="atLeast"/>
        <w:ind w:left="4536"/>
        <w:jc w:val="both"/>
        <w:rPr>
          <w:rFonts w:ascii="Arial" w:hAnsi="Arial" w:cs="Arial"/>
          <w:sz w:val="24"/>
          <w:szCs w:val="24"/>
        </w:rPr>
      </w:pPr>
    </w:p>
    <w:p w14:paraId="7062471D" w14:textId="59E41DC3" w:rsidR="00C338F5" w:rsidRPr="00907988" w:rsidRDefault="003A1147">
      <w:pPr>
        <w:pStyle w:val="Padro"/>
        <w:spacing w:after="0" w:line="100" w:lineRule="atLeast"/>
        <w:ind w:left="4536"/>
        <w:jc w:val="both"/>
        <w:rPr>
          <w:rFonts w:ascii="Arial" w:hAnsi="Arial" w:cs="Arial"/>
          <w:sz w:val="24"/>
          <w:szCs w:val="24"/>
        </w:rPr>
      </w:pPr>
      <w:r w:rsidRPr="00907988">
        <w:rPr>
          <w:rFonts w:ascii="Arial" w:hAnsi="Arial" w:cs="Arial"/>
          <w:sz w:val="24"/>
          <w:szCs w:val="24"/>
        </w:rPr>
        <w:t>Trabalho de Conclusão de Curso</w:t>
      </w:r>
      <w:r w:rsidR="000F3521" w:rsidRPr="00907988">
        <w:rPr>
          <w:rFonts w:ascii="Arial" w:hAnsi="Arial" w:cs="Arial"/>
          <w:sz w:val="24"/>
          <w:szCs w:val="24"/>
        </w:rPr>
        <w:t xml:space="preserve"> apresentado na disciplina de Trabalho Conclusivo Orientado </w:t>
      </w:r>
      <w:r w:rsidRPr="00907988">
        <w:rPr>
          <w:rFonts w:ascii="Arial" w:hAnsi="Arial" w:cs="Arial"/>
          <w:sz w:val="24"/>
          <w:szCs w:val="24"/>
        </w:rPr>
        <w:t>II</w:t>
      </w:r>
      <w:r w:rsidR="000F3521" w:rsidRPr="00907988">
        <w:rPr>
          <w:rFonts w:ascii="Arial" w:hAnsi="Arial" w:cs="Arial"/>
          <w:sz w:val="24"/>
          <w:szCs w:val="24"/>
        </w:rPr>
        <w:t xml:space="preserve"> (TCO </w:t>
      </w:r>
      <w:r w:rsidRPr="00907988">
        <w:rPr>
          <w:rFonts w:ascii="Arial" w:hAnsi="Arial" w:cs="Arial"/>
          <w:sz w:val="24"/>
          <w:szCs w:val="24"/>
        </w:rPr>
        <w:t>II</w:t>
      </w:r>
      <w:r w:rsidR="000F3521" w:rsidRPr="00907988">
        <w:rPr>
          <w:rFonts w:ascii="Arial" w:hAnsi="Arial" w:cs="Arial"/>
          <w:sz w:val="24"/>
          <w:szCs w:val="24"/>
        </w:rPr>
        <w:t xml:space="preserve">) do curso de Direito da Faculdade de Ciências Sociais Aplicadas sob a orientação do </w:t>
      </w:r>
      <w:r w:rsidRPr="00907988">
        <w:rPr>
          <w:rFonts w:ascii="Arial" w:hAnsi="Arial" w:cs="Arial"/>
          <w:sz w:val="24"/>
          <w:szCs w:val="24"/>
        </w:rPr>
        <w:t>Professor Me. Danilo Moreira Mendes</w:t>
      </w:r>
      <w:r w:rsidR="000F3521" w:rsidRPr="00907988">
        <w:rPr>
          <w:rFonts w:ascii="Arial" w:hAnsi="Arial" w:cs="Arial"/>
          <w:sz w:val="24"/>
          <w:szCs w:val="24"/>
        </w:rPr>
        <w:t xml:space="preserve"> como requisito parcial da avaliação desta disciplina.</w:t>
      </w:r>
    </w:p>
    <w:p w14:paraId="054F17C1" w14:textId="77777777" w:rsidR="00C338F5" w:rsidRPr="00907988" w:rsidRDefault="00C338F5">
      <w:pPr>
        <w:pStyle w:val="Padro"/>
        <w:spacing w:after="0" w:line="100" w:lineRule="atLeast"/>
        <w:ind w:left="4536"/>
        <w:jc w:val="both"/>
        <w:rPr>
          <w:rFonts w:ascii="Arial" w:hAnsi="Arial" w:cs="Arial"/>
          <w:sz w:val="24"/>
          <w:szCs w:val="24"/>
        </w:rPr>
      </w:pPr>
    </w:p>
    <w:p w14:paraId="464EF019" w14:textId="77777777" w:rsidR="00C338F5" w:rsidRPr="00907988" w:rsidRDefault="000F3521">
      <w:pPr>
        <w:pStyle w:val="Padro"/>
        <w:spacing w:after="0" w:line="100" w:lineRule="atLeast"/>
        <w:ind w:left="4536"/>
        <w:jc w:val="both"/>
        <w:rPr>
          <w:rFonts w:ascii="Arial" w:hAnsi="Arial" w:cs="Arial"/>
          <w:sz w:val="24"/>
          <w:szCs w:val="24"/>
        </w:rPr>
      </w:pPr>
      <w:r w:rsidRPr="00907988">
        <w:rPr>
          <w:rFonts w:ascii="Arial" w:hAnsi="Arial" w:cs="Arial"/>
          <w:sz w:val="24"/>
          <w:szCs w:val="24"/>
        </w:rPr>
        <w:t xml:space="preserve">Orientador de TCO: </w:t>
      </w:r>
      <w:r w:rsidR="00B05186" w:rsidRPr="00907988">
        <w:rPr>
          <w:rFonts w:ascii="Arial" w:hAnsi="Arial" w:cs="Arial"/>
          <w:sz w:val="24"/>
          <w:szCs w:val="24"/>
        </w:rPr>
        <w:t xml:space="preserve">Danilo </w:t>
      </w:r>
      <w:r w:rsidR="00087235" w:rsidRPr="00907988">
        <w:rPr>
          <w:rFonts w:ascii="Arial" w:hAnsi="Arial" w:cs="Arial"/>
          <w:sz w:val="24"/>
          <w:szCs w:val="24"/>
        </w:rPr>
        <w:t>Moreira Mendes</w:t>
      </w:r>
    </w:p>
    <w:p w14:paraId="5D5DD6A2" w14:textId="4B77098C" w:rsidR="00C338F5" w:rsidRPr="00907988" w:rsidRDefault="000F3521">
      <w:pPr>
        <w:pStyle w:val="Padro"/>
        <w:spacing w:after="0" w:line="100" w:lineRule="atLeast"/>
        <w:ind w:left="4536"/>
        <w:jc w:val="both"/>
        <w:rPr>
          <w:rFonts w:ascii="Arial" w:hAnsi="Arial" w:cs="Arial"/>
          <w:sz w:val="24"/>
          <w:szCs w:val="24"/>
        </w:rPr>
      </w:pPr>
      <w:r w:rsidRPr="00907988">
        <w:rPr>
          <w:rFonts w:ascii="Arial" w:hAnsi="Arial" w:cs="Arial"/>
          <w:sz w:val="24"/>
          <w:szCs w:val="24"/>
        </w:rPr>
        <w:t>Linha de Pesquisa</w:t>
      </w:r>
      <w:r w:rsidR="00C3788F" w:rsidRPr="00907988">
        <w:rPr>
          <w:rFonts w:ascii="Arial" w:hAnsi="Arial" w:cs="Arial"/>
          <w:sz w:val="24"/>
          <w:szCs w:val="24"/>
        </w:rPr>
        <w:t xml:space="preserve"> Direito: Ambiental, Ordem Socioeconômica E Regulação;</w:t>
      </w:r>
      <w:r w:rsidRPr="00907988">
        <w:rPr>
          <w:rFonts w:ascii="Arial" w:hAnsi="Arial" w:cs="Arial"/>
          <w:sz w:val="24"/>
          <w:szCs w:val="24"/>
        </w:rPr>
        <w:t xml:space="preserve"> e Área de concentração:</w:t>
      </w:r>
      <w:r w:rsidR="003A1147" w:rsidRPr="00907988">
        <w:rPr>
          <w:rFonts w:ascii="Arial" w:hAnsi="Arial" w:cs="Arial"/>
          <w:sz w:val="24"/>
          <w:szCs w:val="24"/>
        </w:rPr>
        <w:t xml:space="preserve"> Direito Público</w:t>
      </w:r>
      <w:r w:rsidR="00C3788F" w:rsidRPr="00907988">
        <w:rPr>
          <w:rFonts w:ascii="Arial" w:hAnsi="Arial" w:cs="Arial"/>
          <w:sz w:val="24"/>
          <w:szCs w:val="24"/>
        </w:rPr>
        <w:t>.</w:t>
      </w:r>
    </w:p>
    <w:p w14:paraId="73FFDFBD" w14:textId="77777777" w:rsidR="00C338F5" w:rsidRPr="00907988" w:rsidRDefault="00C338F5">
      <w:pPr>
        <w:pStyle w:val="Padro"/>
        <w:spacing w:after="0" w:line="100" w:lineRule="atLeast"/>
        <w:ind w:left="4536"/>
        <w:jc w:val="both"/>
        <w:rPr>
          <w:rFonts w:ascii="Arial" w:hAnsi="Arial" w:cs="Arial"/>
          <w:sz w:val="24"/>
          <w:szCs w:val="24"/>
        </w:rPr>
      </w:pPr>
    </w:p>
    <w:p w14:paraId="740BDD50" w14:textId="77777777" w:rsidR="00C338F5" w:rsidRPr="00907988" w:rsidRDefault="00C338F5">
      <w:pPr>
        <w:pStyle w:val="Padro"/>
        <w:spacing w:after="0" w:line="100" w:lineRule="atLeast"/>
        <w:jc w:val="center"/>
        <w:rPr>
          <w:rFonts w:ascii="Arial" w:hAnsi="Arial" w:cs="Arial"/>
          <w:sz w:val="24"/>
          <w:szCs w:val="24"/>
        </w:rPr>
      </w:pPr>
    </w:p>
    <w:p w14:paraId="6BB2834C" w14:textId="77777777" w:rsidR="00C338F5" w:rsidRPr="00907988" w:rsidRDefault="00C338F5">
      <w:pPr>
        <w:pStyle w:val="Padro"/>
        <w:spacing w:after="0" w:line="100" w:lineRule="atLeast"/>
        <w:jc w:val="center"/>
        <w:rPr>
          <w:rFonts w:ascii="Arial" w:hAnsi="Arial" w:cs="Arial"/>
          <w:sz w:val="24"/>
          <w:szCs w:val="24"/>
        </w:rPr>
      </w:pPr>
    </w:p>
    <w:p w14:paraId="3A63ED7A" w14:textId="77777777" w:rsidR="00C338F5" w:rsidRPr="00907988" w:rsidRDefault="00C338F5">
      <w:pPr>
        <w:pStyle w:val="Padro"/>
        <w:spacing w:after="0" w:line="100" w:lineRule="atLeast"/>
        <w:rPr>
          <w:rFonts w:ascii="Arial" w:hAnsi="Arial" w:cs="Arial"/>
          <w:sz w:val="24"/>
          <w:szCs w:val="24"/>
        </w:rPr>
      </w:pPr>
    </w:p>
    <w:p w14:paraId="51025098" w14:textId="77777777" w:rsidR="00C338F5" w:rsidRPr="00907988" w:rsidRDefault="00C338F5">
      <w:pPr>
        <w:pStyle w:val="Padro"/>
        <w:spacing w:after="0" w:line="100" w:lineRule="atLeast"/>
        <w:rPr>
          <w:rFonts w:ascii="Arial" w:hAnsi="Arial" w:cs="Arial"/>
          <w:sz w:val="24"/>
          <w:szCs w:val="24"/>
        </w:rPr>
      </w:pPr>
    </w:p>
    <w:p w14:paraId="60DAA644" w14:textId="77777777" w:rsidR="00C338F5" w:rsidRPr="00907988" w:rsidRDefault="00C338F5">
      <w:pPr>
        <w:pStyle w:val="Padro"/>
        <w:spacing w:after="0" w:line="100" w:lineRule="atLeast"/>
        <w:rPr>
          <w:rFonts w:ascii="Arial" w:hAnsi="Arial" w:cs="Arial"/>
          <w:sz w:val="24"/>
          <w:szCs w:val="24"/>
        </w:rPr>
      </w:pPr>
    </w:p>
    <w:p w14:paraId="3F2970BF" w14:textId="77777777" w:rsidR="00C338F5" w:rsidRPr="00907988" w:rsidRDefault="00C338F5">
      <w:pPr>
        <w:pStyle w:val="Padro"/>
        <w:spacing w:after="0" w:line="100" w:lineRule="atLeast"/>
        <w:rPr>
          <w:rFonts w:ascii="Arial" w:hAnsi="Arial" w:cs="Arial"/>
          <w:sz w:val="24"/>
          <w:szCs w:val="24"/>
        </w:rPr>
      </w:pPr>
    </w:p>
    <w:p w14:paraId="7E330FB5" w14:textId="77777777" w:rsidR="00AF21E2" w:rsidRPr="00907988" w:rsidRDefault="00AF21E2">
      <w:pPr>
        <w:pStyle w:val="Padro"/>
        <w:spacing w:after="0" w:line="100" w:lineRule="atLeast"/>
        <w:rPr>
          <w:rFonts w:ascii="Arial" w:hAnsi="Arial" w:cs="Arial"/>
          <w:sz w:val="24"/>
          <w:szCs w:val="24"/>
        </w:rPr>
      </w:pPr>
    </w:p>
    <w:p w14:paraId="07EE83F9" w14:textId="5F096782" w:rsidR="00AF21E2" w:rsidRPr="00907988" w:rsidRDefault="00AF21E2">
      <w:pPr>
        <w:pStyle w:val="Padro"/>
        <w:spacing w:after="0" w:line="100" w:lineRule="atLeast"/>
        <w:rPr>
          <w:rFonts w:ascii="Arial" w:hAnsi="Arial" w:cs="Arial"/>
          <w:sz w:val="24"/>
          <w:szCs w:val="24"/>
        </w:rPr>
      </w:pPr>
    </w:p>
    <w:p w14:paraId="06D4CE15" w14:textId="2CF2A5AA" w:rsidR="006243DA" w:rsidRPr="00907988" w:rsidRDefault="006243DA">
      <w:pPr>
        <w:pStyle w:val="Padro"/>
        <w:spacing w:after="0" w:line="100" w:lineRule="atLeast"/>
        <w:rPr>
          <w:rFonts w:ascii="Arial" w:hAnsi="Arial" w:cs="Arial"/>
          <w:sz w:val="24"/>
          <w:szCs w:val="24"/>
        </w:rPr>
      </w:pPr>
    </w:p>
    <w:p w14:paraId="73CA40C6" w14:textId="77777777" w:rsidR="006243DA" w:rsidRPr="00907988" w:rsidRDefault="006243DA">
      <w:pPr>
        <w:pStyle w:val="Padro"/>
        <w:spacing w:after="0" w:line="100" w:lineRule="atLeast"/>
        <w:rPr>
          <w:rFonts w:ascii="Arial" w:hAnsi="Arial" w:cs="Arial"/>
          <w:sz w:val="24"/>
          <w:szCs w:val="24"/>
        </w:rPr>
      </w:pPr>
    </w:p>
    <w:p w14:paraId="6449AC9D" w14:textId="77777777" w:rsidR="00C338F5" w:rsidRPr="00907988" w:rsidRDefault="000F3521">
      <w:pPr>
        <w:pStyle w:val="Padro"/>
        <w:spacing w:after="0" w:line="100" w:lineRule="atLeast"/>
        <w:jc w:val="center"/>
        <w:rPr>
          <w:rFonts w:ascii="Arial" w:hAnsi="Arial" w:cs="Arial"/>
          <w:sz w:val="24"/>
          <w:szCs w:val="24"/>
        </w:rPr>
      </w:pPr>
      <w:r w:rsidRPr="00907988">
        <w:rPr>
          <w:rFonts w:ascii="Arial" w:hAnsi="Arial" w:cs="Arial"/>
          <w:sz w:val="24"/>
          <w:szCs w:val="24"/>
        </w:rPr>
        <w:t>CAMPINA GRANDE</w:t>
      </w:r>
    </w:p>
    <w:p w14:paraId="6CEC980A" w14:textId="1349AF5E" w:rsidR="000958DC" w:rsidRPr="00907988" w:rsidRDefault="0011597C" w:rsidP="000958DC">
      <w:pPr>
        <w:pStyle w:val="Padro"/>
        <w:spacing w:after="0" w:line="100" w:lineRule="atLeast"/>
        <w:jc w:val="center"/>
        <w:rPr>
          <w:rFonts w:ascii="Arial" w:hAnsi="Arial" w:cs="Arial"/>
          <w:sz w:val="24"/>
          <w:szCs w:val="24"/>
        </w:rPr>
      </w:pPr>
      <w:r w:rsidRPr="00907988">
        <w:rPr>
          <w:rFonts w:ascii="Arial" w:hAnsi="Arial" w:cs="Arial"/>
          <w:sz w:val="24"/>
          <w:szCs w:val="24"/>
        </w:rPr>
        <w:t>20</w:t>
      </w:r>
      <w:r w:rsidR="00EB1F6A" w:rsidRPr="00907988">
        <w:rPr>
          <w:rFonts w:ascii="Arial" w:hAnsi="Arial" w:cs="Arial"/>
          <w:sz w:val="24"/>
          <w:szCs w:val="24"/>
        </w:rPr>
        <w:t>20</w:t>
      </w:r>
    </w:p>
    <w:p w14:paraId="1D672462" w14:textId="449175BE" w:rsidR="00A06148" w:rsidRDefault="00A06148" w:rsidP="00A06148">
      <w:pPr>
        <w:spacing w:before="100" w:beforeAutospacing="1"/>
        <w:ind w:firstLine="0"/>
        <w:jc w:val="center"/>
        <w:rPr>
          <w:rFonts w:ascii="Arial" w:hAnsi="Arial" w:cs="Arial"/>
          <w:bCs/>
          <w:szCs w:val="24"/>
        </w:rPr>
      </w:pPr>
      <w:r w:rsidRPr="00A06148">
        <w:rPr>
          <w:rFonts w:ascii="Arial" w:hAnsi="Arial" w:cs="Arial"/>
          <w:bCs/>
          <w:szCs w:val="24"/>
        </w:rPr>
        <w:lastRenderedPageBreak/>
        <w:t xml:space="preserve">PARCELAMENTO TRIBUTÁRIO: A Teoria </w:t>
      </w:r>
      <w:r>
        <w:rPr>
          <w:rFonts w:ascii="Arial" w:hAnsi="Arial" w:cs="Arial"/>
          <w:bCs/>
          <w:szCs w:val="24"/>
        </w:rPr>
        <w:t>d</w:t>
      </w:r>
      <w:r w:rsidRPr="00A06148">
        <w:rPr>
          <w:rFonts w:ascii="Arial" w:hAnsi="Arial" w:cs="Arial"/>
          <w:bCs/>
          <w:szCs w:val="24"/>
        </w:rPr>
        <w:t xml:space="preserve">os Jogos Aplicada </w:t>
      </w:r>
      <w:r>
        <w:rPr>
          <w:rFonts w:ascii="Arial" w:hAnsi="Arial" w:cs="Arial"/>
          <w:bCs/>
          <w:szCs w:val="24"/>
        </w:rPr>
        <w:t>a</w:t>
      </w:r>
      <w:r w:rsidRPr="00A06148">
        <w:rPr>
          <w:rFonts w:ascii="Arial" w:hAnsi="Arial" w:cs="Arial"/>
          <w:bCs/>
          <w:szCs w:val="24"/>
        </w:rPr>
        <w:t xml:space="preserve">o Comportamento </w:t>
      </w:r>
      <w:r>
        <w:rPr>
          <w:rFonts w:ascii="Arial" w:hAnsi="Arial" w:cs="Arial"/>
          <w:bCs/>
          <w:szCs w:val="24"/>
        </w:rPr>
        <w:t>d</w:t>
      </w:r>
      <w:r w:rsidRPr="00A06148">
        <w:rPr>
          <w:rFonts w:ascii="Arial" w:hAnsi="Arial" w:cs="Arial"/>
          <w:bCs/>
          <w:szCs w:val="24"/>
        </w:rPr>
        <w:t xml:space="preserve">e Grandes Devedores </w:t>
      </w:r>
      <w:r>
        <w:rPr>
          <w:rFonts w:ascii="Arial" w:hAnsi="Arial" w:cs="Arial"/>
          <w:bCs/>
          <w:szCs w:val="24"/>
        </w:rPr>
        <w:t>c</w:t>
      </w:r>
      <w:r w:rsidRPr="00A06148">
        <w:rPr>
          <w:rFonts w:ascii="Arial" w:hAnsi="Arial" w:cs="Arial"/>
          <w:bCs/>
          <w:szCs w:val="24"/>
        </w:rPr>
        <w:t xml:space="preserve">om Capacidade </w:t>
      </w:r>
      <w:r>
        <w:rPr>
          <w:rFonts w:ascii="Arial" w:hAnsi="Arial" w:cs="Arial"/>
          <w:bCs/>
          <w:szCs w:val="24"/>
        </w:rPr>
        <w:t>d</w:t>
      </w:r>
      <w:r w:rsidRPr="00A06148">
        <w:rPr>
          <w:rFonts w:ascii="Arial" w:hAnsi="Arial" w:cs="Arial"/>
          <w:bCs/>
          <w:szCs w:val="24"/>
        </w:rPr>
        <w:t>e Pagamento</w:t>
      </w:r>
    </w:p>
    <w:p w14:paraId="1B5ECF98" w14:textId="77777777" w:rsidR="00A06148" w:rsidRDefault="00A06148" w:rsidP="00A06148">
      <w:pPr>
        <w:spacing w:before="100" w:beforeAutospacing="1"/>
        <w:ind w:firstLine="0"/>
        <w:jc w:val="center"/>
        <w:rPr>
          <w:rFonts w:ascii="Arial" w:hAnsi="Arial" w:cs="Arial"/>
          <w:bCs/>
          <w:szCs w:val="24"/>
        </w:rPr>
      </w:pPr>
    </w:p>
    <w:p w14:paraId="7C5A0E60" w14:textId="1733D8C9" w:rsidR="00A06148" w:rsidRDefault="00A06148" w:rsidP="00A06148">
      <w:pPr>
        <w:spacing w:before="100" w:beforeAutospacing="1" w:line="240" w:lineRule="auto"/>
        <w:ind w:firstLine="0"/>
        <w:jc w:val="right"/>
        <w:rPr>
          <w:rFonts w:ascii="Arial" w:hAnsi="Arial" w:cs="Arial"/>
          <w:bCs/>
          <w:szCs w:val="24"/>
        </w:rPr>
      </w:pPr>
      <w:r>
        <w:rPr>
          <w:rFonts w:ascii="Arial" w:hAnsi="Arial" w:cs="Arial"/>
          <w:bCs/>
          <w:szCs w:val="24"/>
        </w:rPr>
        <w:t>Danilo Moreira Mendes</w:t>
      </w:r>
      <w:r>
        <w:rPr>
          <w:rStyle w:val="Refdenotaderodap"/>
          <w:rFonts w:ascii="Arial" w:hAnsi="Arial" w:cs="Arial"/>
          <w:bCs/>
          <w:szCs w:val="24"/>
        </w:rPr>
        <w:footnoteReference w:id="1"/>
      </w:r>
    </w:p>
    <w:p w14:paraId="3B104EB1" w14:textId="794420A5" w:rsidR="00A06148" w:rsidRPr="00A06148" w:rsidRDefault="00A06148" w:rsidP="00A06148">
      <w:pPr>
        <w:spacing w:before="100" w:beforeAutospacing="1" w:line="240" w:lineRule="auto"/>
        <w:ind w:firstLine="0"/>
        <w:jc w:val="right"/>
        <w:rPr>
          <w:rFonts w:ascii="Arial" w:hAnsi="Arial" w:cs="Arial"/>
          <w:bCs/>
          <w:szCs w:val="24"/>
        </w:rPr>
      </w:pPr>
      <w:r>
        <w:rPr>
          <w:rFonts w:ascii="Arial" w:hAnsi="Arial" w:cs="Arial"/>
          <w:bCs/>
          <w:szCs w:val="24"/>
        </w:rPr>
        <w:t>Welber Antonio Nogueira da Silva</w:t>
      </w:r>
      <w:r>
        <w:rPr>
          <w:rStyle w:val="Refdenotaderodap"/>
          <w:rFonts w:ascii="Arial" w:hAnsi="Arial" w:cs="Arial"/>
          <w:bCs/>
          <w:szCs w:val="24"/>
        </w:rPr>
        <w:footnoteReference w:id="2"/>
      </w:r>
    </w:p>
    <w:p w14:paraId="2DE80C9D" w14:textId="77777777" w:rsidR="00A06148" w:rsidRDefault="00A06148" w:rsidP="00E45604">
      <w:pPr>
        <w:spacing w:before="100" w:beforeAutospacing="1"/>
        <w:ind w:firstLine="0"/>
        <w:jc w:val="center"/>
        <w:rPr>
          <w:rFonts w:ascii="Arial" w:hAnsi="Arial" w:cs="Arial"/>
          <w:b/>
          <w:szCs w:val="24"/>
        </w:rPr>
      </w:pPr>
    </w:p>
    <w:p w14:paraId="64787A8D" w14:textId="2571E5E0" w:rsidR="00A06148" w:rsidRDefault="000958DC" w:rsidP="00A06148">
      <w:pPr>
        <w:spacing w:before="100" w:beforeAutospacing="1" w:line="240" w:lineRule="auto"/>
        <w:ind w:firstLine="0"/>
        <w:jc w:val="center"/>
        <w:rPr>
          <w:rFonts w:ascii="Arial" w:hAnsi="Arial" w:cs="Arial"/>
          <w:b/>
          <w:szCs w:val="24"/>
        </w:rPr>
      </w:pPr>
      <w:r w:rsidRPr="00907988">
        <w:rPr>
          <w:rFonts w:ascii="Arial" w:hAnsi="Arial" w:cs="Arial"/>
          <w:b/>
          <w:szCs w:val="24"/>
        </w:rPr>
        <w:t>RESUMO</w:t>
      </w:r>
    </w:p>
    <w:p w14:paraId="1D8C81FE" w14:textId="77777777" w:rsidR="00A06148" w:rsidRPr="00907988" w:rsidRDefault="00A06148" w:rsidP="00A06148">
      <w:pPr>
        <w:spacing w:before="100" w:beforeAutospacing="1" w:line="240" w:lineRule="auto"/>
        <w:ind w:firstLine="0"/>
        <w:jc w:val="center"/>
        <w:rPr>
          <w:rFonts w:ascii="Arial" w:hAnsi="Arial" w:cs="Arial"/>
          <w:b/>
          <w:szCs w:val="24"/>
        </w:rPr>
      </w:pPr>
    </w:p>
    <w:p w14:paraId="6A441EEE" w14:textId="30ACD6C5" w:rsidR="00E45604" w:rsidRDefault="00D45081" w:rsidP="00D45081">
      <w:pPr>
        <w:ind w:firstLine="0"/>
        <w:rPr>
          <w:rFonts w:ascii="Arial" w:hAnsi="Arial" w:cs="Arial"/>
          <w:szCs w:val="24"/>
        </w:rPr>
      </w:pPr>
      <w:r w:rsidRPr="00907988">
        <w:rPr>
          <w:rFonts w:ascii="Arial" w:hAnsi="Arial" w:cs="Arial"/>
          <w:bCs/>
          <w:szCs w:val="24"/>
        </w:rPr>
        <w:t xml:space="preserve">No Direito Tributário brasileiro, os parcelamentos são uma forma de regularizar o débito e suspender a exigibilidade do crédito, e podem ser analisados em seus efeitos jurídicos e extrajurídicos, na conduta dos contribuintes. </w:t>
      </w:r>
      <w:r w:rsidR="000D5465" w:rsidRPr="00907988">
        <w:rPr>
          <w:rFonts w:ascii="Arial" w:hAnsi="Arial" w:cs="Arial"/>
          <w:bCs/>
          <w:szCs w:val="24"/>
        </w:rPr>
        <w:t xml:space="preserve">Este artigo propõe analisar alguns dos efeitos extrajurídicos dos parcelamentos da dívida tributária, frente ao comportamento estratégico dos grandes devedores com capacidade de pagamento. Essa compreensão se dará através de uma </w:t>
      </w:r>
      <w:r w:rsidR="000D5465" w:rsidRPr="00907988">
        <w:rPr>
          <w:rFonts w:ascii="Arial" w:hAnsi="Arial" w:cs="Arial"/>
          <w:color w:val="000000"/>
          <w:szCs w:val="24"/>
        </w:rPr>
        <w:t>análise descritiva, por meio de uma abordagem interdiscip</w:t>
      </w:r>
      <w:r w:rsidR="00762ACB">
        <w:rPr>
          <w:rFonts w:ascii="Arial" w:hAnsi="Arial" w:cs="Arial"/>
          <w:color w:val="000000"/>
          <w:szCs w:val="24"/>
        </w:rPr>
        <w:t>linar, quali</w:t>
      </w:r>
      <w:r w:rsidR="000D5465" w:rsidRPr="00907988">
        <w:rPr>
          <w:rFonts w:ascii="Arial" w:hAnsi="Arial" w:cs="Arial"/>
          <w:color w:val="000000"/>
          <w:szCs w:val="24"/>
        </w:rPr>
        <w:t xml:space="preserve">quantitativa, mediante um raciocínio indutivo. </w:t>
      </w:r>
      <w:r w:rsidR="000D5465" w:rsidRPr="00907988">
        <w:rPr>
          <w:rFonts w:ascii="Arial" w:hAnsi="Arial" w:cs="Arial"/>
          <w:bCs/>
          <w:szCs w:val="24"/>
        </w:rPr>
        <w:t>A Teoria dos Jogos neste trabalho será o subsídio à compreensão da análise econômica do direito em relação à tributação estratégica dos grandes devedores com capacidade de pagamento.</w:t>
      </w:r>
      <w:r w:rsidR="00030A35" w:rsidRPr="00907988">
        <w:rPr>
          <w:rFonts w:ascii="Arial" w:hAnsi="Arial" w:cs="Arial"/>
          <w:bCs/>
          <w:szCs w:val="24"/>
        </w:rPr>
        <w:t xml:space="preserve"> </w:t>
      </w:r>
      <w:r w:rsidRPr="00907988">
        <w:rPr>
          <w:rFonts w:ascii="Arial" w:hAnsi="Arial" w:cs="Arial"/>
          <w:bCs/>
          <w:szCs w:val="24"/>
        </w:rPr>
        <w:t>É possível ver</w:t>
      </w:r>
      <w:r w:rsidR="00030A35" w:rsidRPr="00907988">
        <w:rPr>
          <w:rFonts w:ascii="Arial" w:hAnsi="Arial" w:cs="Arial"/>
          <w:bCs/>
          <w:szCs w:val="24"/>
        </w:rPr>
        <w:t xml:space="preserve"> que</w:t>
      </w:r>
      <w:r w:rsidR="000D5465" w:rsidRPr="00907988">
        <w:rPr>
          <w:rFonts w:ascii="Arial" w:hAnsi="Arial" w:cs="Arial"/>
          <w:bCs/>
          <w:szCs w:val="24"/>
        </w:rPr>
        <w:t xml:space="preserve"> </w:t>
      </w:r>
      <w:r w:rsidRPr="00907988">
        <w:rPr>
          <w:rFonts w:ascii="Arial" w:hAnsi="Arial" w:cs="Arial"/>
          <w:bCs/>
          <w:szCs w:val="24"/>
        </w:rPr>
        <w:t>o</w:t>
      </w:r>
      <w:r w:rsidRPr="00907988">
        <w:rPr>
          <w:rFonts w:ascii="Arial" w:hAnsi="Arial" w:cs="Arial"/>
          <w:szCs w:val="24"/>
        </w:rPr>
        <w:t>s parcelamentos</w:t>
      </w:r>
      <w:r w:rsidR="000D5465" w:rsidRPr="00907988">
        <w:rPr>
          <w:rFonts w:ascii="Arial" w:hAnsi="Arial" w:cs="Arial"/>
          <w:szCs w:val="24"/>
        </w:rPr>
        <w:t xml:space="preserve"> não se mostram como uma forma eficaz em arrecadação já que sempre quando possível, o aderente pode desistir ou migrar de um para outro de acordo com o que lhe for mais vantajoso.  A garantia, por sua vez, se mostra boa opção em reduzir a atuação estratégica dos devedores com alta capacidade contributiva na seara dos parcelamentos, evitando assim os jogos entre credor e devedor, já que os juros e descontos se mostram vantajosos para aqueles que possuem capacidade de pagamento</w:t>
      </w:r>
      <w:r w:rsidRPr="00907988">
        <w:rPr>
          <w:rFonts w:ascii="Arial" w:hAnsi="Arial" w:cs="Arial"/>
          <w:szCs w:val="24"/>
        </w:rPr>
        <w:t>s</w:t>
      </w:r>
      <w:r w:rsidR="00907988" w:rsidRPr="00907988">
        <w:rPr>
          <w:rFonts w:ascii="Arial" w:hAnsi="Arial" w:cs="Arial"/>
          <w:szCs w:val="24"/>
        </w:rPr>
        <w:t xml:space="preserve">. </w:t>
      </w:r>
    </w:p>
    <w:p w14:paraId="67CD3960" w14:textId="17CD2D77" w:rsidR="00BF0D8E" w:rsidRPr="00907988" w:rsidRDefault="00BF0D8E" w:rsidP="00D45081">
      <w:pPr>
        <w:ind w:firstLine="0"/>
        <w:rPr>
          <w:rFonts w:ascii="Arial" w:hAnsi="Arial" w:cs="Arial"/>
          <w:bCs/>
          <w:szCs w:val="24"/>
        </w:rPr>
      </w:pPr>
      <w:r>
        <w:rPr>
          <w:rFonts w:ascii="Arial" w:hAnsi="Arial" w:cs="Arial"/>
          <w:szCs w:val="24"/>
        </w:rPr>
        <w:t>PALAVRAS-CHAVE: Parcelamento tributário. Teoria dos jogos. Análise econômica do direito.</w:t>
      </w:r>
    </w:p>
    <w:p w14:paraId="2C0EC928" w14:textId="3263A8EB" w:rsidR="000D5465" w:rsidRDefault="000D5465" w:rsidP="000D5465">
      <w:pPr>
        <w:spacing w:before="100" w:beforeAutospacing="1"/>
        <w:ind w:firstLine="0"/>
        <w:rPr>
          <w:rFonts w:ascii="Arial" w:hAnsi="Arial" w:cs="Arial"/>
          <w:b/>
          <w:szCs w:val="24"/>
        </w:rPr>
      </w:pPr>
    </w:p>
    <w:p w14:paraId="34540954" w14:textId="77777777" w:rsidR="00A06148" w:rsidRPr="00907988" w:rsidRDefault="00A06148" w:rsidP="000D5465">
      <w:pPr>
        <w:spacing w:before="100" w:beforeAutospacing="1"/>
        <w:ind w:firstLine="0"/>
        <w:rPr>
          <w:rFonts w:ascii="Arial" w:hAnsi="Arial" w:cs="Arial"/>
          <w:b/>
          <w:szCs w:val="24"/>
        </w:rPr>
      </w:pPr>
    </w:p>
    <w:p w14:paraId="7F05A23E" w14:textId="4F2A7B70" w:rsidR="008A5025" w:rsidRDefault="00E45604" w:rsidP="008A5025">
      <w:pPr>
        <w:spacing w:line="240" w:lineRule="auto"/>
        <w:ind w:firstLine="0"/>
        <w:jc w:val="center"/>
        <w:rPr>
          <w:rFonts w:ascii="Arial" w:hAnsi="Arial" w:cs="Arial"/>
          <w:b/>
          <w:bCs/>
          <w:color w:val="000000"/>
          <w:szCs w:val="24"/>
        </w:rPr>
      </w:pPr>
      <w:bookmarkStart w:id="1" w:name="_Hlk41330647"/>
      <w:r w:rsidRPr="00907988">
        <w:rPr>
          <w:rFonts w:ascii="Arial" w:hAnsi="Arial" w:cs="Arial"/>
          <w:b/>
          <w:bCs/>
          <w:color w:val="000000"/>
          <w:szCs w:val="24"/>
        </w:rPr>
        <w:t>ABSTRACT</w:t>
      </w:r>
    </w:p>
    <w:p w14:paraId="2BCE49A9" w14:textId="77777777" w:rsidR="008A5025" w:rsidRPr="00907988" w:rsidRDefault="008A5025" w:rsidP="008A5025">
      <w:pPr>
        <w:spacing w:line="240" w:lineRule="auto"/>
        <w:ind w:firstLine="0"/>
        <w:jc w:val="center"/>
        <w:rPr>
          <w:rFonts w:ascii="Arial" w:hAnsi="Arial" w:cs="Arial"/>
          <w:b/>
          <w:bCs/>
          <w:color w:val="000000"/>
          <w:szCs w:val="24"/>
        </w:rPr>
      </w:pPr>
    </w:p>
    <w:bookmarkEnd w:id="1"/>
    <w:p w14:paraId="71EAB146" w14:textId="4AF9D92B" w:rsidR="008A5025" w:rsidRDefault="00A06148" w:rsidP="00A06148">
      <w:pPr>
        <w:spacing w:before="100" w:beforeAutospacing="1"/>
        <w:ind w:firstLine="0"/>
        <w:rPr>
          <w:rFonts w:ascii="Arial" w:hAnsi="Arial" w:cs="Arial"/>
          <w:color w:val="000000"/>
          <w:szCs w:val="24"/>
        </w:rPr>
      </w:pPr>
      <w:r w:rsidRPr="00A06148">
        <w:rPr>
          <w:rFonts w:ascii="Arial" w:hAnsi="Arial" w:cs="Arial"/>
          <w:color w:val="000000"/>
          <w:szCs w:val="24"/>
        </w:rPr>
        <w:t>In Brazilian Tax Law the instalments are a way to settle the debt and suspend the enforceability of credit, and it could be analysed on it</w:t>
      </w:r>
      <w:r w:rsidR="008A5025">
        <w:rPr>
          <w:rFonts w:ascii="Arial" w:hAnsi="Arial" w:cs="Arial"/>
          <w:color w:val="000000"/>
          <w:szCs w:val="24"/>
        </w:rPr>
        <w:t>’</w:t>
      </w:r>
      <w:r w:rsidRPr="00A06148">
        <w:rPr>
          <w:rFonts w:ascii="Arial" w:hAnsi="Arial" w:cs="Arial"/>
          <w:color w:val="000000"/>
          <w:szCs w:val="24"/>
        </w:rPr>
        <w:t>s legal and extra-legal effects in the conduct of taxpayers. This paper aims to analyse some extra-legal effects of the instalments of tax debt faced to the strategic behaviour of large debtors capable of paying. It will be done through a descriptive analysis based on an interdisciplinary approach and quali-quantitative by means of inductive reasoning. For this, the Game Theory in this research will be a subsidy to understanding economic analysis of law in relation to the strategic taxation of large debtors capable of paying. Moreover, it is possible to observe that the instalments have not shown as an effective way in the collection since whenever possible, the adherent can give up or migrate from one to the other according to what is more advantageous. Thus, the guarantee demonstrates a good option to reduce the strategic performance of debtors with high capacity in the field of instalments, avoiding the games between creditor and debtor, since interest and discounts are shown to be advantageous for those who have the ability to pay.  KEY WORDS: Tax installments. Game theory. Economic analysis of law.</w:t>
      </w:r>
    </w:p>
    <w:p w14:paraId="34267837" w14:textId="77777777" w:rsidR="001106F0" w:rsidRDefault="001106F0" w:rsidP="00A06148">
      <w:pPr>
        <w:spacing w:before="100" w:beforeAutospacing="1"/>
        <w:ind w:firstLine="0"/>
        <w:rPr>
          <w:rFonts w:ascii="Arial" w:hAnsi="Arial" w:cs="Arial"/>
          <w:color w:val="000000"/>
          <w:szCs w:val="24"/>
        </w:rPr>
      </w:pPr>
    </w:p>
    <w:p w14:paraId="4BE87100" w14:textId="539FCAB5" w:rsidR="00D342B5" w:rsidRDefault="000F3521" w:rsidP="001106F0">
      <w:pPr>
        <w:ind w:firstLine="0"/>
        <w:rPr>
          <w:rFonts w:ascii="Arial" w:hAnsi="Arial" w:cs="Arial"/>
          <w:b/>
          <w:szCs w:val="24"/>
        </w:rPr>
      </w:pPr>
      <w:r w:rsidRPr="00907988">
        <w:rPr>
          <w:rFonts w:ascii="Arial" w:hAnsi="Arial" w:cs="Arial"/>
          <w:b/>
          <w:szCs w:val="24"/>
        </w:rPr>
        <w:t>1 INTRODUÇÃO</w:t>
      </w:r>
    </w:p>
    <w:p w14:paraId="42DEB2AB" w14:textId="77777777" w:rsidR="001106F0" w:rsidRPr="00907988" w:rsidRDefault="001106F0" w:rsidP="001106F0">
      <w:pPr>
        <w:ind w:firstLine="0"/>
        <w:rPr>
          <w:rFonts w:ascii="Arial" w:hAnsi="Arial" w:cs="Arial"/>
          <w:b/>
          <w:szCs w:val="24"/>
        </w:rPr>
      </w:pPr>
    </w:p>
    <w:p w14:paraId="3A41BAAE" w14:textId="01C49265" w:rsidR="001873E1" w:rsidRPr="00907988" w:rsidRDefault="00DA206A" w:rsidP="001106F0">
      <w:pPr>
        <w:rPr>
          <w:rFonts w:ascii="Arial" w:hAnsi="Arial" w:cs="Arial"/>
          <w:szCs w:val="24"/>
        </w:rPr>
      </w:pPr>
      <w:r>
        <w:rPr>
          <w:rFonts w:ascii="Arial" w:hAnsi="Arial" w:cs="Arial"/>
          <w:szCs w:val="24"/>
        </w:rPr>
        <w:t>No</w:t>
      </w:r>
      <w:r w:rsidR="001873E1" w:rsidRPr="00907988">
        <w:rPr>
          <w:rFonts w:ascii="Arial" w:hAnsi="Arial" w:cs="Arial"/>
          <w:szCs w:val="24"/>
        </w:rPr>
        <w:t xml:space="preserve"> Brasil, os parcelamentos são uma forma de regularizar o débito e suspender a exigibilidade do crédito. Existem parcelamentos na seara tributária Municipal, Estadual e Federal, sendo os instituídos no âmbito Federal objetos deste estudo especificamente. Os parcelamentos podem ser analisados em efeitos jurídicos e extrajurídicos, os quais estes, por sua vez, podem influenciar direta e indiretamente a conduta dos contribuintes com grande capacidade de pagamentos ante os parcelamentos. Desde a instituição de parcelamentos no Brasil, existe a possibilidade de todos aqueles devedores de capacidade para pagar seus tributos regularmente, agir de forma perspicaz e enxergar a tributação de forma estratégica, um </w:t>
      </w:r>
      <w:r w:rsidR="001873E1" w:rsidRPr="00907988">
        <w:rPr>
          <w:rFonts w:ascii="Arial" w:hAnsi="Arial" w:cs="Arial"/>
          <w:szCs w:val="24"/>
        </w:rPr>
        <w:lastRenderedPageBreak/>
        <w:t xml:space="preserve">comportamento diferente daqueles que pagam seus tributos no momento estipulado por ocasião do lançamento.  </w:t>
      </w:r>
    </w:p>
    <w:p w14:paraId="06A37B02" w14:textId="77777777" w:rsidR="001873E1" w:rsidRPr="00907988" w:rsidRDefault="001873E1"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Cessar, por qualquer motivo, o adimplemento das parcelas e esperar a possibilidade de serem cobrados, ou, até mesmo, aderir a novo programa de parcelamento quando cobrado após a rescisão do parcelamento anterior – possivelmente até em condições mais favoráveis que o programa aderido anteriormente, oportuniza a esquiva do contribuinte de colocar em risco os bens ou direitos da empresa quando cobrada em âmbito administrativo ou em sede de processo de execução fiscal. Apenas uma das formas mais vantajosas para sair à frente dos demais concorrentes, pois, é dedutível que, analisando de forma simplória essa situação, os que pagam seus tributos regularmente se submetendo à alta carga tributária vigente, findam contribuindo mais em comparação com aqueles que não pagam os seus tributos ordinariamente.</w:t>
      </w:r>
    </w:p>
    <w:p w14:paraId="48B2AE61" w14:textId="328828D8" w:rsidR="001873E1" w:rsidRPr="00907988" w:rsidRDefault="001873E1"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Este estudo destacará a possibilidade de o contribuinte tributar estrategicamente – jogar – com o credor da dívida. Esse comportamento pode ser explicado pela teoria dos jogos no âmbito dos parcelamentos. A Teoria dos Jogos é considerada um instrumento utilizado para auxiliar na compreensão ou na previsão dos comportamentos das pessoas quand</w:t>
      </w:r>
      <w:r w:rsidR="00E45604" w:rsidRPr="00907988">
        <w:rPr>
          <w:rFonts w:ascii="Arial" w:hAnsi="Arial" w:cs="Arial"/>
          <w:sz w:val="24"/>
          <w:szCs w:val="24"/>
        </w:rPr>
        <w:t>o</w:t>
      </w:r>
      <w:r w:rsidRPr="00907988">
        <w:rPr>
          <w:rFonts w:ascii="Arial" w:hAnsi="Arial" w:cs="Arial"/>
          <w:sz w:val="24"/>
          <w:szCs w:val="24"/>
        </w:rPr>
        <w:t xml:space="preserve"> há interesses em conflito. A teoria dos jogos parte da racionalidade a qual </w:t>
      </w:r>
      <w:r w:rsidR="00923755" w:rsidRPr="00907988">
        <w:rPr>
          <w:rFonts w:ascii="Arial" w:hAnsi="Arial" w:cs="Arial"/>
          <w:sz w:val="24"/>
          <w:szCs w:val="24"/>
        </w:rPr>
        <w:t xml:space="preserve">o indivíduo </w:t>
      </w:r>
      <w:r w:rsidRPr="00907988">
        <w:rPr>
          <w:rFonts w:ascii="Arial" w:hAnsi="Arial" w:cs="Arial"/>
          <w:sz w:val="24"/>
          <w:szCs w:val="24"/>
        </w:rPr>
        <w:t xml:space="preserve">permite pensar e escolher de modo a atingir a forma menos custosa os objetivos pretendidos. </w:t>
      </w:r>
    </w:p>
    <w:p w14:paraId="63AE8C1A" w14:textId="7206142A" w:rsidR="001873E1" w:rsidRPr="00907988" w:rsidRDefault="001873E1"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A inquisição que orientará o desenvolvimento deste estudo está concentrada na seguinte problemática: a teoria dos jogos pode ser usada para compreender o comportamento dos grandes contribuintes com capacidade de pagamento ante ao fenômeno jurídico do parcelamento de dívidas tributárias?</w:t>
      </w:r>
    </w:p>
    <w:p w14:paraId="764A0317" w14:textId="1D370A6B" w:rsidR="001873E1" w:rsidRPr="00907988" w:rsidRDefault="007377B2" w:rsidP="001106F0">
      <w:pPr>
        <w:rPr>
          <w:rFonts w:ascii="Arial" w:hAnsi="Arial" w:cs="Arial"/>
          <w:color w:val="000000"/>
          <w:szCs w:val="24"/>
        </w:rPr>
      </w:pPr>
      <w:r w:rsidRPr="00907988">
        <w:rPr>
          <w:rFonts w:ascii="Arial" w:hAnsi="Arial" w:cs="Arial"/>
          <w:color w:val="000000"/>
          <w:szCs w:val="24"/>
        </w:rPr>
        <w:t>Este trabalho tem por objetivo analisar</w:t>
      </w:r>
      <w:r w:rsidR="006B7235">
        <w:rPr>
          <w:rFonts w:ascii="Arial" w:hAnsi="Arial" w:cs="Arial"/>
          <w:color w:val="000000"/>
          <w:szCs w:val="24"/>
        </w:rPr>
        <w:t xml:space="preserve"> alguns</w:t>
      </w:r>
      <w:r w:rsidRPr="00907988">
        <w:rPr>
          <w:rFonts w:ascii="Arial" w:hAnsi="Arial" w:cs="Arial"/>
          <w:color w:val="000000"/>
          <w:szCs w:val="24"/>
        </w:rPr>
        <w:t xml:space="preserve"> </w:t>
      </w:r>
      <w:r w:rsidR="006B7235">
        <w:rPr>
          <w:rFonts w:ascii="Arial" w:hAnsi="Arial" w:cs="Arial"/>
          <w:color w:val="000000"/>
          <w:szCs w:val="24"/>
        </w:rPr>
        <w:t>d</w:t>
      </w:r>
      <w:r w:rsidRPr="00907988">
        <w:rPr>
          <w:rFonts w:ascii="Arial" w:hAnsi="Arial" w:cs="Arial"/>
          <w:color w:val="000000"/>
          <w:szCs w:val="24"/>
        </w:rPr>
        <w:t>os efeitos jurídicos e extrajurídicos dos parcelamentos da dívida tributária, por meio da Teoria dos Jogos como subsídio para a compreensão do comportamento dos grandes devedores, bem como, descrever a origem, o conceito e a previsão legal do parcelamento no ordenamento jurídico brasileiro, entender a Teoria dos Jogos como subsídio à compreensão da análise econômica do direito em relação à tributação estratégica dos grandes devedores, e por fim, verificar a ação dos grandes devedores com capacidade de satisfação da dívida ante as possíveis vantagens econômicas dos parcelamentos.</w:t>
      </w:r>
    </w:p>
    <w:p w14:paraId="3DE5F1B3" w14:textId="358D8AA6" w:rsidR="00EB1F6A" w:rsidRDefault="007377B2" w:rsidP="001106F0">
      <w:pPr>
        <w:rPr>
          <w:rFonts w:ascii="Arial" w:hAnsi="Arial" w:cs="Arial"/>
          <w:color w:val="000000"/>
          <w:szCs w:val="24"/>
        </w:rPr>
      </w:pPr>
      <w:r w:rsidRPr="00907988">
        <w:rPr>
          <w:rFonts w:ascii="Arial" w:hAnsi="Arial" w:cs="Arial"/>
          <w:color w:val="000000"/>
          <w:szCs w:val="24"/>
        </w:rPr>
        <w:lastRenderedPageBreak/>
        <w:t xml:space="preserve">Refletir sobre a temática é de grande monta, uma vez que o cenário científico atual é escasso </w:t>
      </w:r>
      <w:r w:rsidR="00BE2D34" w:rsidRPr="00907988">
        <w:rPr>
          <w:rFonts w:ascii="Arial" w:hAnsi="Arial" w:cs="Arial"/>
          <w:color w:val="000000"/>
          <w:szCs w:val="24"/>
        </w:rPr>
        <w:t>a respeito do aspecto interdisciplinar aqui abordado entre a economia,</w:t>
      </w:r>
      <w:r w:rsidR="00974B82">
        <w:rPr>
          <w:rFonts w:ascii="Arial" w:hAnsi="Arial" w:cs="Arial"/>
          <w:color w:val="000000"/>
          <w:szCs w:val="24"/>
        </w:rPr>
        <w:t xml:space="preserve"> o</w:t>
      </w:r>
      <w:r w:rsidR="00BE2D34" w:rsidRPr="00907988">
        <w:rPr>
          <w:rFonts w:ascii="Arial" w:hAnsi="Arial" w:cs="Arial"/>
          <w:color w:val="000000"/>
          <w:szCs w:val="24"/>
        </w:rPr>
        <w:t xml:space="preserve"> direito e </w:t>
      </w:r>
      <w:r w:rsidR="00974B82">
        <w:rPr>
          <w:rFonts w:ascii="Arial" w:hAnsi="Arial" w:cs="Arial"/>
          <w:color w:val="000000"/>
          <w:szCs w:val="24"/>
        </w:rPr>
        <w:t xml:space="preserve">a </w:t>
      </w:r>
      <w:r w:rsidR="00BE2D34" w:rsidRPr="00907988">
        <w:rPr>
          <w:rFonts w:ascii="Arial" w:hAnsi="Arial" w:cs="Arial"/>
          <w:color w:val="000000"/>
          <w:szCs w:val="24"/>
        </w:rPr>
        <w:t xml:space="preserve">zetética do ponto de vista do direito posto, contribuindo, assim, este trabalho para a ciência e o pensamento jurídico.  </w:t>
      </w:r>
      <w:r w:rsidRPr="00907988">
        <w:rPr>
          <w:rFonts w:ascii="Arial" w:hAnsi="Arial" w:cs="Arial"/>
          <w:color w:val="000000"/>
          <w:szCs w:val="24"/>
        </w:rPr>
        <w:t>A metodologia utilizada para elaboração des</w:t>
      </w:r>
      <w:r w:rsidR="00BE2D34" w:rsidRPr="00907988">
        <w:rPr>
          <w:rFonts w:ascii="Arial" w:hAnsi="Arial" w:cs="Arial"/>
          <w:color w:val="000000"/>
          <w:szCs w:val="24"/>
        </w:rPr>
        <w:t>te trabalho</w:t>
      </w:r>
      <w:r w:rsidRPr="00907988">
        <w:rPr>
          <w:rFonts w:ascii="Arial" w:hAnsi="Arial" w:cs="Arial"/>
          <w:color w:val="000000"/>
          <w:szCs w:val="24"/>
        </w:rPr>
        <w:t xml:space="preserve"> foi através de uma pesquisa descritiva, por meio de uma abordagem interdisciplinar, mista e quali-quantitativa, mediante um raciocínio indutivo</w:t>
      </w:r>
      <w:r w:rsidR="00974B82">
        <w:rPr>
          <w:rFonts w:ascii="Arial" w:hAnsi="Arial" w:cs="Arial"/>
          <w:color w:val="000000"/>
          <w:szCs w:val="24"/>
        </w:rPr>
        <w:t xml:space="preserve">, </w:t>
      </w:r>
      <w:r w:rsidRPr="00907988">
        <w:rPr>
          <w:rFonts w:ascii="Arial" w:hAnsi="Arial" w:cs="Arial"/>
          <w:color w:val="000000"/>
          <w:szCs w:val="24"/>
        </w:rPr>
        <w:t xml:space="preserve">tendo suas fontes </w:t>
      </w:r>
      <w:r w:rsidR="00D36D14" w:rsidRPr="00907988">
        <w:rPr>
          <w:rFonts w:ascii="Arial" w:hAnsi="Arial" w:cs="Arial"/>
          <w:color w:val="000000"/>
          <w:szCs w:val="24"/>
        </w:rPr>
        <w:t>advindas</w:t>
      </w:r>
      <w:r w:rsidRPr="00907988">
        <w:rPr>
          <w:rFonts w:ascii="Arial" w:hAnsi="Arial" w:cs="Arial"/>
          <w:color w:val="000000"/>
          <w:szCs w:val="24"/>
        </w:rPr>
        <w:t xml:space="preserve"> do direito posto, a doutrina e as jurisprudências. </w:t>
      </w:r>
    </w:p>
    <w:p w14:paraId="31955C7C" w14:textId="77777777" w:rsidR="001106F0" w:rsidRPr="00907988" w:rsidRDefault="001106F0" w:rsidP="001106F0">
      <w:pPr>
        <w:rPr>
          <w:rFonts w:ascii="Arial" w:hAnsi="Arial" w:cs="Arial"/>
          <w:color w:val="000000"/>
          <w:szCs w:val="24"/>
        </w:rPr>
      </w:pPr>
    </w:p>
    <w:p w14:paraId="246B6F6F" w14:textId="65DC37CF" w:rsidR="00524A95" w:rsidRDefault="00ED2BF5" w:rsidP="001106F0">
      <w:pPr>
        <w:pStyle w:val="Padro"/>
        <w:spacing w:after="0" w:line="360" w:lineRule="auto"/>
        <w:jc w:val="both"/>
        <w:rPr>
          <w:rFonts w:ascii="Arial" w:hAnsi="Arial" w:cs="Arial"/>
          <w:b/>
          <w:sz w:val="24"/>
          <w:szCs w:val="24"/>
        </w:rPr>
      </w:pPr>
      <w:r w:rsidRPr="00907988">
        <w:rPr>
          <w:rFonts w:ascii="Arial" w:hAnsi="Arial" w:cs="Arial"/>
          <w:b/>
          <w:sz w:val="24"/>
          <w:szCs w:val="24"/>
        </w:rPr>
        <w:t>2</w:t>
      </w:r>
      <w:r w:rsidR="00D96DB1" w:rsidRPr="00907988">
        <w:rPr>
          <w:rFonts w:ascii="Arial" w:hAnsi="Arial" w:cs="Arial"/>
          <w:b/>
          <w:sz w:val="24"/>
          <w:szCs w:val="24"/>
        </w:rPr>
        <w:t xml:space="preserve"> PARCELAMENT</w:t>
      </w:r>
      <w:r w:rsidR="00BA64A2" w:rsidRPr="00907988">
        <w:rPr>
          <w:rFonts w:ascii="Arial" w:hAnsi="Arial" w:cs="Arial"/>
          <w:b/>
          <w:sz w:val="24"/>
          <w:szCs w:val="24"/>
        </w:rPr>
        <w:t>O</w:t>
      </w:r>
      <w:r w:rsidR="00357324" w:rsidRPr="00907988">
        <w:rPr>
          <w:rFonts w:ascii="Arial" w:hAnsi="Arial" w:cs="Arial"/>
          <w:b/>
          <w:sz w:val="24"/>
          <w:szCs w:val="24"/>
        </w:rPr>
        <w:t xml:space="preserve"> NO</w:t>
      </w:r>
      <w:r w:rsidR="00BA64A2" w:rsidRPr="00907988">
        <w:rPr>
          <w:rFonts w:ascii="Arial" w:hAnsi="Arial" w:cs="Arial"/>
          <w:b/>
          <w:sz w:val="24"/>
          <w:szCs w:val="24"/>
        </w:rPr>
        <w:t xml:space="preserve"> ORD</w:t>
      </w:r>
      <w:r w:rsidR="00357324" w:rsidRPr="00907988">
        <w:rPr>
          <w:rFonts w:ascii="Arial" w:hAnsi="Arial" w:cs="Arial"/>
          <w:b/>
          <w:sz w:val="24"/>
          <w:szCs w:val="24"/>
        </w:rPr>
        <w:t>EN</w:t>
      </w:r>
      <w:r w:rsidR="00BA64A2" w:rsidRPr="00907988">
        <w:rPr>
          <w:rFonts w:ascii="Arial" w:hAnsi="Arial" w:cs="Arial"/>
          <w:b/>
          <w:sz w:val="24"/>
          <w:szCs w:val="24"/>
        </w:rPr>
        <w:t>AMENTO JURÍDICO BRASILEIRO</w:t>
      </w:r>
    </w:p>
    <w:p w14:paraId="07610F51" w14:textId="77777777" w:rsidR="001106F0" w:rsidRDefault="001106F0" w:rsidP="001106F0">
      <w:pPr>
        <w:pStyle w:val="Padro"/>
        <w:spacing w:after="0" w:line="360" w:lineRule="auto"/>
        <w:jc w:val="both"/>
        <w:rPr>
          <w:rFonts w:ascii="Arial" w:hAnsi="Arial" w:cs="Arial"/>
          <w:b/>
          <w:sz w:val="24"/>
          <w:szCs w:val="24"/>
        </w:rPr>
      </w:pPr>
    </w:p>
    <w:p w14:paraId="3D3EE67B" w14:textId="2DB9085F" w:rsidR="00D96DB1" w:rsidRPr="00907988" w:rsidRDefault="00D36D14" w:rsidP="001106F0">
      <w:pPr>
        <w:rPr>
          <w:rFonts w:ascii="Arial" w:hAnsi="Arial" w:cs="Arial"/>
        </w:rPr>
      </w:pPr>
      <w:r w:rsidRPr="00907988">
        <w:rPr>
          <w:rFonts w:ascii="Arial" w:hAnsi="Arial" w:cs="Arial"/>
        </w:rPr>
        <w:t>O</w:t>
      </w:r>
      <w:r w:rsidR="00D96DB1" w:rsidRPr="00907988">
        <w:rPr>
          <w:rFonts w:ascii="Arial" w:hAnsi="Arial" w:cs="Arial"/>
        </w:rPr>
        <w:t xml:space="preserve"> parcelamento tributário surgiu no</w:t>
      </w:r>
      <w:r w:rsidR="009918F7" w:rsidRPr="00907988">
        <w:rPr>
          <w:rFonts w:ascii="Arial" w:hAnsi="Arial" w:cs="Arial"/>
        </w:rPr>
        <w:t xml:space="preserve"> ordenamento jurídico pátrio</w:t>
      </w:r>
      <w:r w:rsidR="00D96DB1" w:rsidRPr="00907988">
        <w:rPr>
          <w:rFonts w:ascii="Arial" w:hAnsi="Arial" w:cs="Arial"/>
        </w:rPr>
        <w:t>, por meio da Lei Complementar nº 104, de 10.01.2001,</w:t>
      </w:r>
      <w:r w:rsidR="00E13205" w:rsidRPr="00907988">
        <w:rPr>
          <w:rFonts w:ascii="Arial" w:hAnsi="Arial" w:cs="Arial"/>
        </w:rPr>
        <w:t xml:space="preserve"> acrescentando o art. 155-A ao Capítulo III, que trata da Suspensão do Crédito Tributário, </w:t>
      </w:r>
      <w:r w:rsidR="00974B82">
        <w:rPr>
          <w:rFonts w:ascii="Arial" w:hAnsi="Arial" w:cs="Arial"/>
        </w:rPr>
        <w:t>n</w:t>
      </w:r>
      <w:r w:rsidR="00E13205" w:rsidRPr="00907988">
        <w:rPr>
          <w:rFonts w:ascii="Arial" w:hAnsi="Arial" w:cs="Arial"/>
        </w:rPr>
        <w:t xml:space="preserve">o Código Tributário Nacional, que até aquele momento versava apenas sobre a moratória. </w:t>
      </w:r>
    </w:p>
    <w:p w14:paraId="21BC5C6D" w14:textId="4A3199C1" w:rsidR="00056127" w:rsidRPr="00907988" w:rsidRDefault="00E13205" w:rsidP="001106F0">
      <w:pPr>
        <w:rPr>
          <w:rFonts w:ascii="Arial" w:hAnsi="Arial" w:cs="Arial"/>
        </w:rPr>
      </w:pPr>
      <w:r w:rsidRPr="00907988">
        <w:rPr>
          <w:rFonts w:ascii="Arial" w:hAnsi="Arial" w:cs="Arial"/>
        </w:rPr>
        <w:t>P</w:t>
      </w:r>
      <w:r w:rsidR="00D96DB1" w:rsidRPr="00907988">
        <w:rPr>
          <w:rFonts w:ascii="Arial" w:hAnsi="Arial" w:cs="Arial"/>
        </w:rPr>
        <w:t>arcelamento</w:t>
      </w:r>
      <w:r w:rsidRPr="00907988">
        <w:rPr>
          <w:rFonts w:ascii="Arial" w:hAnsi="Arial" w:cs="Arial"/>
        </w:rPr>
        <w:t>,</w:t>
      </w:r>
      <w:r w:rsidR="00D96DB1" w:rsidRPr="00907988">
        <w:rPr>
          <w:rFonts w:ascii="Arial" w:hAnsi="Arial" w:cs="Arial"/>
        </w:rPr>
        <w:t xml:space="preserve"> </w:t>
      </w:r>
      <w:r w:rsidRPr="00907988">
        <w:rPr>
          <w:rFonts w:ascii="Arial" w:hAnsi="Arial" w:cs="Arial"/>
        </w:rPr>
        <w:t xml:space="preserve">de modo geral no direito brasileiro, </w:t>
      </w:r>
      <w:r w:rsidR="00D96DB1" w:rsidRPr="00907988">
        <w:rPr>
          <w:rFonts w:ascii="Arial" w:hAnsi="Arial" w:cs="Arial"/>
        </w:rPr>
        <w:t>é uma forma de efetuar pagamento em parcelas</w:t>
      </w:r>
      <w:r w:rsidR="00D36D14" w:rsidRPr="00907988">
        <w:rPr>
          <w:rFonts w:ascii="Arial" w:hAnsi="Arial" w:cs="Arial"/>
        </w:rPr>
        <w:t xml:space="preserve"> a </w:t>
      </w:r>
      <w:r w:rsidR="00D96DB1" w:rsidRPr="00907988">
        <w:rPr>
          <w:rFonts w:ascii="Arial" w:hAnsi="Arial" w:cs="Arial"/>
        </w:rPr>
        <w:t>um credor</w:t>
      </w:r>
      <w:r w:rsidR="00056127" w:rsidRPr="00907988">
        <w:rPr>
          <w:rFonts w:ascii="Arial" w:hAnsi="Arial" w:cs="Arial"/>
        </w:rPr>
        <w:t>, e sua previsão no ordenamento jurídico brasileiro vem desde o Código de Processo Civil de 1973 -</w:t>
      </w:r>
      <w:r w:rsidRPr="00907988">
        <w:rPr>
          <w:rFonts w:ascii="Arial" w:hAnsi="Arial" w:cs="Arial"/>
        </w:rPr>
        <w:t xml:space="preserve"> </w:t>
      </w:r>
      <w:r w:rsidR="00056127" w:rsidRPr="00907988">
        <w:rPr>
          <w:rFonts w:ascii="Arial" w:hAnsi="Arial" w:cs="Arial"/>
        </w:rPr>
        <w:t xml:space="preserve">CPC/73, artigo 745-A e mantido no CPC de 2015, no artigo 916, parágrafo 6º. </w:t>
      </w:r>
    </w:p>
    <w:p w14:paraId="05561B8D" w14:textId="0F7BA47F" w:rsidR="000F5561" w:rsidRPr="00907988" w:rsidRDefault="00974B82" w:rsidP="001106F0">
      <w:pPr>
        <w:rPr>
          <w:rFonts w:ascii="Arial" w:hAnsi="Arial" w:cs="Arial"/>
        </w:rPr>
      </w:pPr>
      <w:r>
        <w:rPr>
          <w:rFonts w:ascii="Arial" w:hAnsi="Arial" w:cs="Arial"/>
        </w:rPr>
        <w:t>Também,</w:t>
      </w:r>
      <w:r w:rsidR="00056127" w:rsidRPr="00907988">
        <w:rPr>
          <w:rFonts w:ascii="Arial" w:hAnsi="Arial" w:cs="Arial"/>
        </w:rPr>
        <w:t xml:space="preserve"> foi incluído pela Lei Complementar nº 104, no</w:t>
      </w:r>
      <w:r w:rsidR="000F5561" w:rsidRPr="00907988">
        <w:rPr>
          <w:rFonts w:ascii="Arial" w:hAnsi="Arial" w:cs="Arial"/>
        </w:rPr>
        <w:t xml:space="preserve"> art. 151</w:t>
      </w:r>
      <w:r w:rsidR="00056127" w:rsidRPr="00907988">
        <w:rPr>
          <w:rFonts w:ascii="Arial" w:hAnsi="Arial" w:cs="Arial"/>
        </w:rPr>
        <w:t xml:space="preserve">, </w:t>
      </w:r>
      <w:r w:rsidR="000F5561" w:rsidRPr="00907988">
        <w:rPr>
          <w:rFonts w:ascii="Arial" w:hAnsi="Arial" w:cs="Arial"/>
        </w:rPr>
        <w:t>do Código Tributário Nacional</w:t>
      </w:r>
      <w:r w:rsidR="00056127" w:rsidRPr="00907988">
        <w:rPr>
          <w:rFonts w:ascii="Arial" w:hAnsi="Arial" w:cs="Arial"/>
        </w:rPr>
        <w:t>, o parcelamento tributário no inciso V, juntamente com o artigo 155-A</w:t>
      </w:r>
      <w:r w:rsidR="000F5561" w:rsidRPr="00907988">
        <w:rPr>
          <w:rFonts w:ascii="Arial" w:hAnsi="Arial" w:cs="Arial"/>
        </w:rPr>
        <w:t>.</w:t>
      </w:r>
      <w:r w:rsidR="00D96DB1" w:rsidRPr="00907988">
        <w:rPr>
          <w:rFonts w:ascii="Arial" w:hAnsi="Arial" w:cs="Arial"/>
        </w:rPr>
        <w:t xml:space="preserve"> </w:t>
      </w:r>
      <w:r w:rsidR="000F5561" w:rsidRPr="00907988">
        <w:rPr>
          <w:rFonts w:ascii="Arial" w:hAnsi="Arial" w:cs="Arial"/>
        </w:rPr>
        <w:t>N</w:t>
      </w:r>
      <w:r w:rsidR="00D96DB1" w:rsidRPr="00907988">
        <w:rPr>
          <w:rFonts w:ascii="Arial" w:hAnsi="Arial" w:cs="Arial"/>
        </w:rPr>
        <w:t>o cas</w:t>
      </w:r>
      <w:r w:rsidR="00652117" w:rsidRPr="00907988">
        <w:rPr>
          <w:rFonts w:ascii="Arial" w:hAnsi="Arial" w:cs="Arial"/>
        </w:rPr>
        <w:t>o dos parcelamentos tributários</w:t>
      </w:r>
      <w:r w:rsidR="00004B04" w:rsidRPr="00907988">
        <w:rPr>
          <w:rFonts w:ascii="Arial" w:hAnsi="Arial" w:cs="Arial"/>
        </w:rPr>
        <w:t>,</w:t>
      </w:r>
      <w:r w:rsidR="00652117" w:rsidRPr="00907988">
        <w:rPr>
          <w:rFonts w:ascii="Arial" w:hAnsi="Arial" w:cs="Arial"/>
        </w:rPr>
        <w:t xml:space="preserve"> o contribuinte</w:t>
      </w:r>
      <w:r w:rsidR="00D96DB1" w:rsidRPr="00907988">
        <w:rPr>
          <w:rFonts w:ascii="Arial" w:hAnsi="Arial" w:cs="Arial"/>
        </w:rPr>
        <w:t xml:space="preserve"> efe</w:t>
      </w:r>
      <w:r w:rsidR="00652117" w:rsidRPr="00907988">
        <w:rPr>
          <w:rFonts w:ascii="Arial" w:hAnsi="Arial" w:cs="Arial"/>
        </w:rPr>
        <w:t>tua</w:t>
      </w:r>
      <w:r w:rsidR="00D96DB1" w:rsidRPr="00907988">
        <w:rPr>
          <w:rFonts w:ascii="Arial" w:hAnsi="Arial" w:cs="Arial"/>
        </w:rPr>
        <w:t xml:space="preserve"> o pagamento da dívida tributária de forma parcelada</w:t>
      </w:r>
      <w:r w:rsidR="000F5561" w:rsidRPr="00907988">
        <w:rPr>
          <w:rFonts w:ascii="Arial" w:hAnsi="Arial" w:cs="Arial"/>
        </w:rPr>
        <w:t xml:space="preserve"> ao ente credor</w:t>
      </w:r>
      <w:r w:rsidR="00D96DB1" w:rsidRPr="00907988">
        <w:rPr>
          <w:rFonts w:ascii="Arial" w:hAnsi="Arial" w:cs="Arial"/>
        </w:rPr>
        <w:t>, adiando o pagamento total da dívida</w:t>
      </w:r>
      <w:r w:rsidR="000F5561" w:rsidRPr="00907988">
        <w:rPr>
          <w:rFonts w:ascii="Arial" w:hAnsi="Arial" w:cs="Arial"/>
        </w:rPr>
        <w:t xml:space="preserve">. </w:t>
      </w:r>
    </w:p>
    <w:p w14:paraId="7681A83E" w14:textId="0F722BA9" w:rsidR="001873E1" w:rsidRPr="00907988" w:rsidRDefault="000F5561" w:rsidP="001106F0">
      <w:pPr>
        <w:rPr>
          <w:rFonts w:ascii="Arial" w:hAnsi="Arial" w:cs="Arial"/>
          <w:szCs w:val="24"/>
        </w:rPr>
      </w:pPr>
      <w:r w:rsidRPr="00907988">
        <w:rPr>
          <w:rFonts w:ascii="Arial" w:hAnsi="Arial" w:cs="Arial"/>
          <w:szCs w:val="24"/>
        </w:rPr>
        <w:t>O</w:t>
      </w:r>
      <w:r w:rsidR="00D96DB1" w:rsidRPr="00907988">
        <w:rPr>
          <w:rFonts w:ascii="Arial" w:hAnsi="Arial" w:cs="Arial"/>
          <w:szCs w:val="24"/>
        </w:rPr>
        <w:t xml:space="preserve"> parcelamento constitui uma causa autônoma de suspensão da exig</w:t>
      </w:r>
      <w:r w:rsidR="00E70A44" w:rsidRPr="00907988">
        <w:rPr>
          <w:rFonts w:ascii="Arial" w:hAnsi="Arial" w:cs="Arial"/>
          <w:szCs w:val="24"/>
        </w:rPr>
        <w:t>ibilidade do crédito tributário</w:t>
      </w:r>
      <w:r w:rsidR="00D96DB1" w:rsidRPr="00907988">
        <w:rPr>
          <w:rFonts w:ascii="Arial" w:hAnsi="Arial" w:cs="Arial"/>
          <w:szCs w:val="24"/>
        </w:rPr>
        <w:t>. A concessão de parcelamento depende de lei específica da pessoa política competente para criar o tributo, lei esta que deverá estabelecer as condições de adesão, os prazos e o número máximo de parcelas em que a dívida pode ser dividida</w:t>
      </w:r>
      <w:r w:rsidRPr="00907988">
        <w:rPr>
          <w:rFonts w:ascii="Arial" w:hAnsi="Arial" w:cs="Arial"/>
          <w:szCs w:val="24"/>
        </w:rPr>
        <w:t>.</w:t>
      </w:r>
    </w:p>
    <w:p w14:paraId="635E7BDA" w14:textId="3CFFE040" w:rsidR="00D96DB1" w:rsidRPr="00907988" w:rsidRDefault="00D96DB1" w:rsidP="001106F0">
      <w:pPr>
        <w:rPr>
          <w:rFonts w:ascii="Arial" w:hAnsi="Arial" w:cs="Arial"/>
          <w:szCs w:val="24"/>
        </w:rPr>
      </w:pPr>
      <w:r w:rsidRPr="00907988">
        <w:rPr>
          <w:rFonts w:ascii="Arial" w:hAnsi="Arial" w:cs="Arial"/>
          <w:szCs w:val="24"/>
        </w:rPr>
        <w:t xml:space="preserve">O parcelamento pode ser dividido em dois grupos: parcelamento convencional e os parcelamentos </w:t>
      </w:r>
      <w:r w:rsidR="000F5561" w:rsidRPr="00907988">
        <w:rPr>
          <w:rFonts w:ascii="Arial" w:hAnsi="Arial" w:cs="Arial"/>
          <w:szCs w:val="24"/>
        </w:rPr>
        <w:t>especiais</w:t>
      </w:r>
      <w:r w:rsidRPr="00907988">
        <w:rPr>
          <w:rFonts w:ascii="Arial" w:hAnsi="Arial" w:cs="Arial"/>
          <w:szCs w:val="24"/>
        </w:rPr>
        <w:t>.</w:t>
      </w:r>
      <w:r w:rsidR="00B259B0" w:rsidRPr="00907988">
        <w:rPr>
          <w:rFonts w:ascii="Arial" w:hAnsi="Arial" w:cs="Arial"/>
          <w:szCs w:val="24"/>
        </w:rPr>
        <w:t xml:space="preserve"> </w:t>
      </w:r>
      <w:r w:rsidRPr="00907988">
        <w:rPr>
          <w:rFonts w:ascii="Arial" w:hAnsi="Arial" w:cs="Arial"/>
          <w:szCs w:val="24"/>
        </w:rPr>
        <w:t>O parcelamento convencional, disciplinado nos art</w:t>
      </w:r>
      <w:r w:rsidR="00974B82">
        <w:rPr>
          <w:rFonts w:ascii="Arial" w:hAnsi="Arial" w:cs="Arial"/>
          <w:szCs w:val="24"/>
        </w:rPr>
        <w:t>igos</w:t>
      </w:r>
      <w:r w:rsidRPr="00907988">
        <w:rPr>
          <w:rFonts w:ascii="Arial" w:hAnsi="Arial" w:cs="Arial"/>
          <w:szCs w:val="24"/>
        </w:rPr>
        <w:t xml:space="preserve"> 10 a 14-F da Lei nº 10.522, de 19 de julho de 2002, está sempre disponível ao contribuinte e tem por finalidade atender às situações de normalid</w:t>
      </w:r>
      <w:r w:rsidR="00E31581" w:rsidRPr="00907988">
        <w:rPr>
          <w:rFonts w:ascii="Arial" w:hAnsi="Arial" w:cs="Arial"/>
          <w:szCs w:val="24"/>
        </w:rPr>
        <w:t>ade institucional</w:t>
      </w:r>
      <w:r w:rsidRPr="00907988">
        <w:rPr>
          <w:rFonts w:ascii="Arial" w:hAnsi="Arial" w:cs="Arial"/>
          <w:szCs w:val="24"/>
        </w:rPr>
        <w:t xml:space="preserve">. Assim, a possibilidade de parcelamento convencional se prolonga no tempo e permite </w:t>
      </w:r>
      <w:r w:rsidRPr="00907988">
        <w:rPr>
          <w:rFonts w:ascii="Arial" w:hAnsi="Arial" w:cs="Arial"/>
          <w:szCs w:val="24"/>
        </w:rPr>
        <w:lastRenderedPageBreak/>
        <w:t>parcelar o débito vencido sem delimitar perío</w:t>
      </w:r>
      <w:r w:rsidR="00E31581" w:rsidRPr="00907988">
        <w:rPr>
          <w:rFonts w:ascii="Arial" w:hAnsi="Arial" w:cs="Arial"/>
          <w:szCs w:val="24"/>
        </w:rPr>
        <w:t>dos de vencimentos (</w:t>
      </w:r>
      <w:r w:rsidR="000F5561" w:rsidRPr="00907988">
        <w:rPr>
          <w:rFonts w:ascii="Arial" w:hAnsi="Arial" w:cs="Arial"/>
          <w:szCs w:val="24"/>
        </w:rPr>
        <w:t>Receita Federal do Brasil</w:t>
      </w:r>
      <w:r w:rsidR="00E31581" w:rsidRPr="00907988">
        <w:rPr>
          <w:rFonts w:ascii="Arial" w:hAnsi="Arial" w:cs="Arial"/>
          <w:szCs w:val="24"/>
        </w:rPr>
        <w:t xml:space="preserve">, </w:t>
      </w:r>
      <w:r w:rsidR="000F5561" w:rsidRPr="00907988">
        <w:rPr>
          <w:rFonts w:ascii="Arial" w:hAnsi="Arial" w:cs="Arial"/>
          <w:szCs w:val="24"/>
        </w:rPr>
        <w:t xml:space="preserve">RFB, </w:t>
      </w:r>
      <w:r w:rsidR="00E31581" w:rsidRPr="00907988">
        <w:rPr>
          <w:rFonts w:ascii="Arial" w:hAnsi="Arial" w:cs="Arial"/>
          <w:szCs w:val="24"/>
        </w:rPr>
        <w:t>2017</w:t>
      </w:r>
      <w:r w:rsidRPr="00907988">
        <w:rPr>
          <w:rFonts w:ascii="Arial" w:hAnsi="Arial" w:cs="Arial"/>
          <w:szCs w:val="24"/>
        </w:rPr>
        <w:t>).</w:t>
      </w:r>
    </w:p>
    <w:p w14:paraId="6AE954D1" w14:textId="085C86D5" w:rsidR="00D36D14" w:rsidRPr="00907988" w:rsidRDefault="00D96DB1" w:rsidP="001106F0">
      <w:pPr>
        <w:rPr>
          <w:rFonts w:ascii="Arial" w:hAnsi="Arial" w:cs="Arial"/>
          <w:szCs w:val="24"/>
        </w:rPr>
      </w:pPr>
      <w:r w:rsidRPr="00907988">
        <w:rPr>
          <w:rFonts w:ascii="Arial" w:hAnsi="Arial" w:cs="Arial"/>
          <w:szCs w:val="24"/>
        </w:rPr>
        <w:t>Já os parcelamentos especiais são aqueles que trazem regras excepcionais àquelas previstas para o parcelamento convencional, ou seja, seu propósito seria tratar de situações que fogem da normalidade institucional. Costuma ser fixado limite de prazo para adesão e restrição quanto aos débitos que podem ser objeto do parcelamento, conforme seus períodos de vencimento e/ou outro requisito que limite a inclusão de determinado d</w:t>
      </w:r>
      <w:r w:rsidR="00E31581" w:rsidRPr="00907988">
        <w:rPr>
          <w:rFonts w:ascii="Arial" w:hAnsi="Arial" w:cs="Arial"/>
          <w:szCs w:val="24"/>
        </w:rPr>
        <w:t>ébito no parcelamento (</w:t>
      </w:r>
      <w:r w:rsidR="000F5561" w:rsidRPr="00907988">
        <w:rPr>
          <w:rFonts w:ascii="Arial" w:hAnsi="Arial" w:cs="Arial"/>
          <w:szCs w:val="24"/>
        </w:rPr>
        <w:t>R</w:t>
      </w:r>
      <w:r w:rsidR="00E13205" w:rsidRPr="00907988">
        <w:rPr>
          <w:rFonts w:ascii="Arial" w:hAnsi="Arial" w:cs="Arial"/>
          <w:szCs w:val="24"/>
        </w:rPr>
        <w:t>FB,</w:t>
      </w:r>
      <w:r w:rsidR="00E31581" w:rsidRPr="00907988">
        <w:rPr>
          <w:rFonts w:ascii="Arial" w:hAnsi="Arial" w:cs="Arial"/>
          <w:szCs w:val="24"/>
        </w:rPr>
        <w:t xml:space="preserve"> 2017</w:t>
      </w:r>
      <w:r w:rsidRPr="00907988">
        <w:rPr>
          <w:rFonts w:ascii="Arial" w:hAnsi="Arial" w:cs="Arial"/>
          <w:szCs w:val="24"/>
        </w:rPr>
        <w:t>).</w:t>
      </w:r>
    </w:p>
    <w:p w14:paraId="2C718B9D" w14:textId="77777777" w:rsidR="000F5561" w:rsidRPr="00907988" w:rsidRDefault="000F5561" w:rsidP="001106F0">
      <w:pPr>
        <w:rPr>
          <w:rFonts w:ascii="Arial" w:hAnsi="Arial" w:cs="Arial"/>
          <w:szCs w:val="24"/>
        </w:rPr>
      </w:pPr>
      <w:r w:rsidRPr="00907988">
        <w:rPr>
          <w:rFonts w:ascii="Arial" w:hAnsi="Arial" w:cs="Arial"/>
          <w:szCs w:val="24"/>
        </w:rPr>
        <w:t xml:space="preserve">Conforme apresenta Antunes (2019), os parcelamentos no âmbito federal podem ser divididos nas seguintes categorias: </w:t>
      </w:r>
    </w:p>
    <w:p w14:paraId="0C6788A9" w14:textId="77777777" w:rsidR="000F5561" w:rsidRPr="00907988" w:rsidRDefault="000F5561" w:rsidP="001106F0">
      <w:pPr>
        <w:rPr>
          <w:rFonts w:ascii="Arial" w:hAnsi="Arial" w:cs="Arial"/>
          <w:szCs w:val="24"/>
        </w:rPr>
      </w:pPr>
      <w:r w:rsidRPr="00907988">
        <w:rPr>
          <w:rFonts w:ascii="Arial" w:hAnsi="Arial" w:cs="Arial"/>
          <w:szCs w:val="24"/>
        </w:rPr>
        <w:t xml:space="preserve">1. </w:t>
      </w:r>
      <w:r w:rsidR="00A00B25" w:rsidRPr="00907988">
        <w:rPr>
          <w:rFonts w:ascii="Arial" w:hAnsi="Arial" w:cs="Arial"/>
          <w:szCs w:val="24"/>
        </w:rPr>
        <w:t xml:space="preserve"> p</w:t>
      </w:r>
      <w:r w:rsidR="00FB4381" w:rsidRPr="00907988">
        <w:rPr>
          <w:rFonts w:ascii="Arial" w:hAnsi="Arial" w:cs="Arial"/>
          <w:szCs w:val="24"/>
        </w:rPr>
        <w:t>arcelamento e reparcelamento convencional</w:t>
      </w:r>
      <w:r w:rsidRPr="00907988">
        <w:rPr>
          <w:rFonts w:ascii="Arial" w:hAnsi="Arial" w:cs="Arial"/>
          <w:szCs w:val="24"/>
        </w:rPr>
        <w:t>:</w:t>
      </w:r>
      <w:r w:rsidR="00A00B25" w:rsidRPr="00907988">
        <w:rPr>
          <w:rFonts w:ascii="Arial" w:hAnsi="Arial" w:cs="Arial"/>
          <w:szCs w:val="24"/>
        </w:rPr>
        <w:t xml:space="preserve"> </w:t>
      </w:r>
      <w:r w:rsidR="000D5792" w:rsidRPr="00907988">
        <w:rPr>
          <w:rFonts w:ascii="Arial" w:hAnsi="Arial" w:cs="Arial"/>
          <w:szCs w:val="24"/>
        </w:rPr>
        <w:t xml:space="preserve">disponível sempre ao contribuinte e </w:t>
      </w:r>
      <w:r w:rsidR="00A00B25" w:rsidRPr="00907988">
        <w:rPr>
          <w:rFonts w:ascii="Arial" w:hAnsi="Arial" w:cs="Arial"/>
          <w:szCs w:val="24"/>
        </w:rPr>
        <w:t>que</w:t>
      </w:r>
      <w:r w:rsidR="000D5792" w:rsidRPr="00907988">
        <w:rPr>
          <w:rFonts w:ascii="Arial" w:hAnsi="Arial" w:cs="Arial"/>
          <w:szCs w:val="24"/>
        </w:rPr>
        <w:t>,</w:t>
      </w:r>
      <w:r w:rsidR="00A00B25" w:rsidRPr="00907988">
        <w:rPr>
          <w:rFonts w:ascii="Arial" w:hAnsi="Arial" w:cs="Arial"/>
          <w:szCs w:val="24"/>
        </w:rPr>
        <w:t xml:space="preserve"> por sua vez, passou a exigir garantia para débitos acima de um milhão de reais</w:t>
      </w:r>
      <w:r w:rsidR="000D5792" w:rsidRPr="00907988">
        <w:rPr>
          <w:rFonts w:ascii="Arial" w:hAnsi="Arial" w:cs="Arial"/>
          <w:szCs w:val="24"/>
        </w:rPr>
        <w:t>;</w:t>
      </w:r>
      <w:r w:rsidR="00290DE8" w:rsidRPr="00907988">
        <w:rPr>
          <w:rFonts w:ascii="Arial" w:hAnsi="Arial" w:cs="Arial"/>
          <w:szCs w:val="24"/>
        </w:rPr>
        <w:t xml:space="preserve"> </w:t>
      </w:r>
    </w:p>
    <w:p w14:paraId="26F43033" w14:textId="77777777" w:rsidR="000F5561" w:rsidRPr="00907988" w:rsidRDefault="000F5561" w:rsidP="001106F0">
      <w:pPr>
        <w:rPr>
          <w:rFonts w:ascii="Arial" w:hAnsi="Arial" w:cs="Arial"/>
          <w:szCs w:val="24"/>
        </w:rPr>
      </w:pPr>
      <w:r w:rsidRPr="00907988">
        <w:rPr>
          <w:rFonts w:ascii="Arial" w:hAnsi="Arial" w:cs="Arial"/>
          <w:szCs w:val="24"/>
        </w:rPr>
        <w:t xml:space="preserve">2. </w:t>
      </w:r>
      <w:r w:rsidR="00B9332B" w:rsidRPr="00907988">
        <w:rPr>
          <w:rFonts w:ascii="Arial" w:hAnsi="Arial" w:cs="Arial"/>
          <w:szCs w:val="24"/>
        </w:rPr>
        <w:t>p</w:t>
      </w:r>
      <w:r w:rsidR="00361992" w:rsidRPr="00907988">
        <w:rPr>
          <w:rFonts w:ascii="Arial" w:hAnsi="Arial" w:cs="Arial"/>
          <w:szCs w:val="24"/>
        </w:rPr>
        <w:t>arcelamento e reparcelamento de Simples Nacional inscrito em dívida ativa da União</w:t>
      </w:r>
      <w:r w:rsidRPr="00907988">
        <w:rPr>
          <w:rFonts w:ascii="Arial" w:hAnsi="Arial" w:cs="Arial"/>
          <w:szCs w:val="24"/>
        </w:rPr>
        <w:t>:</w:t>
      </w:r>
      <w:r w:rsidR="00636F5A" w:rsidRPr="00907988">
        <w:rPr>
          <w:rFonts w:ascii="Arial" w:hAnsi="Arial" w:cs="Arial"/>
          <w:szCs w:val="24"/>
        </w:rPr>
        <w:t xml:space="preserve"> que</w:t>
      </w:r>
      <w:r w:rsidR="000D5792" w:rsidRPr="00907988">
        <w:rPr>
          <w:rFonts w:ascii="Arial" w:hAnsi="Arial" w:cs="Arial"/>
          <w:szCs w:val="24"/>
        </w:rPr>
        <w:t xml:space="preserve"> por seu turno, </w:t>
      </w:r>
      <w:r w:rsidR="00636F5A" w:rsidRPr="00907988">
        <w:rPr>
          <w:rFonts w:ascii="Arial" w:hAnsi="Arial" w:cs="Arial"/>
          <w:szCs w:val="24"/>
        </w:rPr>
        <w:t>possibilita ao contribuinte parcelar, perante a PGFN, débitos inscritos em dívida ativa da União referente à Lei Complementar nº 123/2006;</w:t>
      </w:r>
      <w:r w:rsidR="00290DE8" w:rsidRPr="00907988">
        <w:rPr>
          <w:rFonts w:ascii="Arial" w:hAnsi="Arial" w:cs="Arial"/>
          <w:szCs w:val="24"/>
        </w:rPr>
        <w:t xml:space="preserve"> </w:t>
      </w:r>
    </w:p>
    <w:p w14:paraId="2DC00600" w14:textId="2F849BF0" w:rsidR="006E2698" w:rsidRPr="00907988" w:rsidRDefault="000F5561" w:rsidP="001106F0">
      <w:pPr>
        <w:rPr>
          <w:rFonts w:ascii="Arial" w:hAnsi="Arial" w:cs="Arial"/>
          <w:color w:val="000000"/>
          <w:szCs w:val="24"/>
          <w:shd w:val="clear" w:color="auto" w:fill="FFFFFF"/>
        </w:rPr>
      </w:pPr>
      <w:r w:rsidRPr="00907988">
        <w:rPr>
          <w:rFonts w:ascii="Arial" w:hAnsi="Arial" w:cs="Arial"/>
          <w:szCs w:val="24"/>
        </w:rPr>
        <w:t xml:space="preserve">3. </w:t>
      </w:r>
      <w:r w:rsidR="00B9332B" w:rsidRPr="00907988">
        <w:rPr>
          <w:rFonts w:ascii="Arial" w:hAnsi="Arial" w:cs="Arial"/>
          <w:szCs w:val="24"/>
        </w:rPr>
        <w:t>p</w:t>
      </w:r>
      <w:r w:rsidR="00361992" w:rsidRPr="00907988">
        <w:rPr>
          <w:rFonts w:ascii="Arial" w:hAnsi="Arial" w:cs="Arial"/>
          <w:szCs w:val="24"/>
        </w:rPr>
        <w:t>arcelamento de débitos de contribuições ao F</w:t>
      </w:r>
      <w:r w:rsidRPr="00907988">
        <w:rPr>
          <w:rFonts w:ascii="Arial" w:hAnsi="Arial" w:cs="Arial"/>
          <w:szCs w:val="24"/>
        </w:rPr>
        <w:t xml:space="preserve">undo de Garantia </w:t>
      </w:r>
      <w:r w:rsidR="006E2698" w:rsidRPr="00907988">
        <w:rPr>
          <w:rFonts w:ascii="Arial" w:hAnsi="Arial" w:cs="Arial"/>
          <w:szCs w:val="24"/>
        </w:rPr>
        <w:t>do Tempo de Serviço – FG</w:t>
      </w:r>
      <w:r w:rsidR="00361992" w:rsidRPr="00907988">
        <w:rPr>
          <w:rFonts w:ascii="Arial" w:hAnsi="Arial" w:cs="Arial"/>
          <w:szCs w:val="24"/>
        </w:rPr>
        <w:t>TS</w:t>
      </w:r>
      <w:r w:rsidR="006E2698" w:rsidRPr="00907988">
        <w:rPr>
          <w:rFonts w:ascii="Arial" w:hAnsi="Arial" w:cs="Arial"/>
          <w:szCs w:val="24"/>
        </w:rPr>
        <w:t>,</w:t>
      </w:r>
      <w:r w:rsidR="00361992" w:rsidRPr="00907988">
        <w:rPr>
          <w:rFonts w:ascii="Arial" w:hAnsi="Arial" w:cs="Arial"/>
          <w:szCs w:val="24"/>
        </w:rPr>
        <w:t xml:space="preserve"> inscritos em dívida ativa</w:t>
      </w:r>
      <w:r w:rsidR="006E2698" w:rsidRPr="00907988">
        <w:rPr>
          <w:rFonts w:ascii="Arial" w:hAnsi="Arial" w:cs="Arial"/>
          <w:szCs w:val="24"/>
        </w:rPr>
        <w:t>:</w:t>
      </w:r>
      <w:r w:rsidR="00636F5A" w:rsidRPr="00907988">
        <w:rPr>
          <w:rFonts w:ascii="Arial" w:hAnsi="Arial" w:cs="Arial"/>
          <w:szCs w:val="24"/>
        </w:rPr>
        <w:t xml:space="preserve"> </w:t>
      </w:r>
      <w:r w:rsidR="00807AED" w:rsidRPr="00907988">
        <w:rPr>
          <w:rFonts w:ascii="Arial" w:hAnsi="Arial" w:cs="Arial"/>
          <w:color w:val="000000"/>
          <w:szCs w:val="24"/>
          <w:shd w:val="clear" w:color="auto" w:fill="FFFFFF"/>
        </w:rPr>
        <w:t>que possibilita ao empregador parcelar, perante a CAIXA, débitos inscritos em dívida ativa junto ao FGTS</w:t>
      </w:r>
      <w:r w:rsidR="006E2698" w:rsidRPr="00907988">
        <w:rPr>
          <w:rFonts w:ascii="Arial" w:hAnsi="Arial" w:cs="Arial"/>
          <w:color w:val="000000"/>
          <w:szCs w:val="24"/>
          <w:shd w:val="clear" w:color="auto" w:fill="FFFFFF"/>
        </w:rPr>
        <w:t>;</w:t>
      </w:r>
    </w:p>
    <w:p w14:paraId="3072A4D1" w14:textId="55015772" w:rsidR="006E2698" w:rsidRPr="00907988" w:rsidRDefault="006E2698" w:rsidP="001106F0">
      <w:pPr>
        <w:rPr>
          <w:rFonts w:ascii="Arial" w:hAnsi="Arial" w:cs="Arial"/>
          <w:szCs w:val="24"/>
        </w:rPr>
      </w:pPr>
      <w:r w:rsidRPr="00907988">
        <w:rPr>
          <w:rFonts w:ascii="Arial" w:hAnsi="Arial" w:cs="Arial"/>
          <w:color w:val="000000"/>
          <w:szCs w:val="24"/>
          <w:shd w:val="clear" w:color="auto" w:fill="FFFFFF"/>
        </w:rPr>
        <w:t>4.</w:t>
      </w:r>
      <w:r w:rsidR="00361992" w:rsidRPr="00907988">
        <w:rPr>
          <w:rFonts w:ascii="Arial" w:hAnsi="Arial" w:cs="Arial"/>
          <w:szCs w:val="24"/>
        </w:rPr>
        <w:t xml:space="preserve"> </w:t>
      </w:r>
      <w:r w:rsidR="00B9332B" w:rsidRPr="00907988">
        <w:rPr>
          <w:rFonts w:ascii="Arial" w:hAnsi="Arial" w:cs="Arial"/>
          <w:szCs w:val="24"/>
        </w:rPr>
        <w:t>p</w:t>
      </w:r>
      <w:r w:rsidR="00361992" w:rsidRPr="00907988">
        <w:rPr>
          <w:rFonts w:ascii="Arial" w:hAnsi="Arial" w:cs="Arial"/>
          <w:szCs w:val="24"/>
        </w:rPr>
        <w:t>arcelamento de débitos de pessoa jurídica em recuperação judicial</w:t>
      </w:r>
      <w:r w:rsidRPr="00907988">
        <w:rPr>
          <w:rFonts w:ascii="Arial" w:hAnsi="Arial" w:cs="Arial"/>
          <w:szCs w:val="24"/>
        </w:rPr>
        <w:t>:</w:t>
      </w:r>
      <w:r w:rsidR="00ED159E" w:rsidRPr="00907988">
        <w:rPr>
          <w:rFonts w:ascii="Arial" w:hAnsi="Arial" w:cs="Arial"/>
          <w:szCs w:val="24"/>
        </w:rPr>
        <w:t xml:space="preserve">  que, no que lhe concerne, possibilita o parcelamento, em até 84 (oitenta e quatro) parcelas, de débitos inscritos em dívida ativa da União, cujo titular tenha pleiteado a recuperação judicial, nos termos dos artigos 51, 52 e 70 da Lei nº 11.101, de 9 de fevereiro de 2005</w:t>
      </w:r>
      <w:r w:rsidR="000F5AB7" w:rsidRPr="00907988">
        <w:rPr>
          <w:rFonts w:ascii="Arial" w:hAnsi="Arial" w:cs="Arial"/>
          <w:szCs w:val="24"/>
        </w:rPr>
        <w:t>;</w:t>
      </w:r>
      <w:r w:rsidR="00290DE8" w:rsidRPr="00907988">
        <w:rPr>
          <w:rFonts w:ascii="Arial" w:hAnsi="Arial" w:cs="Arial"/>
          <w:szCs w:val="24"/>
        </w:rPr>
        <w:t xml:space="preserve"> </w:t>
      </w:r>
    </w:p>
    <w:p w14:paraId="626CFD97" w14:textId="77777777" w:rsidR="006E2698" w:rsidRPr="00907988" w:rsidRDefault="006E2698" w:rsidP="001106F0">
      <w:pPr>
        <w:rPr>
          <w:rFonts w:ascii="Arial" w:hAnsi="Arial" w:cs="Arial"/>
          <w:szCs w:val="24"/>
        </w:rPr>
      </w:pPr>
      <w:r w:rsidRPr="00907988">
        <w:rPr>
          <w:rFonts w:ascii="Arial" w:hAnsi="Arial" w:cs="Arial"/>
          <w:szCs w:val="24"/>
        </w:rPr>
        <w:t xml:space="preserve">5. </w:t>
      </w:r>
      <w:r w:rsidR="00B9332B" w:rsidRPr="00907988">
        <w:rPr>
          <w:rFonts w:ascii="Arial" w:hAnsi="Arial" w:cs="Arial"/>
          <w:szCs w:val="24"/>
        </w:rPr>
        <w:t xml:space="preserve">parcelamento da </w:t>
      </w:r>
      <w:r w:rsidRPr="00907988">
        <w:rPr>
          <w:rFonts w:ascii="Arial" w:hAnsi="Arial" w:cs="Arial"/>
          <w:szCs w:val="24"/>
        </w:rPr>
        <w:t>arrematação:</w:t>
      </w:r>
      <w:r w:rsidR="000F5AB7" w:rsidRPr="00907988">
        <w:rPr>
          <w:rFonts w:ascii="Arial" w:hAnsi="Arial" w:cs="Arial"/>
          <w:szCs w:val="24"/>
        </w:rPr>
        <w:t xml:space="preserve"> que permite, ao arrematante, solicitar a formalização do parcelamento da arrematação ocorrida em leilão judicial de bens penhorado</w:t>
      </w:r>
      <w:r w:rsidR="00DC3C07" w:rsidRPr="00907988">
        <w:rPr>
          <w:rFonts w:ascii="Arial" w:hAnsi="Arial" w:cs="Arial"/>
          <w:szCs w:val="24"/>
        </w:rPr>
        <w:t>s em ações promovidas pela PGFN;</w:t>
      </w:r>
      <w:r w:rsidR="00B9332B" w:rsidRPr="00907988">
        <w:rPr>
          <w:rFonts w:ascii="Arial" w:hAnsi="Arial" w:cs="Arial"/>
          <w:szCs w:val="24"/>
        </w:rPr>
        <w:t xml:space="preserve"> e</w:t>
      </w:r>
      <w:r w:rsidR="00DC3C07" w:rsidRPr="00907988">
        <w:rPr>
          <w:rFonts w:ascii="Arial" w:hAnsi="Arial" w:cs="Arial"/>
          <w:szCs w:val="24"/>
        </w:rPr>
        <w:t>, por fim,</w:t>
      </w:r>
      <w:r w:rsidR="00290DE8" w:rsidRPr="00907988">
        <w:rPr>
          <w:rFonts w:ascii="Arial" w:hAnsi="Arial" w:cs="Arial"/>
          <w:szCs w:val="24"/>
        </w:rPr>
        <w:t xml:space="preserve"> </w:t>
      </w:r>
    </w:p>
    <w:p w14:paraId="5C3E57BD" w14:textId="52831389" w:rsidR="00D36D14" w:rsidRPr="00907988" w:rsidRDefault="006E2698" w:rsidP="001106F0">
      <w:pPr>
        <w:rPr>
          <w:rFonts w:ascii="Arial" w:hAnsi="Arial" w:cs="Arial"/>
          <w:szCs w:val="24"/>
        </w:rPr>
      </w:pPr>
      <w:r w:rsidRPr="00907988">
        <w:rPr>
          <w:rFonts w:ascii="Arial" w:hAnsi="Arial" w:cs="Arial"/>
          <w:szCs w:val="24"/>
        </w:rPr>
        <w:t xml:space="preserve">6. </w:t>
      </w:r>
      <w:r w:rsidR="00B9332B" w:rsidRPr="00907988">
        <w:rPr>
          <w:rFonts w:ascii="Arial" w:hAnsi="Arial" w:cs="Arial"/>
          <w:szCs w:val="24"/>
        </w:rPr>
        <w:t>parcelamentos especiais</w:t>
      </w:r>
      <w:r w:rsidRPr="00907988">
        <w:rPr>
          <w:rFonts w:ascii="Arial" w:hAnsi="Arial" w:cs="Arial"/>
          <w:szCs w:val="24"/>
        </w:rPr>
        <w:t>:</w:t>
      </w:r>
      <w:r w:rsidR="0053638F" w:rsidRPr="00907988">
        <w:rPr>
          <w:rFonts w:ascii="Arial" w:hAnsi="Arial" w:cs="Arial"/>
          <w:szCs w:val="24"/>
        </w:rPr>
        <w:t xml:space="preserve"> </w:t>
      </w:r>
      <w:r w:rsidR="00EC76A0" w:rsidRPr="00907988">
        <w:rPr>
          <w:rFonts w:ascii="Arial" w:hAnsi="Arial" w:cs="Arial"/>
          <w:szCs w:val="24"/>
        </w:rPr>
        <w:t>que versam sobre as opções de parcelamentos disponibilizados pela lei de forma excepcional, com regras específicas e prazo de adesão delimitado, para que uma dívida possa ser paga com benefícios. Essas regras são instituídas por lei e a PGFN as regulamenta por meio de portar</w:t>
      </w:r>
      <w:r w:rsidR="00F11F6F" w:rsidRPr="00907988">
        <w:rPr>
          <w:rFonts w:ascii="Arial" w:hAnsi="Arial" w:cs="Arial"/>
          <w:szCs w:val="24"/>
        </w:rPr>
        <w:t>ias</w:t>
      </w:r>
      <w:r w:rsidRPr="00907988">
        <w:rPr>
          <w:rFonts w:ascii="Arial" w:hAnsi="Arial" w:cs="Arial"/>
          <w:szCs w:val="24"/>
        </w:rPr>
        <w:t xml:space="preserve">. </w:t>
      </w:r>
    </w:p>
    <w:p w14:paraId="27B0AB1E" w14:textId="1E1FA400" w:rsidR="00002D16" w:rsidRPr="00907988" w:rsidRDefault="00002D16" w:rsidP="001106F0">
      <w:pPr>
        <w:rPr>
          <w:rFonts w:ascii="Arial" w:hAnsi="Arial" w:cs="Arial"/>
          <w:szCs w:val="24"/>
        </w:rPr>
      </w:pPr>
      <w:r w:rsidRPr="00907988">
        <w:rPr>
          <w:rFonts w:ascii="Arial" w:hAnsi="Arial" w:cs="Arial"/>
          <w:szCs w:val="24"/>
        </w:rPr>
        <w:t>A adesão ao parcelamento,</w:t>
      </w:r>
      <w:r w:rsidR="00056127" w:rsidRPr="00907988">
        <w:rPr>
          <w:rFonts w:ascii="Arial" w:hAnsi="Arial" w:cs="Arial"/>
          <w:szCs w:val="24"/>
        </w:rPr>
        <w:t xml:space="preserve"> do ponto de vista jurídico,</w:t>
      </w:r>
      <w:r w:rsidRPr="00907988">
        <w:rPr>
          <w:rFonts w:ascii="Arial" w:hAnsi="Arial" w:cs="Arial"/>
          <w:szCs w:val="24"/>
        </w:rPr>
        <w:t xml:space="preserve"> além de suspender a exigibilidade do crédito, também traz outros efeitos jurídicos, tais como: confissão do débito, suspensão da punibilidade em ação penal nos crimes contra a ordem tributária, </w:t>
      </w:r>
      <w:r w:rsidRPr="00907988">
        <w:rPr>
          <w:rFonts w:ascii="Arial" w:hAnsi="Arial" w:cs="Arial"/>
          <w:szCs w:val="24"/>
        </w:rPr>
        <w:lastRenderedPageBreak/>
        <w:t>certidão positiva com e</w:t>
      </w:r>
      <w:r w:rsidR="00D16DB2" w:rsidRPr="00907988">
        <w:rPr>
          <w:rFonts w:ascii="Arial" w:hAnsi="Arial" w:cs="Arial"/>
          <w:szCs w:val="24"/>
        </w:rPr>
        <w:t>feitos de negativa</w:t>
      </w:r>
      <w:r w:rsidRPr="00907988">
        <w:rPr>
          <w:rFonts w:ascii="Arial" w:hAnsi="Arial" w:cs="Arial"/>
          <w:szCs w:val="24"/>
        </w:rPr>
        <w:t xml:space="preserve"> e até extinção da punibilidade em ação penal em crimes contra a ordem tributária em caso de quitação do débito por esse instituto. </w:t>
      </w:r>
    </w:p>
    <w:p w14:paraId="3FA17125" w14:textId="3AA72939" w:rsidR="00583041" w:rsidRPr="00907988" w:rsidRDefault="006E2698" w:rsidP="001106F0">
      <w:pPr>
        <w:rPr>
          <w:rFonts w:ascii="Arial" w:hAnsi="Arial" w:cs="Arial"/>
          <w:szCs w:val="24"/>
        </w:rPr>
      </w:pPr>
      <w:r w:rsidRPr="00907988">
        <w:rPr>
          <w:rFonts w:ascii="Arial" w:hAnsi="Arial" w:cs="Arial"/>
          <w:szCs w:val="24"/>
        </w:rPr>
        <w:t xml:space="preserve">Como efeito extrajurídico, temos o </w:t>
      </w:r>
      <w:r w:rsidR="00002D16" w:rsidRPr="00907988">
        <w:rPr>
          <w:rFonts w:ascii="Arial" w:hAnsi="Arial" w:cs="Arial"/>
          <w:szCs w:val="24"/>
        </w:rPr>
        <w:t>comportamento do contribuinte</w:t>
      </w:r>
      <w:r w:rsidRPr="00907988">
        <w:rPr>
          <w:rFonts w:ascii="Arial" w:hAnsi="Arial" w:cs="Arial"/>
          <w:szCs w:val="24"/>
        </w:rPr>
        <w:t xml:space="preserve"> ante às adesões a programas de parcelamentos, comportamento o qual</w:t>
      </w:r>
      <w:r w:rsidR="00002D16" w:rsidRPr="00907988">
        <w:rPr>
          <w:rFonts w:ascii="Arial" w:hAnsi="Arial" w:cs="Arial"/>
          <w:szCs w:val="24"/>
        </w:rPr>
        <w:t xml:space="preserve"> pode ser na gr</w:t>
      </w:r>
      <w:r w:rsidR="001B3521" w:rsidRPr="00907988">
        <w:rPr>
          <w:rFonts w:ascii="Arial" w:hAnsi="Arial" w:cs="Arial"/>
          <w:szCs w:val="24"/>
        </w:rPr>
        <w:t>ande parte dos casos, negativo</w:t>
      </w:r>
      <w:r w:rsidRPr="00907988">
        <w:rPr>
          <w:rFonts w:ascii="Arial" w:hAnsi="Arial" w:cs="Arial"/>
          <w:szCs w:val="24"/>
        </w:rPr>
        <w:t>, como, cumprirem apenas as primeiras parcelas do acordo pra suspender a exigibilidade e obter possíveis vantagens econômicas</w:t>
      </w:r>
      <w:r w:rsidR="00365953" w:rsidRPr="00907988">
        <w:rPr>
          <w:rFonts w:ascii="Arial" w:hAnsi="Arial" w:cs="Arial"/>
          <w:szCs w:val="24"/>
        </w:rPr>
        <w:t>.</w:t>
      </w:r>
      <w:r w:rsidRPr="00907988">
        <w:rPr>
          <w:rFonts w:ascii="Arial" w:hAnsi="Arial" w:cs="Arial"/>
          <w:szCs w:val="24"/>
        </w:rPr>
        <w:t xml:space="preserve"> </w:t>
      </w:r>
    </w:p>
    <w:p w14:paraId="2F7E6AB7" w14:textId="77777777" w:rsidR="00002D16" w:rsidRPr="00907988" w:rsidRDefault="00383C8B" w:rsidP="001106F0">
      <w:pPr>
        <w:rPr>
          <w:rFonts w:ascii="Arial" w:hAnsi="Arial" w:cs="Arial"/>
          <w:szCs w:val="24"/>
        </w:rPr>
      </w:pPr>
      <w:r w:rsidRPr="00907988">
        <w:rPr>
          <w:rFonts w:ascii="Arial" w:hAnsi="Arial" w:cs="Arial"/>
          <w:szCs w:val="24"/>
        </w:rPr>
        <w:t>A confissão no parcelamento</w:t>
      </w:r>
      <w:r w:rsidR="00002D16" w:rsidRPr="00907988">
        <w:rPr>
          <w:rFonts w:ascii="Arial" w:hAnsi="Arial" w:cs="Arial"/>
          <w:szCs w:val="24"/>
        </w:rPr>
        <w:t xml:space="preserve"> ocorre</w:t>
      </w:r>
      <w:r w:rsidRPr="00907988">
        <w:rPr>
          <w:rFonts w:ascii="Arial" w:hAnsi="Arial" w:cs="Arial"/>
          <w:szCs w:val="24"/>
        </w:rPr>
        <w:t>,</w:t>
      </w:r>
      <w:r w:rsidR="00002D16" w:rsidRPr="00907988">
        <w:rPr>
          <w:rFonts w:ascii="Arial" w:hAnsi="Arial" w:cs="Arial"/>
          <w:szCs w:val="24"/>
        </w:rPr>
        <w:t xml:space="preserve"> quando o devedor procura o respectivo órgão fiscal e por livre e espontânea vontade solicita sua inclusão em um dos parcelamentos. Como requer um pagamento de uma porcentagem do valor total da dívida com os respectivos juros e correções monetárias, pagando esse valor respectivo, o devedor reconhece e confessa o débito. </w:t>
      </w:r>
      <w:r w:rsidR="00A21B90" w:rsidRPr="00907988">
        <w:rPr>
          <w:rFonts w:ascii="Arial" w:hAnsi="Arial" w:cs="Arial"/>
          <w:szCs w:val="24"/>
        </w:rPr>
        <w:t>Via de regra, os parcelamentos são concedidos mediante o pagamento da primeira parcela, sendo essa de 10% do débito em caso de reparcelamento e de 20% no caso de reparcelamento de débito que já conte com histórico de anterior reparcelamento, com prazo total de sessenta meses. Ocorrido inadimplemento, o montante confessado poderá, deduzidas as parcelas pagas, ser inscrito em dívida ativa e executado (PAULSEN, 2017).</w:t>
      </w:r>
    </w:p>
    <w:p w14:paraId="1FD0B2E4" w14:textId="77777777" w:rsidR="00002D16" w:rsidRPr="00907988" w:rsidRDefault="00002D16" w:rsidP="001106F0">
      <w:pPr>
        <w:rPr>
          <w:rFonts w:ascii="Arial" w:hAnsi="Arial" w:cs="Arial"/>
          <w:szCs w:val="24"/>
        </w:rPr>
      </w:pPr>
      <w:r w:rsidRPr="00907988">
        <w:rPr>
          <w:rFonts w:ascii="Arial" w:hAnsi="Arial" w:cs="Arial"/>
          <w:szCs w:val="24"/>
        </w:rPr>
        <w:t>A suspensão da punibilidade</w:t>
      </w:r>
      <w:r w:rsidR="00462808" w:rsidRPr="00907988">
        <w:rPr>
          <w:rFonts w:ascii="Arial" w:hAnsi="Arial" w:cs="Arial"/>
          <w:szCs w:val="24"/>
        </w:rPr>
        <w:t xml:space="preserve"> pelo parcelamento </w:t>
      </w:r>
      <w:r w:rsidRPr="00907988">
        <w:rPr>
          <w:rFonts w:ascii="Arial" w:hAnsi="Arial" w:cs="Arial"/>
          <w:szCs w:val="24"/>
        </w:rPr>
        <w:t>ocorre quando o contribuinte respondendo a um crime tributário parcela a dívida. Uma vez que isso ocorre, a pessoa física ou jurídica que solicitou o parcelamento e pagou a primeira parcela, suspende a p</w:t>
      </w:r>
      <w:r w:rsidR="000613C8" w:rsidRPr="00907988">
        <w:rPr>
          <w:rFonts w:ascii="Arial" w:hAnsi="Arial" w:cs="Arial"/>
          <w:szCs w:val="24"/>
        </w:rPr>
        <w:t>unibilidade (MAZZA, 2018</w:t>
      </w:r>
      <w:r w:rsidRPr="00907988">
        <w:rPr>
          <w:rFonts w:ascii="Arial" w:hAnsi="Arial" w:cs="Arial"/>
          <w:szCs w:val="24"/>
        </w:rPr>
        <w:t xml:space="preserve">). </w:t>
      </w:r>
    </w:p>
    <w:p w14:paraId="246BA873" w14:textId="72BC25AB" w:rsidR="00002D16" w:rsidRPr="00907988" w:rsidRDefault="00002D16" w:rsidP="001106F0">
      <w:pPr>
        <w:rPr>
          <w:rFonts w:ascii="Arial" w:hAnsi="Arial" w:cs="Arial"/>
          <w:szCs w:val="24"/>
        </w:rPr>
      </w:pPr>
      <w:r w:rsidRPr="00907988">
        <w:rPr>
          <w:rFonts w:ascii="Arial" w:hAnsi="Arial" w:cs="Arial"/>
          <w:szCs w:val="24"/>
        </w:rPr>
        <w:t xml:space="preserve">A Lei no 9.964/00 criou uma hipótese legal de suspensão da pretensão punitiva. De acordo com o art. 15 da referida lei, é suspensa a pretensão punitiva do Estado, referente aos crimes previstos nos arts. 1º e 2º da Lei no 8.137, de 27- 12-1990, e no art. 95 da Lei no 8.212, de 24-7-1991, durante o período em que a pessoa jurídica relacionada com o agente dos aludidos crimes estiver incluída no REFIS, desde que a inclusão no referido Programa tenha ocorrido antes do recebimento da </w:t>
      </w:r>
      <w:r w:rsidR="00365953" w:rsidRPr="00907988">
        <w:rPr>
          <w:rFonts w:ascii="Arial" w:hAnsi="Arial" w:cs="Arial"/>
          <w:szCs w:val="24"/>
        </w:rPr>
        <w:t>denúncia</w:t>
      </w:r>
      <w:r w:rsidRPr="00907988">
        <w:rPr>
          <w:rFonts w:ascii="Arial" w:hAnsi="Arial" w:cs="Arial"/>
          <w:szCs w:val="24"/>
        </w:rPr>
        <w:t xml:space="preserve"> criminal. O </w:t>
      </w:r>
      <w:r w:rsidR="008D6068" w:rsidRPr="00907988">
        <w:rPr>
          <w:rFonts w:ascii="Arial" w:hAnsi="Arial" w:cs="Arial"/>
          <w:szCs w:val="24"/>
        </w:rPr>
        <w:t>parágrafo primeiro do art. 15,</w:t>
      </w:r>
      <w:r w:rsidRPr="00907988">
        <w:rPr>
          <w:rFonts w:ascii="Arial" w:hAnsi="Arial" w:cs="Arial"/>
          <w:szCs w:val="24"/>
        </w:rPr>
        <w:t xml:space="preserve"> estipula que a prescrição criminal não corre durante o período de suspensão da pretensão</w:t>
      </w:r>
      <w:r w:rsidR="000613C8" w:rsidRPr="00907988">
        <w:rPr>
          <w:rFonts w:ascii="Arial" w:hAnsi="Arial" w:cs="Arial"/>
          <w:szCs w:val="24"/>
        </w:rPr>
        <w:t xml:space="preserve"> punitiva</w:t>
      </w:r>
      <w:r w:rsidRPr="00907988">
        <w:rPr>
          <w:rFonts w:ascii="Arial" w:hAnsi="Arial" w:cs="Arial"/>
          <w:szCs w:val="24"/>
        </w:rPr>
        <w:t>.</w:t>
      </w:r>
    </w:p>
    <w:p w14:paraId="512A1287" w14:textId="77777777" w:rsidR="00002D16" w:rsidRPr="00907988" w:rsidRDefault="00002D16" w:rsidP="001106F0">
      <w:pPr>
        <w:rPr>
          <w:rFonts w:ascii="Arial" w:hAnsi="Arial" w:cs="Arial"/>
          <w:szCs w:val="24"/>
        </w:rPr>
      </w:pPr>
      <w:r w:rsidRPr="00907988">
        <w:rPr>
          <w:rFonts w:ascii="Arial" w:hAnsi="Arial" w:cs="Arial"/>
          <w:szCs w:val="24"/>
        </w:rPr>
        <w:t>O parcelamento também</w:t>
      </w:r>
      <w:r w:rsidR="00AE2E54" w:rsidRPr="00907988">
        <w:rPr>
          <w:rFonts w:ascii="Arial" w:hAnsi="Arial" w:cs="Arial"/>
          <w:szCs w:val="24"/>
        </w:rPr>
        <w:t xml:space="preserve"> gera a suspenção</w:t>
      </w:r>
      <w:r w:rsidRPr="00907988">
        <w:rPr>
          <w:rFonts w:ascii="Arial" w:hAnsi="Arial" w:cs="Arial"/>
          <w:szCs w:val="24"/>
        </w:rPr>
        <w:t xml:space="preserve"> </w:t>
      </w:r>
      <w:r w:rsidR="00AE2E54" w:rsidRPr="00907988">
        <w:rPr>
          <w:rFonts w:ascii="Arial" w:hAnsi="Arial" w:cs="Arial"/>
          <w:szCs w:val="24"/>
        </w:rPr>
        <w:t>d</w:t>
      </w:r>
      <w:r w:rsidRPr="00907988">
        <w:rPr>
          <w:rFonts w:ascii="Arial" w:hAnsi="Arial" w:cs="Arial"/>
          <w:szCs w:val="24"/>
        </w:rPr>
        <w:t>a exigibilidade do crédito tributário e enseja ao contribuinte a obtenção de certidão positiva de débitos com efeitos de negativa (art. 206</w:t>
      </w:r>
      <w:r w:rsidR="005D0832" w:rsidRPr="00907988">
        <w:rPr>
          <w:rFonts w:ascii="Arial" w:hAnsi="Arial" w:cs="Arial"/>
          <w:szCs w:val="24"/>
        </w:rPr>
        <w:t>,</w:t>
      </w:r>
      <w:r w:rsidRPr="00907988">
        <w:rPr>
          <w:rFonts w:ascii="Arial" w:hAnsi="Arial" w:cs="Arial"/>
          <w:szCs w:val="24"/>
        </w:rPr>
        <w:t xml:space="preserve"> do CTN). O crédito tributário, embora constituído, não pode ser oposto ao contribuinte para restringir seus direitos e prerrogativas quando esteja desprovido de exigibilidade. Daí atribuir-se à certidão positiva, nesses casos, efeitos de n</w:t>
      </w:r>
      <w:r w:rsidR="00AE2E54" w:rsidRPr="00907988">
        <w:rPr>
          <w:rFonts w:ascii="Arial" w:hAnsi="Arial" w:cs="Arial"/>
          <w:szCs w:val="24"/>
        </w:rPr>
        <w:t>egativa (PAULSEN, 2</w:t>
      </w:r>
      <w:r w:rsidR="005D0832" w:rsidRPr="00907988">
        <w:rPr>
          <w:rFonts w:ascii="Arial" w:hAnsi="Arial" w:cs="Arial"/>
          <w:szCs w:val="24"/>
        </w:rPr>
        <w:t>0</w:t>
      </w:r>
      <w:r w:rsidR="00AE2E54" w:rsidRPr="00907988">
        <w:rPr>
          <w:rFonts w:ascii="Arial" w:hAnsi="Arial" w:cs="Arial"/>
          <w:szCs w:val="24"/>
        </w:rPr>
        <w:t>17).</w:t>
      </w:r>
    </w:p>
    <w:p w14:paraId="56159B36" w14:textId="2BFE1F8B" w:rsidR="00002D16" w:rsidRPr="00907988" w:rsidRDefault="00002D16" w:rsidP="001106F0">
      <w:pPr>
        <w:rPr>
          <w:rFonts w:ascii="Arial" w:hAnsi="Arial" w:cs="Arial"/>
          <w:szCs w:val="24"/>
        </w:rPr>
      </w:pPr>
      <w:r w:rsidRPr="00907988">
        <w:rPr>
          <w:rFonts w:ascii="Arial" w:hAnsi="Arial" w:cs="Arial"/>
          <w:szCs w:val="24"/>
        </w:rPr>
        <w:lastRenderedPageBreak/>
        <w:t>A obtenção de certidão positiva com efeitos de negativa</w:t>
      </w:r>
      <w:r w:rsidR="00FB6503" w:rsidRPr="00907988">
        <w:rPr>
          <w:rFonts w:ascii="Arial" w:hAnsi="Arial" w:cs="Arial"/>
          <w:szCs w:val="24"/>
        </w:rPr>
        <w:t xml:space="preserve"> teve maior efetividade no </w:t>
      </w:r>
      <w:r w:rsidR="00D3615D" w:rsidRPr="00907988">
        <w:rPr>
          <w:rFonts w:ascii="Arial" w:hAnsi="Arial" w:cs="Arial"/>
          <w:szCs w:val="24"/>
        </w:rPr>
        <w:t>REFIS</w:t>
      </w:r>
      <w:r w:rsidR="00BB0443" w:rsidRPr="00907988">
        <w:rPr>
          <w:rFonts w:ascii="Arial" w:hAnsi="Arial" w:cs="Arial"/>
          <w:szCs w:val="24"/>
        </w:rPr>
        <w:t xml:space="preserve"> da Crise</w:t>
      </w:r>
      <w:r w:rsidRPr="00907988">
        <w:rPr>
          <w:rFonts w:ascii="Arial" w:hAnsi="Arial" w:cs="Arial"/>
          <w:szCs w:val="24"/>
        </w:rPr>
        <w:t xml:space="preserve"> do ano de 2009, no qual os optantes ficaram pagando uma parcela mínima de R$ 100,00 por um longo período</w:t>
      </w:r>
      <w:r w:rsidR="00D3615D" w:rsidRPr="00907988">
        <w:rPr>
          <w:rFonts w:ascii="Arial" w:hAnsi="Arial" w:cs="Arial"/>
          <w:szCs w:val="24"/>
        </w:rPr>
        <w:t>.</w:t>
      </w:r>
      <w:r w:rsidRPr="00907988">
        <w:rPr>
          <w:rFonts w:ascii="Arial" w:hAnsi="Arial" w:cs="Arial"/>
          <w:szCs w:val="24"/>
        </w:rPr>
        <w:t xml:space="preserve"> Tiveram nesse período, direito à Certidão Positiva com efeitos de Negativa perante a Fazenda Nacional até a ocorrência da etapa de consolidação dos débitos, que ocorreu em </w:t>
      </w:r>
      <w:r w:rsidR="00D3615D" w:rsidRPr="00907988">
        <w:rPr>
          <w:rFonts w:ascii="Arial" w:hAnsi="Arial" w:cs="Arial"/>
          <w:szCs w:val="24"/>
        </w:rPr>
        <w:t>julho de 2011. (</w:t>
      </w:r>
      <w:r w:rsidR="00133E83" w:rsidRPr="00907988">
        <w:rPr>
          <w:rFonts w:ascii="Arial" w:hAnsi="Arial" w:cs="Arial"/>
          <w:szCs w:val="24"/>
        </w:rPr>
        <w:t>RFB</w:t>
      </w:r>
      <w:r w:rsidR="00D3615D" w:rsidRPr="00907988">
        <w:rPr>
          <w:rFonts w:ascii="Arial" w:hAnsi="Arial" w:cs="Arial"/>
          <w:szCs w:val="24"/>
        </w:rPr>
        <w:t>,</w:t>
      </w:r>
      <w:r w:rsidR="000613C8" w:rsidRPr="00907988">
        <w:rPr>
          <w:rFonts w:ascii="Arial" w:hAnsi="Arial" w:cs="Arial"/>
          <w:szCs w:val="24"/>
        </w:rPr>
        <w:t xml:space="preserve"> 2017</w:t>
      </w:r>
      <w:r w:rsidR="00D3615D" w:rsidRPr="00907988">
        <w:rPr>
          <w:rFonts w:ascii="Arial" w:hAnsi="Arial" w:cs="Arial"/>
          <w:szCs w:val="24"/>
        </w:rPr>
        <w:t xml:space="preserve">). </w:t>
      </w:r>
    </w:p>
    <w:p w14:paraId="15F03C1D" w14:textId="37800841" w:rsidR="00002D16" w:rsidRPr="00907988" w:rsidRDefault="00B7225A" w:rsidP="001106F0">
      <w:pPr>
        <w:rPr>
          <w:rFonts w:ascii="Arial" w:hAnsi="Arial" w:cs="Arial"/>
          <w:szCs w:val="24"/>
        </w:rPr>
      </w:pPr>
      <w:r w:rsidRPr="00907988">
        <w:rPr>
          <w:rFonts w:ascii="Arial" w:hAnsi="Arial" w:cs="Arial"/>
          <w:szCs w:val="24"/>
        </w:rPr>
        <w:t xml:space="preserve">Esse direito gerou a possibilidade de o aderente estar numa situação de </w:t>
      </w:r>
      <w:r w:rsidRPr="00907988">
        <w:rPr>
          <w:rFonts w:ascii="Arial" w:hAnsi="Arial" w:cs="Arial"/>
          <w:i/>
          <w:szCs w:val="24"/>
        </w:rPr>
        <w:t>concorrência desleal</w:t>
      </w:r>
      <w:r w:rsidR="00002D16" w:rsidRPr="00907988">
        <w:rPr>
          <w:rFonts w:ascii="Arial" w:hAnsi="Arial" w:cs="Arial"/>
          <w:szCs w:val="24"/>
        </w:rPr>
        <w:t xml:space="preserve">, sob o argumento de que todos os que pagam em dia seus tributos estariam </w:t>
      </w:r>
      <w:r w:rsidR="00D3615D" w:rsidRPr="00907988">
        <w:rPr>
          <w:rFonts w:ascii="Arial" w:hAnsi="Arial" w:cs="Arial"/>
          <w:szCs w:val="24"/>
        </w:rPr>
        <w:t>atrás de todos aqueles</w:t>
      </w:r>
      <w:r w:rsidR="00002D16" w:rsidRPr="00907988">
        <w:rPr>
          <w:rFonts w:ascii="Arial" w:hAnsi="Arial" w:cs="Arial"/>
          <w:szCs w:val="24"/>
        </w:rPr>
        <w:t xml:space="preserve"> que parcelam suas dívidas no intuito </w:t>
      </w:r>
      <w:r w:rsidR="00D3615D" w:rsidRPr="00907988">
        <w:rPr>
          <w:rFonts w:ascii="Arial" w:hAnsi="Arial" w:cs="Arial"/>
          <w:szCs w:val="24"/>
        </w:rPr>
        <w:t>meramente procrastinatório</w:t>
      </w:r>
      <w:r w:rsidR="00002D16" w:rsidRPr="00907988">
        <w:rPr>
          <w:rFonts w:ascii="Arial" w:hAnsi="Arial" w:cs="Arial"/>
          <w:szCs w:val="24"/>
        </w:rPr>
        <w:t xml:space="preserve">, </w:t>
      </w:r>
      <w:r w:rsidR="00126DAC" w:rsidRPr="00907988">
        <w:rPr>
          <w:rFonts w:ascii="Arial" w:hAnsi="Arial" w:cs="Arial"/>
          <w:szCs w:val="24"/>
        </w:rPr>
        <w:t>pel</w:t>
      </w:r>
      <w:r w:rsidR="00002D16" w:rsidRPr="00907988">
        <w:rPr>
          <w:rFonts w:ascii="Arial" w:hAnsi="Arial" w:cs="Arial"/>
          <w:szCs w:val="24"/>
        </w:rPr>
        <w:t>o máximo de</w:t>
      </w:r>
      <w:r w:rsidR="00126DAC" w:rsidRPr="00907988">
        <w:rPr>
          <w:rFonts w:ascii="Arial" w:hAnsi="Arial" w:cs="Arial"/>
          <w:szCs w:val="24"/>
        </w:rPr>
        <w:t xml:space="preserve"> tempo que puder (</w:t>
      </w:r>
      <w:r w:rsidR="000613C8" w:rsidRPr="00907988">
        <w:rPr>
          <w:rFonts w:ascii="Arial" w:hAnsi="Arial" w:cs="Arial"/>
          <w:szCs w:val="24"/>
        </w:rPr>
        <w:t>SOUZA, 2019</w:t>
      </w:r>
      <w:r w:rsidR="00BA4872" w:rsidRPr="00907988">
        <w:rPr>
          <w:rFonts w:ascii="Arial" w:hAnsi="Arial" w:cs="Arial"/>
          <w:szCs w:val="24"/>
        </w:rPr>
        <w:t xml:space="preserve">. </w:t>
      </w:r>
      <w:r w:rsidR="00133E83" w:rsidRPr="00907988">
        <w:rPr>
          <w:rFonts w:ascii="Arial" w:hAnsi="Arial" w:cs="Arial"/>
          <w:szCs w:val="24"/>
        </w:rPr>
        <w:t>RFB</w:t>
      </w:r>
      <w:r w:rsidR="00126DAC" w:rsidRPr="00907988">
        <w:rPr>
          <w:rFonts w:ascii="Arial" w:hAnsi="Arial" w:cs="Arial"/>
          <w:szCs w:val="24"/>
        </w:rPr>
        <w:t xml:space="preserve">, </w:t>
      </w:r>
      <w:r w:rsidR="00CC1593" w:rsidRPr="00907988">
        <w:rPr>
          <w:rFonts w:ascii="Arial" w:hAnsi="Arial" w:cs="Arial"/>
          <w:szCs w:val="24"/>
        </w:rPr>
        <w:t>2017</w:t>
      </w:r>
      <w:r w:rsidR="00126DAC" w:rsidRPr="00907988">
        <w:rPr>
          <w:rFonts w:ascii="Arial" w:hAnsi="Arial" w:cs="Arial"/>
          <w:szCs w:val="24"/>
        </w:rPr>
        <w:t xml:space="preserve">). </w:t>
      </w:r>
    </w:p>
    <w:p w14:paraId="3C3EE1AD" w14:textId="1649999B" w:rsidR="00002D16" w:rsidRPr="00907988" w:rsidRDefault="00002D16" w:rsidP="001106F0">
      <w:pPr>
        <w:rPr>
          <w:rFonts w:ascii="Arial" w:hAnsi="Arial" w:cs="Arial"/>
          <w:szCs w:val="24"/>
        </w:rPr>
      </w:pPr>
      <w:r w:rsidRPr="00907988">
        <w:rPr>
          <w:rFonts w:ascii="Arial" w:hAnsi="Arial" w:cs="Arial"/>
          <w:szCs w:val="24"/>
        </w:rPr>
        <w:t xml:space="preserve">Para estes que parcelam com intuito de </w:t>
      </w:r>
      <w:r w:rsidR="00126DAC" w:rsidRPr="00907988">
        <w:rPr>
          <w:rFonts w:ascii="Arial" w:hAnsi="Arial" w:cs="Arial"/>
          <w:szCs w:val="24"/>
        </w:rPr>
        <w:t>postergar dolosamente</w:t>
      </w:r>
      <w:r w:rsidRPr="00907988">
        <w:rPr>
          <w:rFonts w:ascii="Arial" w:hAnsi="Arial" w:cs="Arial"/>
          <w:szCs w:val="24"/>
        </w:rPr>
        <w:t xml:space="preserve"> suas dívidas, pagam pouco, dispõem de mais fundos para investimentos, aquisições e gastos em relação aos seus concorrente</w:t>
      </w:r>
      <w:r w:rsidR="00126DAC" w:rsidRPr="00907988">
        <w:rPr>
          <w:rFonts w:ascii="Arial" w:hAnsi="Arial" w:cs="Arial"/>
          <w:szCs w:val="24"/>
        </w:rPr>
        <w:t xml:space="preserve">s, </w:t>
      </w:r>
      <w:r w:rsidR="006C69BE" w:rsidRPr="00907988">
        <w:rPr>
          <w:rFonts w:ascii="Arial" w:hAnsi="Arial" w:cs="Arial"/>
          <w:szCs w:val="24"/>
        </w:rPr>
        <w:t xml:space="preserve">e </w:t>
      </w:r>
      <w:r w:rsidR="00126DAC" w:rsidRPr="00907988">
        <w:rPr>
          <w:rFonts w:ascii="Arial" w:hAnsi="Arial" w:cs="Arial"/>
          <w:szCs w:val="24"/>
        </w:rPr>
        <w:t>assim, consequentemente,</w:t>
      </w:r>
      <w:r w:rsidRPr="00907988">
        <w:rPr>
          <w:rFonts w:ascii="Arial" w:hAnsi="Arial" w:cs="Arial"/>
          <w:szCs w:val="24"/>
        </w:rPr>
        <w:t xml:space="preserve"> os coloca</w:t>
      </w:r>
      <w:r w:rsidR="00126DAC" w:rsidRPr="00907988">
        <w:rPr>
          <w:rFonts w:ascii="Arial" w:hAnsi="Arial" w:cs="Arial"/>
          <w:szCs w:val="24"/>
        </w:rPr>
        <w:t>ndo</w:t>
      </w:r>
      <w:r w:rsidRPr="00907988">
        <w:rPr>
          <w:rFonts w:ascii="Arial" w:hAnsi="Arial" w:cs="Arial"/>
          <w:szCs w:val="24"/>
        </w:rPr>
        <w:t xml:space="preserve"> à frente dos demais concorrentes (</w:t>
      </w:r>
      <w:r w:rsidR="00133E83" w:rsidRPr="00907988">
        <w:rPr>
          <w:rFonts w:ascii="Arial" w:hAnsi="Arial" w:cs="Arial"/>
          <w:szCs w:val="24"/>
        </w:rPr>
        <w:t>RFB</w:t>
      </w:r>
      <w:r w:rsidRPr="00907988">
        <w:rPr>
          <w:rFonts w:ascii="Arial" w:hAnsi="Arial" w:cs="Arial"/>
          <w:szCs w:val="24"/>
        </w:rPr>
        <w:t>,</w:t>
      </w:r>
      <w:r w:rsidR="00B40E66" w:rsidRPr="00907988">
        <w:rPr>
          <w:rFonts w:ascii="Arial" w:hAnsi="Arial" w:cs="Arial"/>
          <w:szCs w:val="24"/>
        </w:rPr>
        <w:t xml:space="preserve"> 2017</w:t>
      </w:r>
      <w:r w:rsidRPr="00907988">
        <w:rPr>
          <w:rFonts w:ascii="Arial" w:hAnsi="Arial" w:cs="Arial"/>
          <w:szCs w:val="24"/>
        </w:rPr>
        <w:t xml:space="preserve">). </w:t>
      </w:r>
    </w:p>
    <w:p w14:paraId="53648C14" w14:textId="77777777" w:rsidR="00002D16" w:rsidRPr="00907988" w:rsidRDefault="00002D16" w:rsidP="001106F0">
      <w:pPr>
        <w:rPr>
          <w:rFonts w:ascii="Arial" w:hAnsi="Arial" w:cs="Arial"/>
          <w:szCs w:val="24"/>
        </w:rPr>
      </w:pPr>
      <w:r w:rsidRPr="00907988">
        <w:rPr>
          <w:rFonts w:ascii="Arial" w:hAnsi="Arial" w:cs="Arial"/>
          <w:szCs w:val="24"/>
        </w:rPr>
        <w:t>A extinção da punibilidade</w:t>
      </w:r>
      <w:r w:rsidR="005727B8" w:rsidRPr="00907988">
        <w:rPr>
          <w:rFonts w:ascii="Arial" w:hAnsi="Arial" w:cs="Arial"/>
          <w:szCs w:val="24"/>
        </w:rPr>
        <w:t xml:space="preserve"> pelo pagamento</w:t>
      </w:r>
      <w:r w:rsidRPr="00907988">
        <w:rPr>
          <w:rFonts w:ascii="Arial" w:hAnsi="Arial" w:cs="Arial"/>
          <w:szCs w:val="24"/>
        </w:rPr>
        <w:t xml:space="preserve"> acontece quando ao aderir o parcelamento, o contribuinte cumpre à risca cada obrigação e quita o débito, uma vez que o parcelamento e o pagamento da primeira parcela suspende a punibilidade, o pagamento de todas as parcelas do parcel</w:t>
      </w:r>
      <w:r w:rsidR="005727B8" w:rsidRPr="00907988">
        <w:rPr>
          <w:rFonts w:ascii="Arial" w:hAnsi="Arial" w:cs="Arial"/>
          <w:szCs w:val="24"/>
        </w:rPr>
        <w:t xml:space="preserve">amento extingue a punibilidade – </w:t>
      </w:r>
      <w:r w:rsidRPr="00907988">
        <w:rPr>
          <w:rFonts w:ascii="Arial" w:hAnsi="Arial" w:cs="Arial"/>
          <w:szCs w:val="24"/>
        </w:rPr>
        <w:t>ocorre o p</w:t>
      </w:r>
      <w:r w:rsidR="005727B8" w:rsidRPr="00907988">
        <w:rPr>
          <w:rFonts w:ascii="Arial" w:hAnsi="Arial" w:cs="Arial"/>
          <w:szCs w:val="24"/>
        </w:rPr>
        <w:t xml:space="preserve">agamento total do débito </w:t>
      </w:r>
      <w:r w:rsidR="00B40E66" w:rsidRPr="00907988">
        <w:rPr>
          <w:rFonts w:ascii="Arial" w:hAnsi="Arial" w:cs="Arial"/>
          <w:szCs w:val="24"/>
        </w:rPr>
        <w:t>(PAULSEN, 2017</w:t>
      </w:r>
      <w:r w:rsidR="007243AA" w:rsidRPr="00907988">
        <w:rPr>
          <w:rFonts w:ascii="Arial" w:hAnsi="Arial" w:cs="Arial"/>
          <w:szCs w:val="24"/>
        </w:rPr>
        <w:t>).</w:t>
      </w:r>
    </w:p>
    <w:p w14:paraId="535EBA20" w14:textId="0A490EC4" w:rsidR="00002D16" w:rsidRPr="00907988" w:rsidRDefault="00FD5B01" w:rsidP="001106F0">
      <w:pPr>
        <w:rPr>
          <w:rFonts w:ascii="Arial" w:hAnsi="Arial" w:cs="Arial"/>
          <w:szCs w:val="24"/>
        </w:rPr>
      </w:pPr>
      <w:r w:rsidRPr="00907988">
        <w:rPr>
          <w:rFonts w:ascii="Arial" w:hAnsi="Arial" w:cs="Arial"/>
          <w:szCs w:val="24"/>
        </w:rPr>
        <w:t xml:space="preserve">Leciona </w:t>
      </w:r>
      <w:r w:rsidR="007243AA" w:rsidRPr="00907988">
        <w:rPr>
          <w:rFonts w:ascii="Arial" w:hAnsi="Arial" w:cs="Arial"/>
          <w:szCs w:val="24"/>
        </w:rPr>
        <w:t>Andrade Filho (2015</w:t>
      </w:r>
      <w:r w:rsidRPr="00907988">
        <w:rPr>
          <w:rFonts w:ascii="Arial" w:hAnsi="Arial" w:cs="Arial"/>
          <w:szCs w:val="24"/>
        </w:rPr>
        <w:t>),</w:t>
      </w:r>
      <w:r w:rsidR="00242AAC" w:rsidRPr="00907988">
        <w:rPr>
          <w:rFonts w:ascii="Arial" w:hAnsi="Arial" w:cs="Arial"/>
          <w:szCs w:val="24"/>
        </w:rPr>
        <w:t xml:space="preserve"> que </w:t>
      </w:r>
      <w:r w:rsidRPr="00907988">
        <w:rPr>
          <w:rFonts w:ascii="Arial" w:hAnsi="Arial" w:cs="Arial"/>
          <w:szCs w:val="24"/>
        </w:rPr>
        <w:t>o</w:t>
      </w:r>
      <w:r w:rsidR="00002D16" w:rsidRPr="00907988">
        <w:rPr>
          <w:rFonts w:ascii="Arial" w:hAnsi="Arial" w:cs="Arial"/>
          <w:szCs w:val="24"/>
        </w:rPr>
        <w:t xml:space="preserve"> contribuinte que pagou no vencimento um imposto a menor decorrente do uso de um lançamento fraudulento já́ havendo consumado o cr</w:t>
      </w:r>
      <w:r w:rsidRPr="00907988">
        <w:rPr>
          <w:rFonts w:ascii="Arial" w:hAnsi="Arial" w:cs="Arial"/>
          <w:szCs w:val="24"/>
        </w:rPr>
        <w:t xml:space="preserve">ime se, antes de qualquer ação </w:t>
      </w:r>
      <w:r w:rsidR="00002D16" w:rsidRPr="00907988">
        <w:rPr>
          <w:rFonts w:ascii="Arial" w:hAnsi="Arial" w:cs="Arial"/>
          <w:szCs w:val="24"/>
        </w:rPr>
        <w:t>adm</w:t>
      </w:r>
      <w:r w:rsidRPr="00907988">
        <w:rPr>
          <w:rFonts w:ascii="Arial" w:hAnsi="Arial" w:cs="Arial"/>
          <w:szCs w:val="24"/>
        </w:rPr>
        <w:t>inistrativa</w:t>
      </w:r>
      <w:r w:rsidR="00002D16" w:rsidRPr="00907988">
        <w:rPr>
          <w:rFonts w:ascii="Arial" w:hAnsi="Arial" w:cs="Arial"/>
          <w:szCs w:val="24"/>
        </w:rPr>
        <w:t>, espontaneame</w:t>
      </w:r>
      <w:r w:rsidRPr="00907988">
        <w:rPr>
          <w:rFonts w:ascii="Arial" w:hAnsi="Arial" w:cs="Arial"/>
          <w:szCs w:val="24"/>
        </w:rPr>
        <w:t>nte, comparece à repartição e repara o dano</w:t>
      </w:r>
      <w:r w:rsidR="00002D16" w:rsidRPr="00907988">
        <w:rPr>
          <w:rFonts w:ascii="Arial" w:hAnsi="Arial" w:cs="Arial"/>
          <w:szCs w:val="24"/>
        </w:rPr>
        <w:t xml:space="preserve"> mediante o pagamento do que for devido, está extinta a punibilidade</w:t>
      </w:r>
      <w:r w:rsidR="00E51B00" w:rsidRPr="00907988">
        <w:rPr>
          <w:rFonts w:ascii="Arial" w:hAnsi="Arial" w:cs="Arial"/>
          <w:szCs w:val="24"/>
        </w:rPr>
        <w:t>.</w:t>
      </w:r>
    </w:p>
    <w:p w14:paraId="397864C0" w14:textId="171AF6BC" w:rsidR="00200FCC" w:rsidRDefault="00365953" w:rsidP="001106F0">
      <w:pPr>
        <w:rPr>
          <w:rFonts w:ascii="Arial" w:hAnsi="Arial" w:cs="Arial"/>
          <w:szCs w:val="24"/>
        </w:rPr>
      </w:pPr>
      <w:r w:rsidRPr="00907988">
        <w:rPr>
          <w:rFonts w:ascii="Arial" w:hAnsi="Arial" w:cs="Arial"/>
          <w:szCs w:val="24"/>
        </w:rPr>
        <w:t>A</w:t>
      </w:r>
      <w:r w:rsidR="00E51B00" w:rsidRPr="00907988">
        <w:rPr>
          <w:rFonts w:ascii="Arial" w:hAnsi="Arial" w:cs="Arial"/>
          <w:szCs w:val="24"/>
        </w:rPr>
        <w:t xml:space="preserve"> punibilidade</w:t>
      </w:r>
      <w:r w:rsidRPr="00907988">
        <w:rPr>
          <w:rFonts w:ascii="Arial" w:hAnsi="Arial" w:cs="Arial"/>
          <w:szCs w:val="24"/>
        </w:rPr>
        <w:t xml:space="preserve"> se extingue</w:t>
      </w:r>
      <w:r w:rsidR="00E51B00" w:rsidRPr="00907988">
        <w:rPr>
          <w:rFonts w:ascii="Arial" w:hAnsi="Arial" w:cs="Arial"/>
          <w:szCs w:val="24"/>
        </w:rPr>
        <w:t xml:space="preserve">, quando a pessoa jurídica relacionada com o agente </w:t>
      </w:r>
      <w:r w:rsidRPr="00907988">
        <w:rPr>
          <w:rFonts w:ascii="Arial" w:hAnsi="Arial" w:cs="Arial"/>
          <w:szCs w:val="24"/>
        </w:rPr>
        <w:t>realizar</w:t>
      </w:r>
      <w:r w:rsidR="00E51B00" w:rsidRPr="00907988">
        <w:rPr>
          <w:rFonts w:ascii="Arial" w:hAnsi="Arial" w:cs="Arial"/>
          <w:szCs w:val="24"/>
        </w:rPr>
        <w:t xml:space="preserve"> o pagamento integral dos débitos </w:t>
      </w:r>
      <w:r w:rsidRPr="00907988">
        <w:rPr>
          <w:rFonts w:ascii="Arial" w:hAnsi="Arial" w:cs="Arial"/>
          <w:szCs w:val="24"/>
        </w:rPr>
        <w:t>provenientes</w:t>
      </w:r>
      <w:r w:rsidR="00E51B00" w:rsidRPr="00907988">
        <w:rPr>
          <w:rFonts w:ascii="Arial" w:hAnsi="Arial" w:cs="Arial"/>
          <w:szCs w:val="24"/>
        </w:rPr>
        <w:t xml:space="preserve"> de tributos e contribuições sociais,</w:t>
      </w:r>
      <w:r w:rsidR="007A7CDD" w:rsidRPr="00907988">
        <w:rPr>
          <w:rFonts w:ascii="Arial" w:hAnsi="Arial" w:cs="Arial"/>
          <w:szCs w:val="24"/>
        </w:rPr>
        <w:t xml:space="preserve"> até mesmo</w:t>
      </w:r>
      <w:r w:rsidR="00E51B00" w:rsidRPr="00907988">
        <w:rPr>
          <w:rFonts w:ascii="Arial" w:hAnsi="Arial" w:cs="Arial"/>
          <w:szCs w:val="24"/>
        </w:rPr>
        <w:t xml:space="preserve"> </w:t>
      </w:r>
      <w:r w:rsidRPr="00907988">
        <w:rPr>
          <w:rFonts w:ascii="Arial" w:hAnsi="Arial" w:cs="Arial"/>
          <w:szCs w:val="24"/>
        </w:rPr>
        <w:t>a</w:t>
      </w:r>
      <w:r w:rsidR="00E51B00" w:rsidRPr="00907988">
        <w:rPr>
          <w:rFonts w:ascii="Arial" w:hAnsi="Arial" w:cs="Arial"/>
          <w:szCs w:val="24"/>
        </w:rPr>
        <w:t>cessória</w:t>
      </w:r>
      <w:r w:rsidR="00002D16" w:rsidRPr="00907988">
        <w:rPr>
          <w:rFonts w:ascii="Arial" w:hAnsi="Arial" w:cs="Arial"/>
          <w:szCs w:val="24"/>
        </w:rPr>
        <w:t xml:space="preserve">. Antes ou depois do recebimento da denúncia, antes ou após a condenação, antes ou após o trânsito em julgado, </w:t>
      </w:r>
      <w:r w:rsidRPr="00907988">
        <w:rPr>
          <w:rFonts w:ascii="Arial" w:hAnsi="Arial" w:cs="Arial"/>
          <w:szCs w:val="24"/>
        </w:rPr>
        <w:t>ou seja</w:t>
      </w:r>
      <w:r w:rsidR="00002D16" w:rsidRPr="00907988">
        <w:rPr>
          <w:rFonts w:ascii="Arial" w:hAnsi="Arial" w:cs="Arial"/>
          <w:szCs w:val="24"/>
        </w:rPr>
        <w:t>, a qualquer tempo, o pagamento</w:t>
      </w:r>
      <w:r w:rsidRPr="00907988">
        <w:rPr>
          <w:rFonts w:ascii="Arial" w:hAnsi="Arial" w:cs="Arial"/>
          <w:szCs w:val="24"/>
        </w:rPr>
        <w:t xml:space="preserve"> de forma integral</w:t>
      </w:r>
      <w:r w:rsidR="00002D16" w:rsidRPr="00907988">
        <w:rPr>
          <w:rFonts w:ascii="Arial" w:hAnsi="Arial" w:cs="Arial"/>
          <w:szCs w:val="24"/>
        </w:rPr>
        <w:t xml:space="preserve"> tem efeito extintivo da punibi</w:t>
      </w:r>
      <w:r w:rsidR="004361AF" w:rsidRPr="00907988">
        <w:rPr>
          <w:rFonts w:ascii="Arial" w:hAnsi="Arial" w:cs="Arial"/>
          <w:szCs w:val="24"/>
        </w:rPr>
        <w:t>lidade</w:t>
      </w:r>
      <w:r w:rsidRPr="00907988">
        <w:rPr>
          <w:rFonts w:ascii="Arial" w:hAnsi="Arial" w:cs="Arial"/>
          <w:szCs w:val="24"/>
        </w:rPr>
        <w:t xml:space="preserve">. </w:t>
      </w:r>
    </w:p>
    <w:p w14:paraId="04901643" w14:textId="77777777" w:rsidR="001106F0" w:rsidRPr="00907988" w:rsidRDefault="001106F0" w:rsidP="001106F0">
      <w:pPr>
        <w:rPr>
          <w:rFonts w:ascii="Arial" w:hAnsi="Arial" w:cs="Arial"/>
          <w:szCs w:val="24"/>
        </w:rPr>
      </w:pPr>
    </w:p>
    <w:p w14:paraId="439ADB70" w14:textId="4C55EF64" w:rsidR="00524A95" w:rsidRDefault="00ED2BF5" w:rsidP="001106F0">
      <w:pPr>
        <w:pStyle w:val="Padro"/>
        <w:spacing w:after="0" w:line="360" w:lineRule="auto"/>
        <w:jc w:val="both"/>
        <w:rPr>
          <w:rFonts w:ascii="Arial" w:hAnsi="Arial" w:cs="Arial"/>
          <w:b/>
          <w:sz w:val="24"/>
          <w:szCs w:val="24"/>
        </w:rPr>
      </w:pPr>
      <w:r w:rsidRPr="00907988">
        <w:rPr>
          <w:rFonts w:ascii="Arial" w:hAnsi="Arial" w:cs="Arial"/>
          <w:b/>
          <w:sz w:val="24"/>
          <w:szCs w:val="24"/>
        </w:rPr>
        <w:t>3</w:t>
      </w:r>
      <w:r w:rsidR="00200FCC" w:rsidRPr="00907988">
        <w:rPr>
          <w:rFonts w:ascii="Arial" w:hAnsi="Arial" w:cs="Arial"/>
          <w:b/>
          <w:sz w:val="24"/>
          <w:szCs w:val="24"/>
        </w:rPr>
        <w:t xml:space="preserve"> </w:t>
      </w:r>
      <w:r w:rsidR="00056127" w:rsidRPr="00907988">
        <w:rPr>
          <w:rFonts w:ascii="Arial" w:hAnsi="Arial" w:cs="Arial"/>
          <w:b/>
          <w:sz w:val="24"/>
          <w:szCs w:val="24"/>
        </w:rPr>
        <w:t>FERRAMENTAS INTERDISCIPLINARES PARA COMPREENSÃO DO DIREITO</w:t>
      </w:r>
    </w:p>
    <w:p w14:paraId="26B2CB1A" w14:textId="77777777" w:rsidR="001106F0" w:rsidRPr="00907988" w:rsidRDefault="001106F0" w:rsidP="001106F0">
      <w:pPr>
        <w:pStyle w:val="Padro"/>
        <w:spacing w:after="0" w:line="360" w:lineRule="auto"/>
        <w:jc w:val="both"/>
        <w:rPr>
          <w:rFonts w:ascii="Arial" w:hAnsi="Arial" w:cs="Arial"/>
          <w:b/>
          <w:sz w:val="24"/>
          <w:szCs w:val="24"/>
        </w:rPr>
      </w:pPr>
    </w:p>
    <w:p w14:paraId="2E9AEE23" w14:textId="267370E5" w:rsidR="004727C7" w:rsidRPr="00907988" w:rsidRDefault="004727C7"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 xml:space="preserve">Segundo Mackaay e Rousseau (2015), o surgimento oficial da Análise Econômica Do Direito remonta seu início no final dos anos 1960, tendo sua real </w:t>
      </w:r>
      <w:r w:rsidRPr="00907988">
        <w:rPr>
          <w:rFonts w:ascii="Arial" w:hAnsi="Arial" w:cs="Arial"/>
          <w:sz w:val="24"/>
          <w:szCs w:val="24"/>
        </w:rPr>
        <w:lastRenderedPageBreak/>
        <w:t xml:space="preserve">percepção em 1972, pelo professor Richard A. Posner, ao publicar a obra  Economic analysis of law – Análise econômica do direito, de forma acessível aos estudantes de direito, contribuindo para dominar o movimento pelos dez anos seguintes, colaborando para a atualização das faculdades mais dinâmicas da época. </w:t>
      </w:r>
    </w:p>
    <w:p w14:paraId="305E2D7D" w14:textId="797D552F" w:rsidR="00ED2BF5" w:rsidRPr="00907988" w:rsidRDefault="00ED2BF5"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Ainda, lecionam Makaay e Rousseau (2015), que a análise econômica do direito parte da ideia de que os instrumentos de análise que podem ser utilizados para compreender o direito econômico são igualmente aplicáveis a outros ramos do direito</w:t>
      </w:r>
      <w:r w:rsidR="00607F0B">
        <w:rPr>
          <w:rFonts w:ascii="Arial" w:hAnsi="Arial" w:cs="Arial"/>
          <w:sz w:val="24"/>
          <w:szCs w:val="24"/>
        </w:rPr>
        <w:t>.</w:t>
      </w:r>
    </w:p>
    <w:p w14:paraId="58C2FBB8" w14:textId="77777777" w:rsidR="00524A95" w:rsidRPr="00907988" w:rsidRDefault="001C0D5D"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Não se atem</w:t>
      </w:r>
      <w:r w:rsidR="003A545D" w:rsidRPr="00907988">
        <w:rPr>
          <w:rFonts w:ascii="Arial" w:hAnsi="Arial" w:cs="Arial"/>
          <w:sz w:val="24"/>
          <w:szCs w:val="24"/>
        </w:rPr>
        <w:t xml:space="preserve"> apenas </w:t>
      </w:r>
      <w:r w:rsidR="00DF149B" w:rsidRPr="00907988">
        <w:rPr>
          <w:rFonts w:ascii="Arial" w:hAnsi="Arial" w:cs="Arial"/>
          <w:sz w:val="24"/>
          <w:szCs w:val="24"/>
        </w:rPr>
        <w:t>a</w:t>
      </w:r>
      <w:r w:rsidR="003F7C16" w:rsidRPr="00907988">
        <w:rPr>
          <w:rFonts w:ascii="Arial" w:hAnsi="Arial" w:cs="Arial"/>
          <w:sz w:val="24"/>
          <w:szCs w:val="24"/>
        </w:rPr>
        <w:t xml:space="preserve"> estudar</w:t>
      </w:r>
      <w:r w:rsidR="003A545D" w:rsidRPr="00907988">
        <w:rPr>
          <w:rFonts w:ascii="Arial" w:hAnsi="Arial" w:cs="Arial"/>
          <w:sz w:val="24"/>
          <w:szCs w:val="24"/>
        </w:rPr>
        <w:t xml:space="preserve"> os instrumentos de análise que podem ser utilizados para compr</w:t>
      </w:r>
      <w:r w:rsidR="003F7C16" w:rsidRPr="00907988">
        <w:rPr>
          <w:rFonts w:ascii="Arial" w:hAnsi="Arial" w:cs="Arial"/>
          <w:sz w:val="24"/>
          <w:szCs w:val="24"/>
        </w:rPr>
        <w:t>eender o direito econômico</w:t>
      </w:r>
      <w:r w:rsidR="001736C7" w:rsidRPr="00907988">
        <w:rPr>
          <w:rFonts w:ascii="Arial" w:hAnsi="Arial" w:cs="Arial"/>
          <w:sz w:val="24"/>
          <w:szCs w:val="24"/>
        </w:rPr>
        <w:t xml:space="preserve">, </w:t>
      </w:r>
      <w:r w:rsidR="003A545D" w:rsidRPr="00907988">
        <w:rPr>
          <w:rFonts w:ascii="Arial" w:hAnsi="Arial" w:cs="Arial"/>
          <w:sz w:val="24"/>
          <w:szCs w:val="24"/>
        </w:rPr>
        <w:t>igualmente, aplicáveis a outros ramos do direito, mas também a permitir sua melhor compreensão pelos juristas e, através da interpretação dos conceitos, estender essa lógica a eventuais novas disputas</w:t>
      </w:r>
      <w:r w:rsidR="001736C7" w:rsidRPr="00907988">
        <w:rPr>
          <w:rFonts w:ascii="Arial" w:hAnsi="Arial" w:cs="Arial"/>
          <w:sz w:val="24"/>
          <w:szCs w:val="24"/>
        </w:rPr>
        <w:t xml:space="preserve"> (</w:t>
      </w:r>
      <w:r w:rsidR="00847D8A" w:rsidRPr="00907988">
        <w:rPr>
          <w:rFonts w:ascii="Arial" w:hAnsi="Arial" w:cs="Arial"/>
          <w:sz w:val="24"/>
          <w:szCs w:val="24"/>
        </w:rPr>
        <w:t>MACKAAY; ROUSSEAU, 2015)</w:t>
      </w:r>
      <w:r w:rsidR="003A545D" w:rsidRPr="00907988">
        <w:rPr>
          <w:rFonts w:ascii="Arial" w:hAnsi="Arial" w:cs="Arial"/>
          <w:sz w:val="24"/>
          <w:szCs w:val="24"/>
        </w:rPr>
        <w:t>.</w:t>
      </w:r>
      <w:r w:rsidR="00ED2BF5" w:rsidRPr="00907988">
        <w:rPr>
          <w:rFonts w:ascii="Arial" w:hAnsi="Arial" w:cs="Arial"/>
          <w:sz w:val="24"/>
          <w:szCs w:val="24"/>
        </w:rPr>
        <w:t xml:space="preserve"> </w:t>
      </w:r>
    </w:p>
    <w:p w14:paraId="20D44EDD" w14:textId="46AAB20E" w:rsidR="00F6167F" w:rsidRPr="00907988" w:rsidRDefault="00736F81"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A Teoria dos Jogos</w:t>
      </w:r>
      <w:r w:rsidR="00497AD7" w:rsidRPr="00907988">
        <w:rPr>
          <w:rFonts w:ascii="Arial" w:hAnsi="Arial" w:cs="Arial"/>
          <w:sz w:val="24"/>
          <w:szCs w:val="24"/>
        </w:rPr>
        <w:t xml:space="preserve"> é considerada um instrumento utilizado para auxiliar na </w:t>
      </w:r>
      <w:r w:rsidR="003333D1" w:rsidRPr="00907988">
        <w:rPr>
          <w:rFonts w:ascii="Arial" w:hAnsi="Arial" w:cs="Arial"/>
          <w:sz w:val="24"/>
          <w:szCs w:val="24"/>
        </w:rPr>
        <w:t>compreensão</w:t>
      </w:r>
      <w:r w:rsidR="00497AD7" w:rsidRPr="00907988">
        <w:rPr>
          <w:rFonts w:ascii="Arial" w:hAnsi="Arial" w:cs="Arial"/>
          <w:sz w:val="24"/>
          <w:szCs w:val="24"/>
        </w:rPr>
        <w:t xml:space="preserve"> ou na </w:t>
      </w:r>
      <w:r w:rsidR="003333D1" w:rsidRPr="00907988">
        <w:rPr>
          <w:rFonts w:ascii="Arial" w:hAnsi="Arial" w:cs="Arial"/>
          <w:sz w:val="24"/>
          <w:szCs w:val="24"/>
        </w:rPr>
        <w:t>previsão</w:t>
      </w:r>
      <w:r w:rsidR="00497AD7" w:rsidRPr="00907988">
        <w:rPr>
          <w:rFonts w:ascii="Arial" w:hAnsi="Arial" w:cs="Arial"/>
          <w:sz w:val="24"/>
          <w:szCs w:val="24"/>
        </w:rPr>
        <w:t xml:space="preserve"> dos comportamentos das pessoas quando</w:t>
      </w:r>
      <w:r w:rsidR="00060D1F" w:rsidRPr="00907988">
        <w:rPr>
          <w:rFonts w:ascii="Arial" w:hAnsi="Arial" w:cs="Arial"/>
          <w:sz w:val="24"/>
          <w:szCs w:val="24"/>
        </w:rPr>
        <w:t xml:space="preserve"> há </w:t>
      </w:r>
      <w:r w:rsidR="00497AD7" w:rsidRPr="00907988">
        <w:rPr>
          <w:rFonts w:ascii="Arial" w:hAnsi="Arial" w:cs="Arial"/>
          <w:sz w:val="24"/>
          <w:szCs w:val="24"/>
        </w:rPr>
        <w:t xml:space="preserve">interesses em conflito. </w:t>
      </w:r>
      <w:r w:rsidR="00B846F7" w:rsidRPr="00907988">
        <w:rPr>
          <w:rFonts w:ascii="Arial" w:hAnsi="Arial" w:cs="Arial"/>
          <w:sz w:val="24"/>
          <w:szCs w:val="24"/>
        </w:rPr>
        <w:t xml:space="preserve">Contudo, </w:t>
      </w:r>
      <w:r w:rsidR="00497AD7" w:rsidRPr="00907988">
        <w:rPr>
          <w:rFonts w:ascii="Arial" w:hAnsi="Arial" w:cs="Arial"/>
          <w:sz w:val="24"/>
          <w:szCs w:val="24"/>
        </w:rPr>
        <w:t xml:space="preserve">na medida em que </w:t>
      </w:r>
      <w:r w:rsidR="003333D1" w:rsidRPr="00907988">
        <w:rPr>
          <w:rFonts w:ascii="Arial" w:hAnsi="Arial" w:cs="Arial"/>
          <w:sz w:val="24"/>
          <w:szCs w:val="24"/>
        </w:rPr>
        <w:t>também pode ser consi</w:t>
      </w:r>
      <w:r w:rsidR="00497AD7" w:rsidRPr="00907988">
        <w:rPr>
          <w:rFonts w:ascii="Arial" w:hAnsi="Arial" w:cs="Arial"/>
          <w:sz w:val="24"/>
          <w:szCs w:val="24"/>
        </w:rPr>
        <w:t xml:space="preserve">derada como um instrumento para a </w:t>
      </w:r>
      <w:r w:rsidR="003333D1" w:rsidRPr="00907988">
        <w:rPr>
          <w:rFonts w:ascii="Arial" w:hAnsi="Arial" w:cs="Arial"/>
          <w:sz w:val="24"/>
          <w:szCs w:val="24"/>
        </w:rPr>
        <w:t>elaboração</w:t>
      </w:r>
      <w:r w:rsidR="00497AD7" w:rsidRPr="00907988">
        <w:rPr>
          <w:rFonts w:ascii="Arial" w:hAnsi="Arial" w:cs="Arial"/>
          <w:sz w:val="24"/>
          <w:szCs w:val="24"/>
        </w:rPr>
        <w:t xml:space="preserve"> do sistema </w:t>
      </w:r>
      <w:r w:rsidR="003333D1" w:rsidRPr="00907988">
        <w:rPr>
          <w:rFonts w:ascii="Arial" w:hAnsi="Arial" w:cs="Arial"/>
          <w:sz w:val="24"/>
          <w:szCs w:val="24"/>
        </w:rPr>
        <w:t>jurídico</w:t>
      </w:r>
      <w:r w:rsidR="00497AD7" w:rsidRPr="00907988">
        <w:rPr>
          <w:rFonts w:ascii="Arial" w:hAnsi="Arial" w:cs="Arial"/>
          <w:sz w:val="24"/>
          <w:szCs w:val="24"/>
        </w:rPr>
        <w:t xml:space="preserve"> ou para a </w:t>
      </w:r>
      <w:r w:rsidR="003333D1" w:rsidRPr="00907988">
        <w:rPr>
          <w:rFonts w:ascii="Arial" w:hAnsi="Arial" w:cs="Arial"/>
          <w:sz w:val="24"/>
          <w:szCs w:val="24"/>
        </w:rPr>
        <w:t>explicação</w:t>
      </w:r>
      <w:r w:rsidR="00497AD7" w:rsidRPr="00907988">
        <w:rPr>
          <w:rFonts w:ascii="Arial" w:hAnsi="Arial" w:cs="Arial"/>
          <w:sz w:val="24"/>
          <w:szCs w:val="24"/>
        </w:rPr>
        <w:t xml:space="preserve"> sobre sua </w:t>
      </w:r>
      <w:r w:rsidR="003333D1" w:rsidRPr="00907988">
        <w:rPr>
          <w:rFonts w:ascii="Arial" w:hAnsi="Arial" w:cs="Arial"/>
          <w:sz w:val="24"/>
          <w:szCs w:val="24"/>
        </w:rPr>
        <w:t>eficiência</w:t>
      </w:r>
      <w:r w:rsidR="00497AD7" w:rsidRPr="00907988">
        <w:rPr>
          <w:rFonts w:ascii="Arial" w:hAnsi="Arial" w:cs="Arial"/>
          <w:sz w:val="24"/>
          <w:szCs w:val="24"/>
        </w:rPr>
        <w:t>, é pertinente que referida teoria seja estudada em conjunto com as premissas</w:t>
      </w:r>
      <w:r w:rsidR="00F6167F" w:rsidRPr="00907988">
        <w:rPr>
          <w:rFonts w:ascii="Arial" w:hAnsi="Arial" w:cs="Arial"/>
          <w:sz w:val="24"/>
          <w:szCs w:val="24"/>
        </w:rPr>
        <w:t>, como a escolha racional</w:t>
      </w:r>
      <w:r w:rsidR="00060D1F" w:rsidRPr="00907988">
        <w:rPr>
          <w:rFonts w:ascii="Arial" w:hAnsi="Arial" w:cs="Arial"/>
          <w:sz w:val="24"/>
          <w:szCs w:val="24"/>
        </w:rPr>
        <w:t xml:space="preserve">. </w:t>
      </w:r>
      <w:r w:rsidR="009C6D55" w:rsidRPr="00907988">
        <w:rPr>
          <w:rFonts w:ascii="Arial" w:hAnsi="Arial" w:cs="Arial"/>
          <w:sz w:val="24"/>
          <w:szCs w:val="24"/>
        </w:rPr>
        <w:t>(JAKOBI; RIBEIRO, 2014).</w:t>
      </w:r>
    </w:p>
    <w:p w14:paraId="7461FFA4" w14:textId="3900DD69" w:rsidR="00060D1F" w:rsidRPr="00907988" w:rsidRDefault="00937861" w:rsidP="001106F0">
      <w:pPr>
        <w:rPr>
          <w:rFonts w:ascii="Arial" w:hAnsi="Arial" w:cs="Arial"/>
          <w:szCs w:val="24"/>
        </w:rPr>
      </w:pPr>
      <w:r w:rsidRPr="00907988">
        <w:rPr>
          <w:rFonts w:ascii="Arial" w:hAnsi="Arial" w:cs="Arial"/>
          <w:szCs w:val="24"/>
        </w:rPr>
        <w:t>As primeiras considerações a respeito dessa teoria datam</w:t>
      </w:r>
      <w:r w:rsidR="00142046" w:rsidRPr="00907988">
        <w:rPr>
          <w:rFonts w:ascii="Arial" w:hAnsi="Arial" w:cs="Arial"/>
          <w:szCs w:val="24"/>
        </w:rPr>
        <w:t xml:space="preserve"> de 1928,</w:t>
      </w:r>
      <w:r w:rsidR="004D2CBE" w:rsidRPr="00907988">
        <w:rPr>
          <w:rFonts w:ascii="Arial" w:hAnsi="Arial" w:cs="Arial"/>
          <w:szCs w:val="24"/>
        </w:rPr>
        <w:t xml:space="preserve"> quando</w:t>
      </w:r>
      <w:r w:rsidR="00142046" w:rsidRPr="00907988">
        <w:rPr>
          <w:rFonts w:ascii="Arial" w:hAnsi="Arial" w:cs="Arial"/>
          <w:szCs w:val="24"/>
        </w:rPr>
        <w:t xml:space="preserve"> Jon Von Neumann desenvolveu soluções para jogos de soma zero, resultando no </w:t>
      </w:r>
      <w:r w:rsidR="00142046" w:rsidRPr="00907988">
        <w:rPr>
          <w:rFonts w:ascii="Arial" w:hAnsi="Arial" w:cs="Arial"/>
          <w:i/>
          <w:szCs w:val="24"/>
        </w:rPr>
        <w:t>teorema “minimax”</w:t>
      </w:r>
      <w:r w:rsidR="00142046" w:rsidRPr="00907988">
        <w:rPr>
          <w:rFonts w:ascii="Arial" w:hAnsi="Arial" w:cs="Arial"/>
          <w:szCs w:val="24"/>
        </w:rPr>
        <w:t>, pelo qual o jogador age levando em conta o comportamento do outro jogador, buscando então reduzir</w:t>
      </w:r>
      <w:r w:rsidR="000976FE" w:rsidRPr="00907988">
        <w:rPr>
          <w:rFonts w:ascii="Arial" w:hAnsi="Arial" w:cs="Arial"/>
          <w:szCs w:val="24"/>
        </w:rPr>
        <w:t xml:space="preserve"> as suas perdas</w:t>
      </w:r>
      <w:r w:rsidR="00F951EE" w:rsidRPr="00907988">
        <w:rPr>
          <w:rFonts w:ascii="Arial" w:hAnsi="Arial" w:cs="Arial"/>
          <w:szCs w:val="24"/>
        </w:rPr>
        <w:t xml:space="preserve">. Depois disso, mais precisamente em 1944, juntamente com o alemão </w:t>
      </w:r>
      <w:r w:rsidR="00762ACB">
        <w:rPr>
          <w:rFonts w:ascii="Arial" w:hAnsi="Arial" w:cs="Arial"/>
          <w:szCs w:val="24"/>
        </w:rPr>
        <w:t xml:space="preserve">Oskar Morgeinstein, publicou o </w:t>
      </w:r>
      <w:r w:rsidR="00F951EE" w:rsidRPr="00907988">
        <w:rPr>
          <w:rFonts w:ascii="Arial" w:hAnsi="Arial" w:cs="Arial"/>
          <w:i/>
          <w:szCs w:val="24"/>
        </w:rPr>
        <w:t>Theory of Games and Economic Behavior</w:t>
      </w:r>
      <w:r w:rsidR="00F951EE" w:rsidRPr="00907988">
        <w:rPr>
          <w:rFonts w:ascii="Arial" w:hAnsi="Arial" w:cs="Arial"/>
          <w:szCs w:val="24"/>
        </w:rPr>
        <w:t>, introduzindo o campo de conhecimento interdisciplinar denominado Teoria dos Jogos, em áreas como a microeconomia, estratégia militar, finanças e negócios, assim como ao próprio Direito</w:t>
      </w:r>
      <w:r w:rsidR="00476E18" w:rsidRPr="00907988">
        <w:rPr>
          <w:rFonts w:ascii="Arial" w:hAnsi="Arial" w:cs="Arial"/>
          <w:szCs w:val="24"/>
        </w:rPr>
        <w:t xml:space="preserve"> </w:t>
      </w:r>
      <w:r w:rsidR="00F951EE" w:rsidRPr="00907988">
        <w:rPr>
          <w:rFonts w:ascii="Arial" w:hAnsi="Arial" w:cs="Arial"/>
          <w:szCs w:val="24"/>
        </w:rPr>
        <w:t>(CARVALHO, 2014)</w:t>
      </w:r>
      <w:r w:rsidR="000976FE" w:rsidRPr="00907988">
        <w:rPr>
          <w:rFonts w:ascii="Arial" w:hAnsi="Arial" w:cs="Arial"/>
          <w:szCs w:val="24"/>
        </w:rPr>
        <w:t xml:space="preserve">. </w:t>
      </w:r>
    </w:p>
    <w:p w14:paraId="12C85FFB" w14:textId="515B6461" w:rsidR="00E310BF" w:rsidRPr="00907988" w:rsidRDefault="00E310BF" w:rsidP="001106F0">
      <w:pPr>
        <w:rPr>
          <w:rFonts w:ascii="Arial" w:hAnsi="Arial" w:cs="Arial"/>
          <w:szCs w:val="24"/>
        </w:rPr>
      </w:pPr>
      <w:r w:rsidRPr="00907988">
        <w:rPr>
          <w:rFonts w:ascii="Arial" w:hAnsi="Arial" w:cs="Arial"/>
          <w:szCs w:val="24"/>
        </w:rPr>
        <w:t>No mesmo sentido, reforça o professor Marinho (2011), que apesar de ter sido criada na década de 1940, a Teoria dos Jogos sofreu por muitos anos o estigma de representar o “obscurantismo” na matemática, estigma que só́ caiu em 1994, quando Nash foi um dos ganhadores do prêmio Nobel de Economia pelo seu trabalho em Teoria dos Jogos</w:t>
      </w:r>
      <w:r w:rsidR="00607F0B">
        <w:rPr>
          <w:rFonts w:ascii="Arial" w:hAnsi="Arial" w:cs="Arial"/>
          <w:szCs w:val="24"/>
        </w:rPr>
        <w:t>.</w:t>
      </w:r>
    </w:p>
    <w:p w14:paraId="013BE929" w14:textId="257A2807" w:rsidR="00142046" w:rsidRPr="00907988" w:rsidRDefault="00142046" w:rsidP="001106F0">
      <w:pPr>
        <w:rPr>
          <w:rFonts w:ascii="Arial" w:hAnsi="Arial" w:cs="Arial"/>
          <w:szCs w:val="24"/>
        </w:rPr>
      </w:pPr>
      <w:r w:rsidRPr="00907988">
        <w:rPr>
          <w:rFonts w:ascii="Arial" w:hAnsi="Arial" w:cs="Arial"/>
          <w:szCs w:val="24"/>
        </w:rPr>
        <w:t xml:space="preserve">Pela prática usual, poucas áreas poderiam envolver mais ação estratégica que o Direito, onde interesses subjetivos entram em conflito constantemente, cabendo a uma autoridade decidir qual das partes tem razão, por intermédio de regras </w:t>
      </w:r>
      <w:r w:rsidRPr="00907988">
        <w:rPr>
          <w:rFonts w:ascii="Arial" w:hAnsi="Arial" w:cs="Arial"/>
          <w:szCs w:val="24"/>
        </w:rPr>
        <w:lastRenderedPageBreak/>
        <w:t>previamente postas por um legislador</w:t>
      </w:r>
      <w:r w:rsidR="008D5B0B" w:rsidRPr="00907988">
        <w:rPr>
          <w:rFonts w:ascii="Arial" w:hAnsi="Arial" w:cs="Arial"/>
          <w:szCs w:val="24"/>
        </w:rPr>
        <w:t xml:space="preserve">. </w:t>
      </w:r>
      <w:r w:rsidRPr="00907988">
        <w:rPr>
          <w:rFonts w:ascii="Arial" w:hAnsi="Arial" w:cs="Arial"/>
          <w:szCs w:val="24"/>
        </w:rPr>
        <w:t xml:space="preserve">A teoria dos jogos </w:t>
      </w:r>
      <w:r w:rsidR="008D5B0B" w:rsidRPr="00907988">
        <w:rPr>
          <w:rFonts w:ascii="Arial" w:hAnsi="Arial" w:cs="Arial"/>
          <w:szCs w:val="24"/>
        </w:rPr>
        <w:t xml:space="preserve">quando </w:t>
      </w:r>
      <w:r w:rsidRPr="00907988">
        <w:rPr>
          <w:rFonts w:ascii="Arial" w:hAnsi="Arial" w:cs="Arial"/>
          <w:szCs w:val="24"/>
        </w:rPr>
        <w:t xml:space="preserve">aplicada ao direito passa a ser importantíssima, quer seja na criação de leis, celebração de contratos, decisões judicias, inclusive os parcelamentos e </w:t>
      </w:r>
      <w:r w:rsidR="00C1509B" w:rsidRPr="00907988">
        <w:rPr>
          <w:rFonts w:ascii="Arial" w:hAnsi="Arial" w:cs="Arial"/>
          <w:szCs w:val="24"/>
        </w:rPr>
        <w:t>assim sucessivamente</w:t>
      </w:r>
      <w:r w:rsidR="00AD4078" w:rsidRPr="00907988">
        <w:rPr>
          <w:rFonts w:ascii="Arial" w:hAnsi="Arial" w:cs="Arial"/>
          <w:szCs w:val="24"/>
        </w:rPr>
        <w:t xml:space="preserve">. </w:t>
      </w:r>
      <w:r w:rsidRPr="00907988">
        <w:rPr>
          <w:rFonts w:ascii="Arial" w:hAnsi="Arial" w:cs="Arial"/>
          <w:szCs w:val="24"/>
        </w:rPr>
        <w:t>A tributação</w:t>
      </w:r>
      <w:r w:rsidR="00ED38EF" w:rsidRPr="00907988">
        <w:rPr>
          <w:rFonts w:ascii="Arial" w:hAnsi="Arial" w:cs="Arial"/>
          <w:szCs w:val="24"/>
        </w:rPr>
        <w:t xml:space="preserve">, </w:t>
      </w:r>
      <w:r w:rsidRPr="00907988">
        <w:rPr>
          <w:rFonts w:ascii="Arial" w:hAnsi="Arial" w:cs="Arial"/>
          <w:szCs w:val="24"/>
        </w:rPr>
        <w:t>é um instituto jurídico que mais afeta a nossa vida</w:t>
      </w:r>
      <w:r w:rsidR="00AD4078" w:rsidRPr="00907988">
        <w:rPr>
          <w:rFonts w:ascii="Arial" w:hAnsi="Arial" w:cs="Arial"/>
          <w:szCs w:val="24"/>
        </w:rPr>
        <w:t xml:space="preserve"> </w:t>
      </w:r>
      <w:r w:rsidRPr="00907988">
        <w:rPr>
          <w:rFonts w:ascii="Arial" w:hAnsi="Arial" w:cs="Arial"/>
          <w:szCs w:val="24"/>
        </w:rPr>
        <w:t>direta e indiretamente em praticamente todas as atividades que realizamos</w:t>
      </w:r>
      <w:r w:rsidR="00AD4078" w:rsidRPr="00907988">
        <w:rPr>
          <w:rFonts w:ascii="Arial" w:hAnsi="Arial" w:cs="Arial"/>
          <w:szCs w:val="24"/>
        </w:rPr>
        <w:t>,</w:t>
      </w:r>
      <w:r w:rsidR="00C1509B" w:rsidRPr="00907988">
        <w:rPr>
          <w:rFonts w:ascii="Arial" w:hAnsi="Arial" w:cs="Arial"/>
          <w:szCs w:val="24"/>
        </w:rPr>
        <w:t xml:space="preserve"> e a</w:t>
      </w:r>
      <w:r w:rsidRPr="00907988">
        <w:rPr>
          <w:rFonts w:ascii="Arial" w:hAnsi="Arial" w:cs="Arial"/>
          <w:szCs w:val="24"/>
        </w:rPr>
        <w:t xml:space="preserve"> teoria dos jogos permite planejar situações estratégicas, tanto para descrever quanto para prever consequências decorrentes das escolhas ante as regras existentes no nosso sistema jurídico (</w:t>
      </w:r>
      <w:r w:rsidR="00C1509B" w:rsidRPr="00907988">
        <w:rPr>
          <w:rFonts w:ascii="Arial" w:hAnsi="Arial" w:cs="Arial"/>
          <w:szCs w:val="24"/>
        </w:rPr>
        <w:t>CARVALHO, 2014</w:t>
      </w:r>
      <w:r w:rsidRPr="00907988">
        <w:rPr>
          <w:rFonts w:ascii="Arial" w:hAnsi="Arial" w:cs="Arial"/>
          <w:szCs w:val="24"/>
        </w:rPr>
        <w:t>).</w:t>
      </w:r>
    </w:p>
    <w:p w14:paraId="18095904" w14:textId="707FC3ED" w:rsidR="00AD4078" w:rsidRPr="00907988" w:rsidRDefault="00AD4078" w:rsidP="001106F0">
      <w:pPr>
        <w:rPr>
          <w:rFonts w:ascii="Arial" w:hAnsi="Arial" w:cs="Arial"/>
          <w:szCs w:val="24"/>
        </w:rPr>
      </w:pPr>
      <w:r w:rsidRPr="00907988">
        <w:rPr>
          <w:rFonts w:ascii="Arial" w:hAnsi="Arial" w:cs="Arial"/>
          <w:szCs w:val="24"/>
        </w:rPr>
        <w:t>No mesmo sentido, leciona Marinho (2011), que a Teoria dos Jogos é um método racional de modelagem dos processos de tomada de decisão, aplicável principalmente em situações em que a decisão de um agente econômico influencia a decisão do outro, ou, em outras palavras, situações em que “eu penso no que você pensa”. Modelado o problema, é possível identificar a decisão que apresenta o melhor resultado econômico, conhecido como “equilíbrio de Nash”: “a melhor decisão possível, levando-se em conta a decisão do outro</w:t>
      </w:r>
      <w:r w:rsidR="00607F0B">
        <w:rPr>
          <w:rFonts w:ascii="Arial" w:hAnsi="Arial" w:cs="Arial"/>
          <w:szCs w:val="24"/>
        </w:rPr>
        <w:t>”.</w:t>
      </w:r>
    </w:p>
    <w:p w14:paraId="31A12310" w14:textId="7A2F76C0" w:rsidR="00AD4078" w:rsidRPr="00907988" w:rsidRDefault="00AD4078" w:rsidP="001106F0">
      <w:pPr>
        <w:rPr>
          <w:rFonts w:ascii="Arial" w:hAnsi="Arial" w:cs="Arial"/>
          <w:szCs w:val="24"/>
        </w:rPr>
      </w:pPr>
      <w:r w:rsidRPr="00907988">
        <w:rPr>
          <w:rFonts w:ascii="Arial" w:hAnsi="Arial" w:cs="Arial"/>
          <w:szCs w:val="24"/>
        </w:rPr>
        <w:t xml:space="preserve">Por isso, essa é a ferramenta teórica mais importante para um bom gestor de relacionamentos mutuamente cooperativos em geral – e dos relacionamentos profissionais em particular. Esses relacionamentos são, essencialmente, modelos conhecidos como dilema dos prisioneiros em jogos repetidos (MARINHO, 2011). </w:t>
      </w:r>
    </w:p>
    <w:p w14:paraId="726C7C95" w14:textId="77777777" w:rsidR="00C325EE" w:rsidRPr="00907988" w:rsidRDefault="00142046" w:rsidP="001106F0">
      <w:pPr>
        <w:rPr>
          <w:rFonts w:ascii="Arial" w:hAnsi="Arial" w:cs="Arial"/>
          <w:szCs w:val="24"/>
        </w:rPr>
      </w:pPr>
      <w:r w:rsidRPr="00907988">
        <w:rPr>
          <w:rFonts w:ascii="Arial" w:hAnsi="Arial" w:cs="Arial"/>
          <w:szCs w:val="24"/>
        </w:rPr>
        <w:t>Um forte pressuposto da teoria dos jogos é que as pessoas são racionais</w:t>
      </w:r>
      <w:r w:rsidR="009F62D1" w:rsidRPr="00907988">
        <w:rPr>
          <w:rFonts w:ascii="Arial" w:hAnsi="Arial" w:cs="Arial"/>
          <w:szCs w:val="24"/>
        </w:rPr>
        <w:t>.</w:t>
      </w:r>
      <w:r w:rsidRPr="00907988">
        <w:rPr>
          <w:rFonts w:ascii="Arial" w:hAnsi="Arial" w:cs="Arial"/>
          <w:szCs w:val="24"/>
        </w:rPr>
        <w:t xml:space="preserve"> A racionalidade, no sentido aqui empregado, é instrumental. Pensar e escolher de modo a atingir a forma menos custosa os objetivos pretendidos, sejam lá quais forem</w:t>
      </w:r>
      <w:r w:rsidR="00AD1B38" w:rsidRPr="00907988">
        <w:rPr>
          <w:rFonts w:ascii="Arial" w:hAnsi="Arial" w:cs="Arial"/>
          <w:szCs w:val="24"/>
        </w:rPr>
        <w:t>, é o almejado. (CARVALHO, 2014</w:t>
      </w:r>
      <w:r w:rsidR="009F62D1" w:rsidRPr="00907988">
        <w:rPr>
          <w:rFonts w:ascii="Arial" w:hAnsi="Arial" w:cs="Arial"/>
          <w:szCs w:val="24"/>
        </w:rPr>
        <w:t xml:space="preserve">). </w:t>
      </w:r>
      <w:r w:rsidRPr="00907988">
        <w:rPr>
          <w:rFonts w:ascii="Arial" w:hAnsi="Arial" w:cs="Arial"/>
          <w:szCs w:val="24"/>
        </w:rPr>
        <w:t xml:space="preserve"> </w:t>
      </w:r>
    </w:p>
    <w:p w14:paraId="53ED10CE" w14:textId="419674FE" w:rsidR="00AD4078" w:rsidRPr="00907988" w:rsidRDefault="00142046" w:rsidP="001106F0">
      <w:pPr>
        <w:rPr>
          <w:rFonts w:ascii="Arial" w:hAnsi="Arial" w:cs="Arial"/>
          <w:szCs w:val="24"/>
        </w:rPr>
      </w:pPr>
      <w:r w:rsidRPr="00907988">
        <w:rPr>
          <w:rFonts w:ascii="Arial" w:hAnsi="Arial" w:cs="Arial"/>
          <w:szCs w:val="24"/>
        </w:rPr>
        <w:t xml:space="preserve">Segundo Gintis (2009) </w:t>
      </w:r>
      <w:r w:rsidRPr="00907988">
        <w:rPr>
          <w:rFonts w:ascii="Arial" w:hAnsi="Arial" w:cs="Arial"/>
          <w:i/>
          <w:szCs w:val="24"/>
        </w:rPr>
        <w:t xml:space="preserve">apud </w:t>
      </w:r>
      <w:r w:rsidRPr="00907988">
        <w:rPr>
          <w:rFonts w:ascii="Arial" w:hAnsi="Arial" w:cs="Arial"/>
          <w:szCs w:val="24"/>
        </w:rPr>
        <w:t xml:space="preserve">Carvalho (2014), a teoria dos jogos é uma teoria da decisão de múltiplos jogadores, em que cada uma de suas decisões afeta </w:t>
      </w:r>
      <w:r w:rsidR="009A7818" w:rsidRPr="00907988">
        <w:rPr>
          <w:rFonts w:ascii="Arial" w:hAnsi="Arial" w:cs="Arial"/>
          <w:szCs w:val="24"/>
        </w:rPr>
        <w:t>os galardões</w:t>
      </w:r>
      <w:r w:rsidRPr="00907988">
        <w:rPr>
          <w:rFonts w:ascii="Arial" w:hAnsi="Arial" w:cs="Arial"/>
          <w:szCs w:val="24"/>
        </w:rPr>
        <w:t xml:space="preserve"> do outro, e isso acontece, quando os jogadores consideram isso ao agirem</w:t>
      </w:r>
      <w:r w:rsidR="00607F0B">
        <w:rPr>
          <w:rFonts w:ascii="Arial" w:hAnsi="Arial" w:cs="Arial"/>
          <w:szCs w:val="24"/>
        </w:rPr>
        <w:t>.</w:t>
      </w:r>
    </w:p>
    <w:p w14:paraId="08F415D4" w14:textId="327F2A37" w:rsidR="00103CE7" w:rsidRPr="00907988" w:rsidRDefault="00AD4078" w:rsidP="001106F0">
      <w:pPr>
        <w:rPr>
          <w:rFonts w:ascii="Arial" w:hAnsi="Arial" w:cs="Arial"/>
          <w:szCs w:val="24"/>
        </w:rPr>
      </w:pPr>
      <w:r w:rsidRPr="00907988">
        <w:rPr>
          <w:rFonts w:ascii="Arial" w:hAnsi="Arial" w:cs="Arial"/>
          <w:szCs w:val="24"/>
        </w:rPr>
        <w:t xml:space="preserve">Ensinam Jakobi e Ribeiro (2014), que a </w:t>
      </w:r>
      <w:r w:rsidR="004060E6" w:rsidRPr="00907988">
        <w:rPr>
          <w:rFonts w:ascii="Arial" w:hAnsi="Arial" w:cs="Arial"/>
          <w:szCs w:val="24"/>
        </w:rPr>
        <w:t>preocupação central da teoria dos jogos está em verificar a forma como os agentes econômicos ou sociais tomam suas decisões, tendo em vista as possíveis ações e estratégias dos demais agentes</w:t>
      </w:r>
      <w:r w:rsidR="00607F0B">
        <w:rPr>
          <w:rFonts w:ascii="Arial" w:hAnsi="Arial" w:cs="Arial"/>
          <w:szCs w:val="24"/>
        </w:rPr>
        <w:t>.</w:t>
      </w:r>
    </w:p>
    <w:p w14:paraId="12CC72C4" w14:textId="2078989F" w:rsidR="00BB3B74" w:rsidRPr="00907988" w:rsidRDefault="00AD4078" w:rsidP="001106F0">
      <w:pPr>
        <w:rPr>
          <w:rFonts w:ascii="Arial" w:hAnsi="Arial" w:cs="Arial"/>
          <w:szCs w:val="24"/>
        </w:rPr>
      </w:pPr>
      <w:r w:rsidRPr="00907988">
        <w:rPr>
          <w:rFonts w:ascii="Arial" w:hAnsi="Arial" w:cs="Arial"/>
          <w:szCs w:val="24"/>
        </w:rPr>
        <w:t xml:space="preserve"> </w:t>
      </w:r>
      <w:r w:rsidR="008432F6" w:rsidRPr="00907988">
        <w:rPr>
          <w:rFonts w:ascii="Arial" w:hAnsi="Arial" w:cs="Arial"/>
          <w:szCs w:val="24"/>
        </w:rPr>
        <w:t xml:space="preserve">Acompanhando esse raciocínio, </w:t>
      </w:r>
      <w:r w:rsidR="005863F6" w:rsidRPr="00907988">
        <w:rPr>
          <w:rFonts w:ascii="Arial" w:hAnsi="Arial" w:cs="Arial"/>
          <w:szCs w:val="24"/>
        </w:rPr>
        <w:t>Carvalho</w:t>
      </w:r>
      <w:r w:rsidR="008432F6" w:rsidRPr="00907988">
        <w:rPr>
          <w:rFonts w:ascii="Arial" w:hAnsi="Arial" w:cs="Arial"/>
          <w:szCs w:val="24"/>
        </w:rPr>
        <w:t xml:space="preserve"> (2014)</w:t>
      </w:r>
      <w:r w:rsidR="005863F6" w:rsidRPr="00907988">
        <w:rPr>
          <w:rFonts w:ascii="Arial" w:hAnsi="Arial" w:cs="Arial"/>
          <w:szCs w:val="24"/>
        </w:rPr>
        <w:t xml:space="preserve">, </w:t>
      </w:r>
      <w:r w:rsidR="008432F6" w:rsidRPr="00907988">
        <w:rPr>
          <w:rFonts w:ascii="Arial" w:hAnsi="Arial" w:cs="Arial"/>
          <w:szCs w:val="24"/>
        </w:rPr>
        <w:t>aduz ser</w:t>
      </w:r>
      <w:r w:rsidR="00BB3B74" w:rsidRPr="00907988">
        <w:rPr>
          <w:rFonts w:ascii="Arial" w:hAnsi="Arial" w:cs="Arial"/>
          <w:szCs w:val="24"/>
        </w:rPr>
        <w:t xml:space="preserve"> corriqueiramente</w:t>
      </w:r>
      <w:r w:rsidR="008432F6" w:rsidRPr="00907988">
        <w:rPr>
          <w:rFonts w:ascii="Arial" w:hAnsi="Arial" w:cs="Arial"/>
          <w:szCs w:val="24"/>
        </w:rPr>
        <w:t xml:space="preserve"> </w:t>
      </w:r>
      <w:r w:rsidR="00BB3B74" w:rsidRPr="00907988">
        <w:rPr>
          <w:rFonts w:ascii="Arial" w:hAnsi="Arial" w:cs="Arial"/>
          <w:szCs w:val="24"/>
        </w:rPr>
        <w:t>toma</w:t>
      </w:r>
      <w:r w:rsidR="005863F6" w:rsidRPr="00907988">
        <w:rPr>
          <w:rFonts w:ascii="Arial" w:hAnsi="Arial" w:cs="Arial"/>
          <w:szCs w:val="24"/>
        </w:rPr>
        <w:t xml:space="preserve">das de </w:t>
      </w:r>
      <w:r w:rsidR="00BB3B74" w:rsidRPr="00907988">
        <w:rPr>
          <w:rFonts w:ascii="Arial" w:hAnsi="Arial" w:cs="Arial"/>
          <w:szCs w:val="24"/>
        </w:rPr>
        <w:t>escolhas racionais</w:t>
      </w:r>
      <w:r w:rsidR="005863F6" w:rsidRPr="00907988">
        <w:rPr>
          <w:rFonts w:ascii="Arial" w:hAnsi="Arial" w:cs="Arial"/>
          <w:szCs w:val="24"/>
        </w:rPr>
        <w:t xml:space="preserve"> pelas pessoas</w:t>
      </w:r>
      <w:r w:rsidR="00BB3B74" w:rsidRPr="00907988">
        <w:rPr>
          <w:rFonts w:ascii="Arial" w:hAnsi="Arial" w:cs="Arial"/>
          <w:szCs w:val="24"/>
        </w:rPr>
        <w:t>, seja de forma consciente e planejada,</w:t>
      </w:r>
      <w:r w:rsidR="00DD6A5E" w:rsidRPr="00907988">
        <w:rPr>
          <w:rFonts w:ascii="Arial" w:hAnsi="Arial" w:cs="Arial"/>
          <w:szCs w:val="24"/>
        </w:rPr>
        <w:t xml:space="preserve"> ou</w:t>
      </w:r>
      <w:r w:rsidR="00BB3B74" w:rsidRPr="00907988">
        <w:rPr>
          <w:rFonts w:ascii="Arial" w:hAnsi="Arial" w:cs="Arial"/>
          <w:szCs w:val="24"/>
        </w:rPr>
        <w:t xml:space="preserve"> de forma intuitiva</w:t>
      </w:r>
      <w:r w:rsidR="00DD6A5E" w:rsidRPr="00907988">
        <w:rPr>
          <w:rFonts w:ascii="Arial" w:hAnsi="Arial" w:cs="Arial"/>
          <w:szCs w:val="24"/>
        </w:rPr>
        <w:t>,</w:t>
      </w:r>
      <w:r w:rsidR="00BB3B74" w:rsidRPr="00907988">
        <w:rPr>
          <w:rFonts w:ascii="Arial" w:hAnsi="Arial" w:cs="Arial"/>
          <w:szCs w:val="24"/>
        </w:rPr>
        <w:t xml:space="preserve"> lev</w:t>
      </w:r>
      <w:r w:rsidR="008432F6" w:rsidRPr="00907988">
        <w:rPr>
          <w:rFonts w:ascii="Arial" w:hAnsi="Arial" w:cs="Arial"/>
          <w:szCs w:val="24"/>
        </w:rPr>
        <w:t xml:space="preserve">arem </w:t>
      </w:r>
      <w:r w:rsidR="00BB3B74" w:rsidRPr="00907988">
        <w:rPr>
          <w:rFonts w:ascii="Arial" w:hAnsi="Arial" w:cs="Arial"/>
          <w:szCs w:val="24"/>
        </w:rPr>
        <w:t xml:space="preserve">em consideração as possíveis escolhas e ações de </w:t>
      </w:r>
      <w:r w:rsidR="004D48CE" w:rsidRPr="00907988">
        <w:rPr>
          <w:rFonts w:ascii="Arial" w:hAnsi="Arial" w:cs="Arial"/>
          <w:szCs w:val="24"/>
        </w:rPr>
        <w:t>outros indivíduos, tornando sua</w:t>
      </w:r>
      <w:r w:rsidR="00DD6A5E" w:rsidRPr="00907988">
        <w:rPr>
          <w:rFonts w:ascii="Arial" w:hAnsi="Arial" w:cs="Arial"/>
          <w:szCs w:val="24"/>
        </w:rPr>
        <w:t xml:space="preserve">s escolhas </w:t>
      </w:r>
      <w:r w:rsidR="004D48CE" w:rsidRPr="00907988">
        <w:rPr>
          <w:rFonts w:ascii="Arial" w:hAnsi="Arial" w:cs="Arial"/>
          <w:szCs w:val="24"/>
        </w:rPr>
        <w:t>e</w:t>
      </w:r>
      <w:r w:rsidR="00BB3B74" w:rsidRPr="00907988">
        <w:rPr>
          <w:rFonts w:ascii="Arial" w:hAnsi="Arial" w:cs="Arial"/>
          <w:szCs w:val="24"/>
        </w:rPr>
        <w:t>stratégicas.</w:t>
      </w:r>
    </w:p>
    <w:p w14:paraId="485B8F69" w14:textId="07859AC3" w:rsidR="00BB3B74" w:rsidRPr="00907988" w:rsidRDefault="008432F6" w:rsidP="001106F0">
      <w:pPr>
        <w:rPr>
          <w:rFonts w:ascii="Arial" w:hAnsi="Arial" w:cs="Arial"/>
          <w:szCs w:val="24"/>
        </w:rPr>
      </w:pPr>
      <w:r w:rsidRPr="00907988">
        <w:rPr>
          <w:rFonts w:ascii="Arial" w:hAnsi="Arial" w:cs="Arial"/>
          <w:szCs w:val="24"/>
        </w:rPr>
        <w:lastRenderedPageBreak/>
        <w:t>A</w:t>
      </w:r>
      <w:r w:rsidR="00BB3B74" w:rsidRPr="00907988">
        <w:rPr>
          <w:rFonts w:ascii="Arial" w:hAnsi="Arial" w:cs="Arial"/>
          <w:szCs w:val="24"/>
        </w:rPr>
        <w:t xml:space="preserve"> estratégia é um instrumento formal </w:t>
      </w:r>
      <w:r w:rsidRPr="00907988">
        <w:rPr>
          <w:rFonts w:ascii="Arial" w:hAnsi="Arial" w:cs="Arial"/>
          <w:szCs w:val="24"/>
        </w:rPr>
        <w:t xml:space="preserve">que </w:t>
      </w:r>
      <w:r w:rsidR="00BB3B74" w:rsidRPr="00907988">
        <w:rPr>
          <w:rFonts w:ascii="Arial" w:hAnsi="Arial" w:cs="Arial"/>
          <w:szCs w:val="24"/>
        </w:rPr>
        <w:t>descreve, explica ou prev</w:t>
      </w:r>
      <w:r w:rsidRPr="00907988">
        <w:rPr>
          <w:rFonts w:ascii="Arial" w:hAnsi="Arial" w:cs="Arial"/>
          <w:szCs w:val="24"/>
        </w:rPr>
        <w:t>ê</w:t>
      </w:r>
      <w:r w:rsidR="00BB3B74" w:rsidRPr="00907988">
        <w:rPr>
          <w:rFonts w:ascii="Arial" w:hAnsi="Arial" w:cs="Arial"/>
          <w:szCs w:val="24"/>
        </w:rPr>
        <w:t xml:space="preserve"> os resultados das interações entre indivíduos cujos interesses podem ou não ser conflitantes. Um perfil de estratégias alinha as estratégias de cada um desses indivíduos, as quais podem ser adotadas sob determinadas circunstancias ambientais. Nisso reside</w:t>
      </w:r>
      <w:r w:rsidR="00965F83" w:rsidRPr="00907988">
        <w:rPr>
          <w:rFonts w:ascii="Arial" w:hAnsi="Arial" w:cs="Arial"/>
          <w:szCs w:val="24"/>
        </w:rPr>
        <w:t xml:space="preserve"> os requisitos primordiais</w:t>
      </w:r>
      <w:r w:rsidR="00BB3B74" w:rsidRPr="00907988">
        <w:rPr>
          <w:rFonts w:ascii="Arial" w:hAnsi="Arial" w:cs="Arial"/>
          <w:szCs w:val="24"/>
        </w:rPr>
        <w:t xml:space="preserve"> do jogo. É fundamental conhecer esses ingredientes, para que possamos trabalhar sobre eles na tentativa de sofisticar os resultados obtidos, o que pode ser feito mediante a adição de certos supostos sobre c</w:t>
      </w:r>
      <w:r w:rsidR="00BB1A4F" w:rsidRPr="00907988">
        <w:rPr>
          <w:rFonts w:ascii="Arial" w:hAnsi="Arial" w:cs="Arial"/>
          <w:szCs w:val="24"/>
        </w:rPr>
        <w:t>omportamentos (BÊRNI; FERNANDEZ</w:t>
      </w:r>
      <w:r w:rsidR="00BB3B74" w:rsidRPr="00907988">
        <w:rPr>
          <w:rFonts w:ascii="Arial" w:hAnsi="Arial" w:cs="Arial"/>
          <w:szCs w:val="24"/>
        </w:rPr>
        <w:t>,</w:t>
      </w:r>
      <w:r w:rsidR="00F64DC5" w:rsidRPr="00907988">
        <w:rPr>
          <w:rFonts w:ascii="Arial" w:hAnsi="Arial" w:cs="Arial"/>
          <w:szCs w:val="24"/>
        </w:rPr>
        <w:t xml:space="preserve"> </w:t>
      </w:r>
      <w:r w:rsidR="00BB3B74" w:rsidRPr="00907988">
        <w:rPr>
          <w:rFonts w:ascii="Arial" w:hAnsi="Arial" w:cs="Arial"/>
          <w:szCs w:val="24"/>
        </w:rPr>
        <w:t>2014).</w:t>
      </w:r>
    </w:p>
    <w:p w14:paraId="4D4B5028" w14:textId="35BECC0C" w:rsidR="00B339BA" w:rsidRPr="00907988" w:rsidRDefault="009463BF" w:rsidP="001106F0">
      <w:pPr>
        <w:rPr>
          <w:rFonts w:ascii="Arial" w:hAnsi="Arial" w:cs="Arial"/>
          <w:szCs w:val="24"/>
        </w:rPr>
      </w:pPr>
      <w:r w:rsidRPr="00907988">
        <w:rPr>
          <w:rFonts w:ascii="Arial" w:hAnsi="Arial" w:cs="Arial"/>
          <w:szCs w:val="24"/>
        </w:rPr>
        <w:t>No caso dos parcelamentos, o contribuinte quando adere a um pro</w:t>
      </w:r>
      <w:r w:rsidR="00472C8F" w:rsidRPr="00907988">
        <w:rPr>
          <w:rFonts w:ascii="Arial" w:hAnsi="Arial" w:cs="Arial"/>
          <w:szCs w:val="24"/>
        </w:rPr>
        <w:t>grama de parcelamento,</w:t>
      </w:r>
      <w:r w:rsidR="00134AA5" w:rsidRPr="00907988">
        <w:rPr>
          <w:rFonts w:ascii="Arial" w:hAnsi="Arial" w:cs="Arial"/>
          <w:szCs w:val="24"/>
        </w:rPr>
        <w:t xml:space="preserve"> conhece</w:t>
      </w:r>
      <w:r w:rsidR="00472C8F" w:rsidRPr="00907988">
        <w:rPr>
          <w:rFonts w:ascii="Arial" w:hAnsi="Arial" w:cs="Arial"/>
          <w:szCs w:val="24"/>
        </w:rPr>
        <w:t xml:space="preserve"> as condições e </w:t>
      </w:r>
      <w:r w:rsidR="00134AA5" w:rsidRPr="00907988">
        <w:rPr>
          <w:rFonts w:ascii="Arial" w:hAnsi="Arial" w:cs="Arial"/>
          <w:szCs w:val="24"/>
        </w:rPr>
        <w:t xml:space="preserve">suas </w:t>
      </w:r>
      <w:r w:rsidR="00472C8F" w:rsidRPr="00907988">
        <w:rPr>
          <w:rFonts w:ascii="Arial" w:hAnsi="Arial" w:cs="Arial"/>
          <w:szCs w:val="24"/>
        </w:rPr>
        <w:t>sanções em caso de rescisão do acordo efetiva</w:t>
      </w:r>
      <w:r w:rsidR="004D32F1" w:rsidRPr="00907988">
        <w:rPr>
          <w:rFonts w:ascii="Arial" w:hAnsi="Arial" w:cs="Arial"/>
          <w:szCs w:val="24"/>
        </w:rPr>
        <w:t>do. A partir da adesão</w:t>
      </w:r>
      <w:r w:rsidR="00134AA5" w:rsidRPr="00907988">
        <w:rPr>
          <w:rFonts w:ascii="Arial" w:hAnsi="Arial" w:cs="Arial"/>
          <w:szCs w:val="24"/>
        </w:rPr>
        <w:t xml:space="preserve">, passa a existir </w:t>
      </w:r>
      <w:r w:rsidR="000037D0" w:rsidRPr="00907988">
        <w:rPr>
          <w:rFonts w:ascii="Arial" w:hAnsi="Arial" w:cs="Arial"/>
          <w:szCs w:val="24"/>
        </w:rPr>
        <w:t>a possibilidade de agir</w:t>
      </w:r>
      <w:r w:rsidR="00472C8F" w:rsidRPr="00907988">
        <w:rPr>
          <w:rFonts w:ascii="Arial" w:hAnsi="Arial" w:cs="Arial"/>
          <w:szCs w:val="24"/>
        </w:rPr>
        <w:t xml:space="preserve"> da maneira mais </w:t>
      </w:r>
      <w:r w:rsidR="004D32F1" w:rsidRPr="00907988">
        <w:rPr>
          <w:rFonts w:ascii="Arial" w:hAnsi="Arial" w:cs="Arial"/>
          <w:szCs w:val="24"/>
        </w:rPr>
        <w:t>benéfica e estrat</w:t>
      </w:r>
      <w:r w:rsidR="00134AA5" w:rsidRPr="00907988">
        <w:rPr>
          <w:rFonts w:ascii="Arial" w:hAnsi="Arial" w:cs="Arial"/>
          <w:szCs w:val="24"/>
        </w:rPr>
        <w:t>é</w:t>
      </w:r>
      <w:r w:rsidR="004D32F1" w:rsidRPr="00907988">
        <w:rPr>
          <w:rFonts w:ascii="Arial" w:hAnsi="Arial" w:cs="Arial"/>
          <w:szCs w:val="24"/>
        </w:rPr>
        <w:t>gica</w:t>
      </w:r>
      <w:r w:rsidR="000037D0" w:rsidRPr="00907988">
        <w:rPr>
          <w:rFonts w:ascii="Arial" w:hAnsi="Arial" w:cs="Arial"/>
          <w:szCs w:val="24"/>
        </w:rPr>
        <w:t xml:space="preserve"> em benef</w:t>
      </w:r>
      <w:r w:rsidR="00134AA5" w:rsidRPr="00907988">
        <w:rPr>
          <w:rFonts w:ascii="Arial" w:hAnsi="Arial" w:cs="Arial"/>
          <w:szCs w:val="24"/>
        </w:rPr>
        <w:t>í</w:t>
      </w:r>
      <w:r w:rsidR="000037D0" w:rsidRPr="00907988">
        <w:rPr>
          <w:rFonts w:ascii="Arial" w:hAnsi="Arial" w:cs="Arial"/>
          <w:szCs w:val="24"/>
        </w:rPr>
        <w:t xml:space="preserve">cio </w:t>
      </w:r>
      <w:r w:rsidR="00AF4F19" w:rsidRPr="00907988">
        <w:rPr>
          <w:rFonts w:ascii="Arial" w:hAnsi="Arial" w:cs="Arial"/>
          <w:szCs w:val="24"/>
        </w:rPr>
        <w:t>próprio</w:t>
      </w:r>
      <w:r w:rsidR="00134AA5" w:rsidRPr="00907988">
        <w:rPr>
          <w:rFonts w:ascii="Arial" w:hAnsi="Arial" w:cs="Arial"/>
          <w:szCs w:val="24"/>
        </w:rPr>
        <w:t xml:space="preserve"> possível</w:t>
      </w:r>
      <w:r w:rsidR="00E95895" w:rsidRPr="00907988">
        <w:rPr>
          <w:rFonts w:ascii="Arial" w:hAnsi="Arial" w:cs="Arial"/>
          <w:szCs w:val="24"/>
        </w:rPr>
        <w:t xml:space="preserve">, jogando com as </w:t>
      </w:r>
      <w:r w:rsidR="004D32F1" w:rsidRPr="00907988">
        <w:rPr>
          <w:rFonts w:ascii="Arial" w:hAnsi="Arial" w:cs="Arial"/>
          <w:szCs w:val="24"/>
        </w:rPr>
        <w:t>regras do parcelamento</w:t>
      </w:r>
      <w:r w:rsidR="009F19E7" w:rsidRPr="00907988">
        <w:rPr>
          <w:rFonts w:ascii="Arial" w:hAnsi="Arial" w:cs="Arial"/>
          <w:szCs w:val="24"/>
        </w:rPr>
        <w:t xml:space="preserve"> e moldando o seu </w:t>
      </w:r>
      <w:r w:rsidR="00B339BA" w:rsidRPr="00907988">
        <w:rPr>
          <w:rFonts w:ascii="Arial" w:hAnsi="Arial" w:cs="Arial"/>
          <w:szCs w:val="24"/>
        </w:rPr>
        <w:t xml:space="preserve">comportamento </w:t>
      </w:r>
      <w:r w:rsidR="000037D0" w:rsidRPr="00907988">
        <w:rPr>
          <w:rFonts w:ascii="Arial" w:hAnsi="Arial" w:cs="Arial"/>
          <w:szCs w:val="24"/>
        </w:rPr>
        <w:t>estrategicamente</w:t>
      </w:r>
      <w:r w:rsidR="009F19E7" w:rsidRPr="00907988">
        <w:rPr>
          <w:rFonts w:ascii="Arial" w:hAnsi="Arial" w:cs="Arial"/>
          <w:szCs w:val="24"/>
        </w:rPr>
        <w:t xml:space="preserve"> para obter a</w:t>
      </w:r>
      <w:r w:rsidR="00B339BA" w:rsidRPr="00907988">
        <w:rPr>
          <w:rFonts w:ascii="Arial" w:hAnsi="Arial" w:cs="Arial"/>
          <w:szCs w:val="24"/>
        </w:rPr>
        <w:t xml:space="preserve"> maior vantagem </w:t>
      </w:r>
      <w:r w:rsidR="00134AA5" w:rsidRPr="00907988">
        <w:rPr>
          <w:rFonts w:ascii="Arial" w:hAnsi="Arial" w:cs="Arial"/>
          <w:szCs w:val="24"/>
        </w:rPr>
        <w:t>eventual</w:t>
      </w:r>
      <w:r w:rsidR="004D32F1" w:rsidRPr="00907988">
        <w:rPr>
          <w:rFonts w:ascii="Arial" w:hAnsi="Arial" w:cs="Arial"/>
          <w:szCs w:val="24"/>
        </w:rPr>
        <w:t xml:space="preserve">. </w:t>
      </w:r>
    </w:p>
    <w:p w14:paraId="73A6AD71" w14:textId="77777777" w:rsidR="004727C7" w:rsidRPr="00907988" w:rsidRDefault="004727C7" w:rsidP="001106F0">
      <w:pPr>
        <w:rPr>
          <w:rFonts w:ascii="Arial" w:hAnsi="Arial" w:cs="Arial"/>
          <w:szCs w:val="24"/>
        </w:rPr>
      </w:pPr>
    </w:p>
    <w:p w14:paraId="710EC091" w14:textId="728C4DA2" w:rsidR="00605FCB" w:rsidRPr="00907988" w:rsidRDefault="00ED2BF5" w:rsidP="001106F0">
      <w:pPr>
        <w:ind w:firstLine="0"/>
        <w:rPr>
          <w:rFonts w:ascii="Arial" w:hAnsi="Arial" w:cs="Arial"/>
          <w:b/>
          <w:color w:val="000000"/>
          <w:szCs w:val="24"/>
        </w:rPr>
      </w:pPr>
      <w:r w:rsidRPr="00907988">
        <w:rPr>
          <w:rFonts w:ascii="Arial" w:hAnsi="Arial" w:cs="Arial"/>
          <w:b/>
          <w:szCs w:val="24"/>
        </w:rPr>
        <w:t>4</w:t>
      </w:r>
      <w:r w:rsidR="00605FCB" w:rsidRPr="00907988">
        <w:rPr>
          <w:rFonts w:ascii="Arial" w:hAnsi="Arial" w:cs="Arial"/>
          <w:b/>
          <w:szCs w:val="24"/>
        </w:rPr>
        <w:t xml:space="preserve"> O COMPORTAMENTO DOS GRANDES DEVEDORES FRENTE AO PARCELAMENTO</w:t>
      </w:r>
      <w:r w:rsidR="0096660A" w:rsidRPr="00907988">
        <w:rPr>
          <w:rFonts w:ascii="Arial" w:hAnsi="Arial" w:cs="Arial"/>
          <w:b/>
          <w:color w:val="000000"/>
          <w:szCs w:val="24"/>
        </w:rPr>
        <w:t xml:space="preserve"> </w:t>
      </w:r>
    </w:p>
    <w:p w14:paraId="51FF1A47" w14:textId="77777777" w:rsidR="004727C7" w:rsidRPr="00907988" w:rsidRDefault="004727C7" w:rsidP="001106F0">
      <w:pPr>
        <w:ind w:firstLine="0"/>
        <w:rPr>
          <w:rFonts w:ascii="Arial" w:hAnsi="Arial" w:cs="Arial"/>
          <w:b/>
          <w:szCs w:val="24"/>
        </w:rPr>
      </w:pPr>
    </w:p>
    <w:p w14:paraId="38044CDF" w14:textId="42D5D708" w:rsidR="00002D16" w:rsidRPr="00907988" w:rsidRDefault="00605FCB"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Segundo relatório da RFB (2017), n</w:t>
      </w:r>
      <w:r w:rsidR="00BB3B74" w:rsidRPr="00907988">
        <w:rPr>
          <w:rFonts w:ascii="Arial" w:hAnsi="Arial" w:cs="Arial"/>
          <w:sz w:val="24"/>
          <w:szCs w:val="24"/>
        </w:rPr>
        <w:t xml:space="preserve">o decorrer dos </w:t>
      </w:r>
      <w:r w:rsidR="003F6A08" w:rsidRPr="00907988">
        <w:rPr>
          <w:rFonts w:ascii="Arial" w:hAnsi="Arial" w:cs="Arial"/>
          <w:sz w:val="24"/>
          <w:szCs w:val="24"/>
        </w:rPr>
        <w:t>ú</w:t>
      </w:r>
      <w:r w:rsidR="00002D16" w:rsidRPr="00907988">
        <w:rPr>
          <w:rFonts w:ascii="Arial" w:hAnsi="Arial" w:cs="Arial"/>
          <w:sz w:val="24"/>
          <w:szCs w:val="24"/>
        </w:rPr>
        <w:t>ltimos 18 anos for</w:t>
      </w:r>
      <w:r w:rsidR="004361AF" w:rsidRPr="00907988">
        <w:rPr>
          <w:rFonts w:ascii="Arial" w:hAnsi="Arial" w:cs="Arial"/>
          <w:sz w:val="24"/>
          <w:szCs w:val="24"/>
        </w:rPr>
        <w:t xml:space="preserve">am criados aproximadamente 40 </w:t>
      </w:r>
      <w:r w:rsidR="00002D16" w:rsidRPr="00907988">
        <w:rPr>
          <w:rFonts w:ascii="Arial" w:hAnsi="Arial" w:cs="Arial"/>
          <w:sz w:val="24"/>
          <w:szCs w:val="24"/>
        </w:rPr>
        <w:t>programas de parcelamentos especiais. Todos eles com expressivas reduções nos valores das multas, dos juros e dos encargos legais cobrados quando da inscrição do débito em Dívida Ativa da União, com prazos p</w:t>
      </w:r>
      <w:r w:rsidR="0030737F" w:rsidRPr="00907988">
        <w:rPr>
          <w:rFonts w:ascii="Arial" w:hAnsi="Arial" w:cs="Arial"/>
          <w:sz w:val="24"/>
          <w:szCs w:val="24"/>
        </w:rPr>
        <w:t>ara pagamento extremante longos</w:t>
      </w:r>
      <w:r w:rsidR="00524A95" w:rsidRPr="00907988">
        <w:rPr>
          <w:rFonts w:ascii="Arial" w:hAnsi="Arial" w:cs="Arial"/>
          <w:sz w:val="24"/>
          <w:szCs w:val="24"/>
        </w:rPr>
        <w:t>.</w:t>
      </w:r>
      <w:r w:rsidR="00103CE7" w:rsidRPr="00907988">
        <w:rPr>
          <w:rFonts w:ascii="Arial" w:hAnsi="Arial" w:cs="Arial"/>
          <w:sz w:val="24"/>
          <w:szCs w:val="24"/>
        </w:rPr>
        <w:t xml:space="preserve"> </w:t>
      </w:r>
    </w:p>
    <w:p w14:paraId="1805EA98" w14:textId="77777777" w:rsidR="00002D16" w:rsidRPr="00907988" w:rsidRDefault="00002D16"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 xml:space="preserve">Metade (50%) dos contribuintes que aderiram a um desses programas de parcelamento foram excluídos por inadimplência logo no período inicial de adesão. Nem mesmo as altas reduções concedidas motivaram os contribuintes a regularizarem suas dívidas ante a </w:t>
      </w:r>
      <w:r w:rsidR="0025146C" w:rsidRPr="00907988">
        <w:rPr>
          <w:rFonts w:ascii="Arial" w:hAnsi="Arial" w:cs="Arial"/>
          <w:sz w:val="24"/>
          <w:szCs w:val="24"/>
        </w:rPr>
        <w:t>Fazenda nacional (BRASIL,</w:t>
      </w:r>
      <w:r w:rsidR="0030737F" w:rsidRPr="00907988">
        <w:rPr>
          <w:rFonts w:ascii="Arial" w:hAnsi="Arial" w:cs="Arial"/>
          <w:sz w:val="24"/>
          <w:szCs w:val="24"/>
        </w:rPr>
        <w:t xml:space="preserve"> 2017</w:t>
      </w:r>
      <w:r w:rsidR="0025146C" w:rsidRPr="00907988">
        <w:rPr>
          <w:rFonts w:ascii="Arial" w:hAnsi="Arial" w:cs="Arial"/>
          <w:sz w:val="24"/>
          <w:szCs w:val="24"/>
        </w:rPr>
        <w:t>).</w:t>
      </w:r>
    </w:p>
    <w:p w14:paraId="36058C0E" w14:textId="402E1484" w:rsidR="00002D16" w:rsidRPr="00907988" w:rsidRDefault="00605FCB"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Segundo informações de Passos Filho (2018), o</w:t>
      </w:r>
      <w:r w:rsidR="00002D16" w:rsidRPr="00907988">
        <w:rPr>
          <w:rFonts w:ascii="Arial" w:hAnsi="Arial" w:cs="Arial"/>
          <w:sz w:val="24"/>
          <w:szCs w:val="24"/>
        </w:rPr>
        <w:t xml:space="preserve"> ano de 2017 </w:t>
      </w:r>
      <w:r w:rsidRPr="00907988">
        <w:rPr>
          <w:rFonts w:ascii="Arial" w:hAnsi="Arial" w:cs="Arial"/>
          <w:sz w:val="24"/>
          <w:szCs w:val="24"/>
        </w:rPr>
        <w:t>houve a</w:t>
      </w:r>
      <w:r w:rsidR="00002D16" w:rsidRPr="00907988">
        <w:rPr>
          <w:rFonts w:ascii="Arial" w:hAnsi="Arial" w:cs="Arial"/>
          <w:sz w:val="24"/>
          <w:szCs w:val="24"/>
        </w:rPr>
        <w:t xml:space="preserve"> concessão de diversos parcelamentos especiais, tais como o Progra</w:t>
      </w:r>
      <w:r w:rsidR="00A57D71" w:rsidRPr="00907988">
        <w:rPr>
          <w:rFonts w:ascii="Arial" w:hAnsi="Arial" w:cs="Arial"/>
          <w:sz w:val="24"/>
          <w:szCs w:val="24"/>
        </w:rPr>
        <w:t xml:space="preserve">ma de Regularização Tributária – </w:t>
      </w:r>
      <w:r w:rsidR="002B28A3" w:rsidRPr="00907988">
        <w:rPr>
          <w:rFonts w:ascii="Arial" w:hAnsi="Arial" w:cs="Arial"/>
          <w:sz w:val="24"/>
          <w:szCs w:val="24"/>
        </w:rPr>
        <w:t>PRT</w:t>
      </w:r>
      <w:r w:rsidR="00002D16" w:rsidRPr="00907988">
        <w:rPr>
          <w:rFonts w:ascii="Arial" w:hAnsi="Arial" w:cs="Arial"/>
          <w:sz w:val="24"/>
          <w:szCs w:val="24"/>
        </w:rPr>
        <w:t>, o Programa Especial de Regularização Tr</w:t>
      </w:r>
      <w:r w:rsidR="00A57D71" w:rsidRPr="00907988">
        <w:rPr>
          <w:rFonts w:ascii="Arial" w:hAnsi="Arial" w:cs="Arial"/>
          <w:sz w:val="24"/>
          <w:szCs w:val="24"/>
        </w:rPr>
        <w:t xml:space="preserve">ibutária – </w:t>
      </w:r>
      <w:r w:rsidR="00002D16" w:rsidRPr="00907988">
        <w:rPr>
          <w:rFonts w:ascii="Arial" w:hAnsi="Arial" w:cs="Arial"/>
          <w:sz w:val="24"/>
          <w:szCs w:val="24"/>
        </w:rPr>
        <w:t>P</w:t>
      </w:r>
      <w:r w:rsidR="00A57D71" w:rsidRPr="00907988">
        <w:rPr>
          <w:rFonts w:ascii="Arial" w:hAnsi="Arial" w:cs="Arial"/>
          <w:sz w:val="24"/>
          <w:szCs w:val="24"/>
        </w:rPr>
        <w:t>ERT</w:t>
      </w:r>
      <w:r w:rsidR="00002D16" w:rsidRPr="00907988">
        <w:rPr>
          <w:rFonts w:ascii="Arial" w:hAnsi="Arial" w:cs="Arial"/>
          <w:sz w:val="24"/>
          <w:szCs w:val="24"/>
        </w:rPr>
        <w:t xml:space="preserve">, o Programa de </w:t>
      </w:r>
      <w:r w:rsidR="00A57D71" w:rsidRPr="00907988">
        <w:rPr>
          <w:rFonts w:ascii="Arial" w:hAnsi="Arial" w:cs="Arial"/>
          <w:sz w:val="24"/>
          <w:szCs w:val="24"/>
        </w:rPr>
        <w:t xml:space="preserve">Regularização Tributária Rural – </w:t>
      </w:r>
      <w:r w:rsidR="00002D16" w:rsidRPr="00907988">
        <w:rPr>
          <w:rFonts w:ascii="Arial" w:hAnsi="Arial" w:cs="Arial"/>
          <w:sz w:val="24"/>
          <w:szCs w:val="24"/>
        </w:rPr>
        <w:t>P</w:t>
      </w:r>
      <w:r w:rsidR="00A57D71" w:rsidRPr="00907988">
        <w:rPr>
          <w:rFonts w:ascii="Arial" w:hAnsi="Arial" w:cs="Arial"/>
          <w:sz w:val="24"/>
          <w:szCs w:val="24"/>
        </w:rPr>
        <w:t>RR</w:t>
      </w:r>
      <w:r w:rsidR="007E39E0" w:rsidRPr="00907988">
        <w:rPr>
          <w:rFonts w:ascii="Arial" w:hAnsi="Arial" w:cs="Arial"/>
          <w:sz w:val="24"/>
          <w:szCs w:val="24"/>
        </w:rPr>
        <w:t xml:space="preserve"> </w:t>
      </w:r>
      <w:r w:rsidR="00002D16" w:rsidRPr="00907988">
        <w:rPr>
          <w:rFonts w:ascii="Arial" w:hAnsi="Arial" w:cs="Arial"/>
          <w:sz w:val="24"/>
          <w:szCs w:val="24"/>
        </w:rPr>
        <w:t>e o Programa de Regularização de Débitos Previdenciários dos Estados,</w:t>
      </w:r>
      <w:r w:rsidR="00A57D71" w:rsidRPr="00907988">
        <w:rPr>
          <w:rFonts w:ascii="Arial" w:hAnsi="Arial" w:cs="Arial"/>
          <w:sz w:val="24"/>
          <w:szCs w:val="24"/>
        </w:rPr>
        <w:t xml:space="preserve"> Distrito Federal e Municípios –  PREM</w:t>
      </w:r>
      <w:r w:rsidR="00002D16" w:rsidRPr="00907988">
        <w:rPr>
          <w:rFonts w:ascii="Arial" w:hAnsi="Arial" w:cs="Arial"/>
          <w:sz w:val="24"/>
          <w:szCs w:val="24"/>
        </w:rPr>
        <w:t xml:space="preserve">. </w:t>
      </w:r>
      <w:r w:rsidRPr="00907988">
        <w:rPr>
          <w:rFonts w:ascii="Arial" w:hAnsi="Arial" w:cs="Arial"/>
          <w:sz w:val="24"/>
          <w:szCs w:val="24"/>
        </w:rPr>
        <w:t>E</w:t>
      </w:r>
      <w:r w:rsidR="00002D16" w:rsidRPr="00907988">
        <w:rPr>
          <w:rFonts w:ascii="Arial" w:hAnsi="Arial" w:cs="Arial"/>
          <w:sz w:val="24"/>
          <w:szCs w:val="24"/>
        </w:rPr>
        <w:t xml:space="preserve">ssa sequência de parcelamentos implicou um forte incremento do estoque submetido a benefício fiscal, que passou de R$ 147 bilhões em março de 2017 para </w:t>
      </w:r>
      <w:r w:rsidR="00002D16" w:rsidRPr="00907988">
        <w:rPr>
          <w:rFonts w:ascii="Arial" w:hAnsi="Arial" w:cs="Arial"/>
          <w:sz w:val="24"/>
          <w:szCs w:val="24"/>
        </w:rPr>
        <w:lastRenderedPageBreak/>
        <w:t>R$ 264 bilhões em dezembro de 2017. Trata-se de um aumento de 81,6% em apenas 09 m</w:t>
      </w:r>
      <w:r w:rsidR="00992EC5" w:rsidRPr="00907988">
        <w:rPr>
          <w:rFonts w:ascii="Arial" w:hAnsi="Arial" w:cs="Arial"/>
          <w:sz w:val="24"/>
          <w:szCs w:val="24"/>
        </w:rPr>
        <w:t>eses</w:t>
      </w:r>
      <w:r w:rsidRPr="00907988">
        <w:rPr>
          <w:rFonts w:ascii="Arial" w:hAnsi="Arial" w:cs="Arial"/>
          <w:sz w:val="24"/>
          <w:szCs w:val="24"/>
        </w:rPr>
        <w:t>.</w:t>
      </w:r>
      <w:r w:rsidR="00103CE7" w:rsidRPr="00907988">
        <w:rPr>
          <w:rFonts w:ascii="Arial" w:hAnsi="Arial" w:cs="Arial"/>
          <w:sz w:val="24"/>
          <w:szCs w:val="24"/>
        </w:rPr>
        <w:t xml:space="preserve"> </w:t>
      </w:r>
    </w:p>
    <w:p w14:paraId="0DDACFD4" w14:textId="3C6AA025" w:rsidR="00002D16" w:rsidRPr="00907988" w:rsidRDefault="00002D16"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O grande salto do volume parcelado ocorrido de junho a novembro de 2017</w:t>
      </w:r>
      <w:r w:rsidR="00992EC5" w:rsidRPr="00907988">
        <w:rPr>
          <w:rFonts w:ascii="Arial" w:hAnsi="Arial" w:cs="Arial"/>
          <w:sz w:val="24"/>
          <w:szCs w:val="24"/>
        </w:rPr>
        <w:t>,</w:t>
      </w:r>
      <w:r w:rsidRPr="00907988">
        <w:rPr>
          <w:rFonts w:ascii="Arial" w:hAnsi="Arial" w:cs="Arial"/>
          <w:sz w:val="24"/>
          <w:szCs w:val="24"/>
        </w:rPr>
        <w:t xml:space="preserve"> coincide</w:t>
      </w:r>
      <w:r w:rsidR="00361917" w:rsidRPr="00907988">
        <w:rPr>
          <w:rFonts w:ascii="Arial" w:hAnsi="Arial" w:cs="Arial"/>
          <w:sz w:val="24"/>
          <w:szCs w:val="24"/>
        </w:rPr>
        <w:t xml:space="preserve"> com o período de adesão ao PERT</w:t>
      </w:r>
      <w:r w:rsidRPr="00907988">
        <w:rPr>
          <w:rFonts w:ascii="Arial" w:hAnsi="Arial" w:cs="Arial"/>
          <w:sz w:val="24"/>
          <w:szCs w:val="24"/>
        </w:rPr>
        <w:t>, parcelamento criado pela MP 783/2017, convertida na Lei 13.496/2017, que confere descontos de até 90% sobre juros e 70% sobre multas, além de prazo de até 175 meses para liquidação do débito (PASSOS FILHO, 2</w:t>
      </w:r>
      <w:r w:rsidR="003F0664" w:rsidRPr="00907988">
        <w:rPr>
          <w:rFonts w:ascii="Arial" w:hAnsi="Arial" w:cs="Arial"/>
          <w:sz w:val="24"/>
          <w:szCs w:val="24"/>
        </w:rPr>
        <w:t>018).</w:t>
      </w:r>
    </w:p>
    <w:p w14:paraId="7D913A66" w14:textId="1DC775A7" w:rsidR="00DA3637" w:rsidRDefault="00605918" w:rsidP="001106F0">
      <w:pPr>
        <w:pStyle w:val="Padro"/>
        <w:spacing w:after="0" w:line="360" w:lineRule="auto"/>
        <w:ind w:firstLine="709"/>
        <w:jc w:val="both"/>
        <w:rPr>
          <w:rFonts w:ascii="Arial" w:hAnsi="Arial" w:cs="Arial"/>
          <w:sz w:val="24"/>
          <w:szCs w:val="24"/>
        </w:rPr>
      </w:pPr>
      <w:r w:rsidRPr="00907988">
        <w:rPr>
          <w:rFonts w:ascii="Arial" w:hAnsi="Arial" w:cs="Arial"/>
          <w:sz w:val="24"/>
          <w:szCs w:val="24"/>
        </w:rPr>
        <w:t>Os contribuintes com dívidas inscritas na D</w:t>
      </w:r>
      <w:r w:rsidR="009E5AD4" w:rsidRPr="00907988">
        <w:rPr>
          <w:rFonts w:ascii="Arial" w:hAnsi="Arial" w:cs="Arial"/>
          <w:sz w:val="24"/>
          <w:szCs w:val="24"/>
        </w:rPr>
        <w:t xml:space="preserve">ívida </w:t>
      </w:r>
      <w:r w:rsidRPr="00907988">
        <w:rPr>
          <w:rFonts w:ascii="Arial" w:hAnsi="Arial" w:cs="Arial"/>
          <w:sz w:val="24"/>
          <w:szCs w:val="24"/>
        </w:rPr>
        <w:t>A</w:t>
      </w:r>
      <w:r w:rsidR="009E5AD4" w:rsidRPr="00907988">
        <w:rPr>
          <w:rFonts w:ascii="Arial" w:hAnsi="Arial" w:cs="Arial"/>
          <w:sz w:val="24"/>
          <w:szCs w:val="24"/>
        </w:rPr>
        <w:t xml:space="preserve">tiva da </w:t>
      </w:r>
      <w:r w:rsidRPr="00907988">
        <w:rPr>
          <w:rFonts w:ascii="Arial" w:hAnsi="Arial" w:cs="Arial"/>
          <w:sz w:val="24"/>
          <w:szCs w:val="24"/>
        </w:rPr>
        <w:t>U</w:t>
      </w:r>
      <w:r w:rsidR="009E5AD4" w:rsidRPr="00907988">
        <w:rPr>
          <w:rFonts w:ascii="Arial" w:hAnsi="Arial" w:cs="Arial"/>
          <w:sz w:val="24"/>
          <w:szCs w:val="24"/>
        </w:rPr>
        <w:t>nião – DAU,</w:t>
      </w:r>
      <w:r w:rsidR="00903030" w:rsidRPr="00907988">
        <w:rPr>
          <w:rFonts w:ascii="Arial" w:hAnsi="Arial" w:cs="Arial"/>
          <w:sz w:val="24"/>
          <w:szCs w:val="24"/>
        </w:rPr>
        <w:t xml:space="preserve"> podem ser classificados em </w:t>
      </w:r>
      <w:r w:rsidR="00903030" w:rsidRPr="00907988">
        <w:rPr>
          <w:rFonts w:ascii="Arial" w:hAnsi="Arial" w:cs="Arial"/>
          <w:i/>
          <w:sz w:val="24"/>
          <w:szCs w:val="24"/>
        </w:rPr>
        <w:t>ratins</w:t>
      </w:r>
      <w:r w:rsidR="00F8474A" w:rsidRPr="00907988">
        <w:rPr>
          <w:rFonts w:ascii="Arial" w:hAnsi="Arial" w:cs="Arial"/>
          <w:i/>
          <w:sz w:val="24"/>
          <w:szCs w:val="24"/>
        </w:rPr>
        <w:t xml:space="preserve"> </w:t>
      </w:r>
      <w:r w:rsidR="00F8474A" w:rsidRPr="00907988">
        <w:rPr>
          <w:rFonts w:ascii="Arial" w:hAnsi="Arial" w:cs="Arial"/>
          <w:iCs/>
          <w:sz w:val="24"/>
          <w:szCs w:val="24"/>
        </w:rPr>
        <w:t xml:space="preserve">– traduzido para o português seria </w:t>
      </w:r>
      <w:r w:rsidR="00F8474A" w:rsidRPr="00907988">
        <w:rPr>
          <w:rFonts w:ascii="Arial" w:hAnsi="Arial" w:cs="Arial"/>
          <w:i/>
          <w:sz w:val="24"/>
          <w:szCs w:val="24"/>
        </w:rPr>
        <w:t>classificações</w:t>
      </w:r>
      <w:r w:rsidR="00903030" w:rsidRPr="00907988">
        <w:rPr>
          <w:rFonts w:ascii="Arial" w:hAnsi="Arial" w:cs="Arial"/>
          <w:sz w:val="24"/>
          <w:szCs w:val="24"/>
        </w:rPr>
        <w:t>, A, B, C ou D</w:t>
      </w:r>
      <w:r w:rsidRPr="00907988">
        <w:rPr>
          <w:rFonts w:ascii="Arial" w:hAnsi="Arial" w:cs="Arial"/>
          <w:sz w:val="24"/>
          <w:szCs w:val="24"/>
        </w:rPr>
        <w:t xml:space="preserve">, conforme informações patrimoniais internas constantes nos sistemas da Procuradoria Geral da Fazenda Nacional – PFGN, </w:t>
      </w:r>
      <w:r w:rsidR="00903030" w:rsidRPr="00907988">
        <w:rPr>
          <w:rFonts w:ascii="Arial" w:hAnsi="Arial" w:cs="Arial"/>
          <w:sz w:val="24"/>
          <w:szCs w:val="24"/>
        </w:rPr>
        <w:t>em decorrência da existência de</w:t>
      </w:r>
      <w:r w:rsidR="00F86AF2" w:rsidRPr="00907988">
        <w:rPr>
          <w:rFonts w:ascii="Arial" w:hAnsi="Arial" w:cs="Arial"/>
          <w:sz w:val="24"/>
          <w:szCs w:val="24"/>
        </w:rPr>
        <w:t xml:space="preserve"> patrimônios móveis</w:t>
      </w:r>
      <w:r w:rsidR="00F84D6B" w:rsidRPr="00907988">
        <w:rPr>
          <w:rFonts w:ascii="Arial" w:hAnsi="Arial" w:cs="Arial"/>
          <w:sz w:val="24"/>
          <w:szCs w:val="24"/>
        </w:rPr>
        <w:t>,</w:t>
      </w:r>
      <w:r w:rsidR="00F86AF2" w:rsidRPr="00907988">
        <w:rPr>
          <w:rFonts w:ascii="Arial" w:hAnsi="Arial" w:cs="Arial"/>
          <w:sz w:val="24"/>
          <w:szCs w:val="24"/>
        </w:rPr>
        <w:t xml:space="preserve"> imóveis e</w:t>
      </w:r>
      <w:r w:rsidR="00F84D6B" w:rsidRPr="00907988">
        <w:rPr>
          <w:rFonts w:ascii="Arial" w:hAnsi="Arial" w:cs="Arial"/>
          <w:sz w:val="24"/>
          <w:szCs w:val="24"/>
        </w:rPr>
        <w:t>/ou</w:t>
      </w:r>
      <w:r w:rsidR="00F86AF2" w:rsidRPr="00907988">
        <w:rPr>
          <w:rFonts w:ascii="Arial" w:hAnsi="Arial" w:cs="Arial"/>
          <w:sz w:val="24"/>
          <w:szCs w:val="24"/>
        </w:rPr>
        <w:t xml:space="preserve"> direitos</w:t>
      </w:r>
      <w:r w:rsidR="0001196C" w:rsidRPr="00907988">
        <w:rPr>
          <w:rFonts w:ascii="Arial" w:hAnsi="Arial" w:cs="Arial"/>
          <w:sz w:val="24"/>
          <w:szCs w:val="24"/>
        </w:rPr>
        <w:t xml:space="preserve"> por eles</w:t>
      </w:r>
      <w:r w:rsidR="00C84CCA" w:rsidRPr="00907988">
        <w:rPr>
          <w:rFonts w:ascii="Arial" w:hAnsi="Arial" w:cs="Arial"/>
          <w:sz w:val="24"/>
          <w:szCs w:val="24"/>
        </w:rPr>
        <w:t xml:space="preserve"> declarado</w:t>
      </w:r>
      <w:r w:rsidR="009E5AD4" w:rsidRPr="00907988">
        <w:rPr>
          <w:rFonts w:ascii="Arial" w:hAnsi="Arial" w:cs="Arial"/>
          <w:sz w:val="24"/>
          <w:szCs w:val="24"/>
        </w:rPr>
        <w:t>s úteis</w:t>
      </w:r>
      <w:r w:rsidR="00903030" w:rsidRPr="00907988">
        <w:rPr>
          <w:rFonts w:ascii="Arial" w:hAnsi="Arial" w:cs="Arial"/>
          <w:sz w:val="24"/>
          <w:szCs w:val="24"/>
        </w:rPr>
        <w:t>.</w:t>
      </w:r>
      <w:r w:rsidR="00CD576A" w:rsidRPr="00907988">
        <w:rPr>
          <w:rFonts w:ascii="Arial" w:hAnsi="Arial" w:cs="Arial"/>
          <w:sz w:val="24"/>
          <w:szCs w:val="24"/>
        </w:rPr>
        <w:t xml:space="preserve"> Segundo a</w:t>
      </w:r>
      <w:r w:rsidR="00216E4C" w:rsidRPr="00907988">
        <w:rPr>
          <w:rFonts w:ascii="Arial" w:hAnsi="Arial" w:cs="Arial"/>
          <w:sz w:val="24"/>
          <w:szCs w:val="24"/>
        </w:rPr>
        <w:t xml:space="preserve"> </w:t>
      </w:r>
      <w:r w:rsidR="00CD576A" w:rsidRPr="00907988">
        <w:rPr>
          <w:rFonts w:ascii="Arial" w:hAnsi="Arial" w:cs="Arial"/>
          <w:sz w:val="24"/>
          <w:szCs w:val="24"/>
        </w:rPr>
        <w:t>Portaria Nº 293 de 12 de junho</w:t>
      </w:r>
      <w:r w:rsidR="00216E4C" w:rsidRPr="00907988">
        <w:rPr>
          <w:rFonts w:ascii="Arial" w:hAnsi="Arial" w:cs="Arial"/>
          <w:sz w:val="24"/>
          <w:szCs w:val="24"/>
        </w:rPr>
        <w:t xml:space="preserve"> 2017</w:t>
      </w:r>
      <w:r w:rsidR="00CD576A" w:rsidRPr="00907988">
        <w:rPr>
          <w:rFonts w:ascii="Arial" w:hAnsi="Arial" w:cs="Arial"/>
          <w:sz w:val="24"/>
          <w:szCs w:val="24"/>
        </w:rPr>
        <w:t xml:space="preserve">, rating </w:t>
      </w:r>
      <w:r w:rsidR="00A81BA4" w:rsidRPr="00907988">
        <w:rPr>
          <w:rFonts w:ascii="Arial" w:hAnsi="Arial" w:cs="Arial"/>
          <w:sz w:val="24"/>
          <w:szCs w:val="24"/>
        </w:rPr>
        <w:t>é a nota atribuída ao devedor ou grupo de devedores que representa o grau de recuperabilidade do débito.</w:t>
      </w:r>
      <w:r w:rsidR="006B6946" w:rsidRPr="00907988">
        <w:rPr>
          <w:rFonts w:ascii="Arial" w:hAnsi="Arial" w:cs="Arial"/>
          <w:sz w:val="24"/>
          <w:szCs w:val="24"/>
        </w:rPr>
        <w:t xml:space="preserve"> </w:t>
      </w:r>
      <w:r w:rsidR="00216E4C" w:rsidRPr="00907988">
        <w:rPr>
          <w:rFonts w:ascii="Arial" w:hAnsi="Arial" w:cs="Arial"/>
          <w:sz w:val="24"/>
          <w:szCs w:val="24"/>
        </w:rPr>
        <w:t xml:space="preserve">Os devedores de </w:t>
      </w:r>
      <w:r w:rsidR="00216E4C" w:rsidRPr="00907988">
        <w:rPr>
          <w:rFonts w:ascii="Arial" w:hAnsi="Arial" w:cs="Arial"/>
          <w:i/>
          <w:sz w:val="24"/>
          <w:szCs w:val="24"/>
        </w:rPr>
        <w:t xml:space="preserve">ratins </w:t>
      </w:r>
      <w:r w:rsidR="00504ADA" w:rsidRPr="00907988">
        <w:rPr>
          <w:rFonts w:ascii="Arial" w:hAnsi="Arial" w:cs="Arial"/>
          <w:sz w:val="24"/>
          <w:szCs w:val="24"/>
        </w:rPr>
        <w:t xml:space="preserve">A ou B </w:t>
      </w:r>
      <w:r w:rsidR="00A81BA4" w:rsidRPr="00907988">
        <w:rPr>
          <w:rFonts w:ascii="Arial" w:hAnsi="Arial" w:cs="Arial"/>
          <w:sz w:val="24"/>
          <w:szCs w:val="24"/>
        </w:rPr>
        <w:t xml:space="preserve">seriam aqueles com capacidade de pagar os tributos </w:t>
      </w:r>
      <w:r w:rsidR="003F0664" w:rsidRPr="00907988">
        <w:rPr>
          <w:rFonts w:ascii="Arial" w:hAnsi="Arial" w:cs="Arial"/>
          <w:sz w:val="24"/>
          <w:szCs w:val="24"/>
        </w:rPr>
        <w:t>de forma regular por dispor de patrimônio suficiente</w:t>
      </w:r>
      <w:r w:rsidR="000B4E84" w:rsidRPr="00907988">
        <w:rPr>
          <w:rFonts w:ascii="Arial" w:hAnsi="Arial" w:cs="Arial"/>
          <w:sz w:val="24"/>
          <w:szCs w:val="24"/>
        </w:rPr>
        <w:t xml:space="preserve">, sendo o oposto para aqueles que se enquadram nos </w:t>
      </w:r>
      <w:r w:rsidR="000B4E84" w:rsidRPr="00907988">
        <w:rPr>
          <w:rFonts w:ascii="Arial" w:hAnsi="Arial" w:cs="Arial"/>
          <w:i/>
          <w:sz w:val="24"/>
          <w:szCs w:val="24"/>
        </w:rPr>
        <w:t>ratins</w:t>
      </w:r>
      <w:r w:rsidR="000B4E84" w:rsidRPr="00907988">
        <w:rPr>
          <w:rFonts w:ascii="Arial" w:hAnsi="Arial" w:cs="Arial"/>
          <w:sz w:val="24"/>
          <w:szCs w:val="24"/>
        </w:rPr>
        <w:t xml:space="preserve"> C ou D</w:t>
      </w:r>
      <w:r w:rsidR="003F0664" w:rsidRPr="00907988">
        <w:rPr>
          <w:rFonts w:ascii="Arial" w:hAnsi="Arial" w:cs="Arial"/>
          <w:sz w:val="24"/>
          <w:szCs w:val="24"/>
        </w:rPr>
        <w:t xml:space="preserve">. </w:t>
      </w:r>
      <w:r w:rsidR="000B4E84" w:rsidRPr="00907988">
        <w:rPr>
          <w:rFonts w:ascii="Arial" w:hAnsi="Arial" w:cs="Arial"/>
          <w:sz w:val="24"/>
          <w:szCs w:val="24"/>
        </w:rPr>
        <w:t>N</w:t>
      </w:r>
      <w:r w:rsidR="00504ADA" w:rsidRPr="00907988">
        <w:rPr>
          <w:rFonts w:ascii="Arial" w:hAnsi="Arial" w:cs="Arial"/>
          <w:sz w:val="24"/>
          <w:szCs w:val="24"/>
        </w:rPr>
        <w:t>o</w:t>
      </w:r>
      <w:r w:rsidR="000B4E84" w:rsidRPr="00907988">
        <w:rPr>
          <w:rFonts w:ascii="Arial" w:hAnsi="Arial" w:cs="Arial"/>
          <w:sz w:val="24"/>
          <w:szCs w:val="24"/>
        </w:rPr>
        <w:t xml:space="preserve"> gráfico abaixo, é possível ver em números </w:t>
      </w:r>
      <w:r w:rsidR="00504ADA" w:rsidRPr="00907988">
        <w:rPr>
          <w:rFonts w:ascii="Arial" w:hAnsi="Arial" w:cs="Arial"/>
          <w:sz w:val="24"/>
          <w:szCs w:val="24"/>
        </w:rPr>
        <w:t>os ratings que mais se submetem a programas de parcelamentos especiais</w:t>
      </w:r>
      <w:r w:rsidR="009E5AD4" w:rsidRPr="00907988">
        <w:rPr>
          <w:rFonts w:ascii="Arial" w:hAnsi="Arial" w:cs="Arial"/>
          <w:sz w:val="24"/>
          <w:szCs w:val="24"/>
        </w:rPr>
        <w:t>, por exemplo</w:t>
      </w:r>
      <w:r w:rsidR="008A5025">
        <w:rPr>
          <w:rFonts w:ascii="Arial" w:hAnsi="Arial" w:cs="Arial"/>
          <w:sz w:val="24"/>
          <w:szCs w:val="24"/>
        </w:rPr>
        <w:t>.</w:t>
      </w:r>
    </w:p>
    <w:p w14:paraId="62C79DA1" w14:textId="77777777" w:rsidR="00CE2891" w:rsidRDefault="00CE2891" w:rsidP="002D49F2">
      <w:pPr>
        <w:pStyle w:val="Padro"/>
        <w:spacing w:after="0" w:line="360" w:lineRule="auto"/>
        <w:rPr>
          <w:rFonts w:ascii="Arial" w:hAnsi="Arial" w:cs="Arial"/>
          <w:sz w:val="24"/>
          <w:szCs w:val="24"/>
        </w:rPr>
      </w:pPr>
    </w:p>
    <w:p w14:paraId="05C00D1E" w14:textId="4559A4BA" w:rsidR="009C59A4" w:rsidRPr="007F7D5F" w:rsidRDefault="00DA3637" w:rsidP="00F7495E">
      <w:pPr>
        <w:pStyle w:val="Padro"/>
        <w:spacing w:after="0" w:line="360" w:lineRule="auto"/>
        <w:ind w:firstLine="709"/>
        <w:jc w:val="center"/>
        <w:rPr>
          <w:rFonts w:ascii="Arial" w:hAnsi="Arial" w:cs="Arial"/>
        </w:rPr>
      </w:pPr>
      <w:r w:rsidRPr="007F7D5F">
        <w:rPr>
          <w:rFonts w:ascii="Arial" w:hAnsi="Arial" w:cs="Arial"/>
        </w:rPr>
        <w:t>Gráfico 1 – Estoque submetido a parcelamentos especiais por rating (classificação) do devedor</w:t>
      </w:r>
    </w:p>
    <w:p w14:paraId="247794F8" w14:textId="53C0F864" w:rsidR="00DA3637" w:rsidRPr="00907988" w:rsidRDefault="00DA3637" w:rsidP="00F7495E">
      <w:pPr>
        <w:pStyle w:val="Padro"/>
        <w:spacing w:after="0" w:line="360" w:lineRule="auto"/>
        <w:ind w:firstLine="709"/>
        <w:jc w:val="center"/>
        <w:rPr>
          <w:rFonts w:ascii="Arial" w:hAnsi="Arial" w:cs="Arial"/>
          <w:sz w:val="24"/>
          <w:szCs w:val="24"/>
        </w:rPr>
      </w:pPr>
      <w:r w:rsidRPr="00907988">
        <w:rPr>
          <w:rFonts w:ascii="Arial" w:hAnsi="Arial" w:cs="Arial"/>
          <w:noProof/>
          <w:sz w:val="24"/>
          <w:szCs w:val="24"/>
          <w:lang w:eastAsia="pt-BR" w:bidi="km-KH"/>
        </w:rPr>
        <w:drawing>
          <wp:inline distT="0" distB="0" distL="0" distR="0" wp14:anchorId="2D05E5C7" wp14:editId="175F3FB6">
            <wp:extent cx="3448050" cy="202882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07E485" w14:textId="1EF70FB1" w:rsidR="00370CE0" w:rsidRDefault="00370CE0" w:rsidP="00DF044E">
      <w:pPr>
        <w:pStyle w:val="Padro"/>
        <w:spacing w:after="0" w:line="360" w:lineRule="auto"/>
        <w:ind w:firstLine="709"/>
        <w:jc w:val="both"/>
        <w:rPr>
          <w:rFonts w:ascii="Arial" w:hAnsi="Arial" w:cs="Arial"/>
        </w:rPr>
      </w:pPr>
      <w:r w:rsidRPr="007A1227">
        <w:rPr>
          <w:rFonts w:ascii="Arial" w:hAnsi="Arial" w:cs="Arial"/>
        </w:rPr>
        <w:t xml:space="preserve">                   </w:t>
      </w:r>
      <w:r w:rsidR="007A1227">
        <w:rPr>
          <w:rFonts w:ascii="Arial" w:hAnsi="Arial" w:cs="Arial"/>
        </w:rPr>
        <w:t xml:space="preserve">     </w:t>
      </w:r>
      <w:r w:rsidRPr="007A1227">
        <w:rPr>
          <w:rFonts w:ascii="Arial" w:hAnsi="Arial" w:cs="Arial"/>
        </w:rPr>
        <w:t xml:space="preserve"> </w:t>
      </w:r>
      <w:r w:rsidR="00DA3637" w:rsidRPr="007A1227">
        <w:rPr>
          <w:rFonts w:ascii="Arial" w:hAnsi="Arial" w:cs="Arial"/>
        </w:rPr>
        <w:t xml:space="preserve">Fonte: </w:t>
      </w:r>
      <w:r w:rsidRPr="007A1227">
        <w:rPr>
          <w:rFonts w:ascii="Arial" w:hAnsi="Arial" w:cs="Arial"/>
        </w:rPr>
        <w:t>PASSOS FILHO</w:t>
      </w:r>
      <w:r w:rsidR="00DA3637" w:rsidRPr="007A1227">
        <w:rPr>
          <w:rFonts w:ascii="Arial" w:hAnsi="Arial" w:cs="Arial"/>
        </w:rPr>
        <w:t>, 201</w:t>
      </w:r>
      <w:r w:rsidRPr="007A1227">
        <w:rPr>
          <w:rFonts w:ascii="Arial" w:hAnsi="Arial" w:cs="Arial"/>
        </w:rPr>
        <w:t>8</w:t>
      </w:r>
      <w:r w:rsidR="00DA3637" w:rsidRPr="007A1227">
        <w:rPr>
          <w:rFonts w:ascii="Arial" w:hAnsi="Arial" w:cs="Arial"/>
        </w:rPr>
        <w:t>, p</w:t>
      </w:r>
      <w:r w:rsidRPr="007A1227">
        <w:rPr>
          <w:rFonts w:ascii="Arial" w:hAnsi="Arial" w:cs="Arial"/>
        </w:rPr>
        <w:t>. 02</w:t>
      </w:r>
      <w:r w:rsidR="00DA3637" w:rsidRPr="007A1227">
        <w:rPr>
          <w:rFonts w:ascii="Arial" w:hAnsi="Arial" w:cs="Arial"/>
        </w:rPr>
        <w:t>.</w:t>
      </w:r>
    </w:p>
    <w:p w14:paraId="0721C9DA" w14:textId="77777777" w:rsidR="00CE2891" w:rsidRPr="00DF044E" w:rsidRDefault="00CE2891" w:rsidP="00DF044E">
      <w:pPr>
        <w:pStyle w:val="Padro"/>
        <w:spacing w:after="0" w:line="360" w:lineRule="auto"/>
        <w:ind w:firstLine="709"/>
        <w:jc w:val="both"/>
        <w:rPr>
          <w:rFonts w:ascii="Arial" w:hAnsi="Arial" w:cs="Arial"/>
        </w:rPr>
      </w:pPr>
    </w:p>
    <w:p w14:paraId="54E2B19D" w14:textId="76D048F7" w:rsidR="00002D16" w:rsidRPr="00907988" w:rsidRDefault="002E6988" w:rsidP="00977752">
      <w:pPr>
        <w:pStyle w:val="Padro"/>
        <w:spacing w:after="0" w:line="360" w:lineRule="auto"/>
        <w:ind w:firstLine="709"/>
        <w:jc w:val="both"/>
        <w:rPr>
          <w:rFonts w:ascii="Arial" w:hAnsi="Arial" w:cs="Arial"/>
          <w:sz w:val="24"/>
          <w:szCs w:val="24"/>
        </w:rPr>
      </w:pPr>
      <w:r w:rsidRPr="00907988">
        <w:rPr>
          <w:rFonts w:ascii="Arial" w:hAnsi="Arial" w:cs="Arial"/>
          <w:sz w:val="24"/>
          <w:szCs w:val="24"/>
        </w:rPr>
        <w:t>Conforme se observa acima</w:t>
      </w:r>
      <w:r w:rsidR="00002D16" w:rsidRPr="00907988">
        <w:rPr>
          <w:rFonts w:ascii="Arial" w:hAnsi="Arial" w:cs="Arial"/>
          <w:sz w:val="24"/>
          <w:szCs w:val="24"/>
        </w:rPr>
        <w:t>, cerca de 83% constante em estoque da Dívida Ativa da União, submetido a parcelamentos especiais são classificados por devedores com alta ou média capacid</w:t>
      </w:r>
      <w:r w:rsidR="00443E72" w:rsidRPr="00907988">
        <w:rPr>
          <w:rFonts w:ascii="Arial" w:hAnsi="Arial" w:cs="Arial"/>
          <w:sz w:val="24"/>
          <w:szCs w:val="24"/>
        </w:rPr>
        <w:t xml:space="preserve">ade de pagamento – </w:t>
      </w:r>
      <w:r w:rsidR="00443E72" w:rsidRPr="00907988">
        <w:rPr>
          <w:rFonts w:ascii="Arial" w:hAnsi="Arial" w:cs="Arial"/>
          <w:i/>
          <w:sz w:val="24"/>
          <w:szCs w:val="24"/>
        </w:rPr>
        <w:t>rating</w:t>
      </w:r>
      <w:r w:rsidR="00443E72" w:rsidRPr="00907988">
        <w:rPr>
          <w:rFonts w:ascii="Arial" w:hAnsi="Arial" w:cs="Arial"/>
          <w:sz w:val="24"/>
          <w:szCs w:val="24"/>
        </w:rPr>
        <w:t xml:space="preserve"> A ou B.</w:t>
      </w:r>
      <w:r w:rsidR="00002D16" w:rsidRPr="00907988">
        <w:rPr>
          <w:rFonts w:ascii="Arial" w:hAnsi="Arial" w:cs="Arial"/>
          <w:sz w:val="24"/>
          <w:szCs w:val="24"/>
        </w:rPr>
        <w:t xml:space="preserve"> Isso mostra que os </w:t>
      </w:r>
      <w:r w:rsidR="00002D16" w:rsidRPr="00907988">
        <w:rPr>
          <w:rFonts w:ascii="Arial" w:hAnsi="Arial" w:cs="Arial"/>
          <w:sz w:val="24"/>
          <w:szCs w:val="24"/>
        </w:rPr>
        <w:lastRenderedPageBreak/>
        <w:t xml:space="preserve">maiores </w:t>
      </w:r>
      <w:r w:rsidR="00582609" w:rsidRPr="00907988">
        <w:rPr>
          <w:rFonts w:ascii="Arial" w:hAnsi="Arial" w:cs="Arial"/>
          <w:sz w:val="24"/>
          <w:szCs w:val="24"/>
        </w:rPr>
        <w:t>aderentes</w:t>
      </w:r>
      <w:r w:rsidR="00002D16" w:rsidRPr="00907988">
        <w:rPr>
          <w:rFonts w:ascii="Arial" w:hAnsi="Arial" w:cs="Arial"/>
          <w:sz w:val="24"/>
          <w:szCs w:val="24"/>
        </w:rPr>
        <w:t xml:space="preserve"> por esse tipo de benefício fiscal são indivíduos e empresas financeiramente equilibrados, que poderiam regularizar sua situação fiscal de </w:t>
      </w:r>
      <w:r w:rsidR="00582609" w:rsidRPr="00907988">
        <w:rPr>
          <w:rFonts w:ascii="Arial" w:hAnsi="Arial" w:cs="Arial"/>
          <w:sz w:val="24"/>
          <w:szCs w:val="24"/>
        </w:rPr>
        <w:t>outra maneira</w:t>
      </w:r>
      <w:r w:rsidR="00002D16" w:rsidRPr="00907988">
        <w:rPr>
          <w:rFonts w:ascii="Arial" w:hAnsi="Arial" w:cs="Arial"/>
          <w:sz w:val="24"/>
          <w:szCs w:val="24"/>
        </w:rPr>
        <w:t>, sem necessidade de renúncia fiscal por parte da União (PASSOS FILHO, 2018).</w:t>
      </w:r>
    </w:p>
    <w:p w14:paraId="17C4B54B" w14:textId="12CEA0DD" w:rsidR="00002D16" w:rsidRPr="00907988" w:rsidRDefault="00EE3594" w:rsidP="00977752">
      <w:pPr>
        <w:pStyle w:val="Padro"/>
        <w:spacing w:after="0" w:line="360" w:lineRule="auto"/>
        <w:ind w:firstLine="709"/>
        <w:jc w:val="both"/>
        <w:rPr>
          <w:rFonts w:ascii="Arial" w:hAnsi="Arial" w:cs="Arial"/>
          <w:sz w:val="24"/>
          <w:szCs w:val="24"/>
        </w:rPr>
      </w:pPr>
      <w:r w:rsidRPr="00907988">
        <w:rPr>
          <w:rFonts w:ascii="Arial" w:hAnsi="Arial" w:cs="Arial"/>
          <w:sz w:val="24"/>
          <w:szCs w:val="24"/>
        </w:rPr>
        <w:t>A concessão reiterada de parcelament</w:t>
      </w:r>
      <w:r w:rsidR="00253D62" w:rsidRPr="00907988">
        <w:rPr>
          <w:rFonts w:ascii="Arial" w:hAnsi="Arial" w:cs="Arial"/>
          <w:sz w:val="24"/>
          <w:szCs w:val="24"/>
        </w:rPr>
        <w:t>os sob condições especiais possibilitou</w:t>
      </w:r>
      <w:r w:rsidRPr="00907988">
        <w:rPr>
          <w:rFonts w:ascii="Arial" w:hAnsi="Arial" w:cs="Arial"/>
          <w:sz w:val="24"/>
          <w:szCs w:val="24"/>
        </w:rPr>
        <w:t xml:space="preserve"> certa acomodação nos contribuintes, que não se preocupam mais em liquidar suas dívidas. Esse comportamento denota uma postura estratégica para pospor seus débitos (SOUZA, 201</w:t>
      </w:r>
      <w:r w:rsidR="00FD7A3F" w:rsidRPr="00907988">
        <w:rPr>
          <w:rFonts w:ascii="Arial" w:hAnsi="Arial" w:cs="Arial"/>
          <w:sz w:val="24"/>
          <w:szCs w:val="24"/>
        </w:rPr>
        <w:t xml:space="preserve">9. </w:t>
      </w:r>
      <w:r w:rsidR="00582609" w:rsidRPr="00907988">
        <w:rPr>
          <w:rFonts w:ascii="Arial" w:hAnsi="Arial" w:cs="Arial"/>
          <w:sz w:val="24"/>
          <w:szCs w:val="24"/>
        </w:rPr>
        <w:t>RFB</w:t>
      </w:r>
      <w:r w:rsidR="00FD7A3F" w:rsidRPr="00907988">
        <w:rPr>
          <w:rFonts w:ascii="Arial" w:hAnsi="Arial" w:cs="Arial"/>
          <w:sz w:val="24"/>
          <w:szCs w:val="24"/>
        </w:rPr>
        <w:t>, 2017</w:t>
      </w:r>
      <w:r w:rsidRPr="00907988">
        <w:rPr>
          <w:rFonts w:ascii="Arial" w:hAnsi="Arial" w:cs="Arial"/>
          <w:sz w:val="24"/>
          <w:szCs w:val="24"/>
        </w:rPr>
        <w:t xml:space="preserve">).  </w:t>
      </w:r>
      <w:r w:rsidR="00002D16" w:rsidRPr="00907988">
        <w:rPr>
          <w:rFonts w:ascii="Arial" w:hAnsi="Arial" w:cs="Arial"/>
          <w:sz w:val="24"/>
          <w:szCs w:val="24"/>
        </w:rPr>
        <w:t xml:space="preserve"> </w:t>
      </w:r>
    </w:p>
    <w:p w14:paraId="44CC8F5A" w14:textId="1BFDE746" w:rsidR="00856826" w:rsidRPr="00907988" w:rsidRDefault="00253D62" w:rsidP="004727C7">
      <w:pPr>
        <w:pStyle w:val="Padro"/>
        <w:spacing w:after="0" w:line="360" w:lineRule="auto"/>
        <w:ind w:firstLine="709"/>
        <w:jc w:val="both"/>
        <w:rPr>
          <w:rFonts w:ascii="Arial" w:hAnsi="Arial" w:cs="Arial"/>
          <w:sz w:val="24"/>
          <w:szCs w:val="24"/>
        </w:rPr>
      </w:pPr>
      <w:r w:rsidRPr="00907988">
        <w:rPr>
          <w:rFonts w:ascii="Arial" w:hAnsi="Arial" w:cs="Arial"/>
          <w:sz w:val="24"/>
          <w:szCs w:val="24"/>
        </w:rPr>
        <w:t>Em um estudo recente feito pela</w:t>
      </w:r>
      <w:r w:rsidR="00832E87" w:rsidRPr="00907988">
        <w:rPr>
          <w:rFonts w:ascii="Arial" w:hAnsi="Arial" w:cs="Arial"/>
          <w:sz w:val="24"/>
          <w:szCs w:val="24"/>
        </w:rPr>
        <w:t xml:space="preserve"> </w:t>
      </w:r>
      <w:r w:rsidR="005E4933" w:rsidRPr="00907988">
        <w:rPr>
          <w:rFonts w:ascii="Arial" w:hAnsi="Arial" w:cs="Arial"/>
          <w:sz w:val="24"/>
          <w:szCs w:val="24"/>
        </w:rPr>
        <w:t>PGFN, d</w:t>
      </w:r>
      <w:r w:rsidR="00832E87" w:rsidRPr="00907988">
        <w:rPr>
          <w:rFonts w:ascii="Arial" w:hAnsi="Arial" w:cs="Arial"/>
          <w:sz w:val="24"/>
          <w:szCs w:val="24"/>
        </w:rPr>
        <w:t>e acordo com dados do Cadastro Nacional de Pe</w:t>
      </w:r>
      <w:r w:rsidR="005E4933" w:rsidRPr="00907988">
        <w:rPr>
          <w:rFonts w:ascii="Arial" w:hAnsi="Arial" w:cs="Arial"/>
          <w:sz w:val="24"/>
          <w:szCs w:val="24"/>
        </w:rPr>
        <w:t xml:space="preserve">ssoas Jurídicas – </w:t>
      </w:r>
      <w:r w:rsidR="00832E87" w:rsidRPr="00907988">
        <w:rPr>
          <w:rFonts w:ascii="Arial" w:hAnsi="Arial" w:cs="Arial"/>
          <w:sz w:val="24"/>
          <w:szCs w:val="24"/>
        </w:rPr>
        <w:t>C</w:t>
      </w:r>
      <w:r w:rsidR="005E4933" w:rsidRPr="00907988">
        <w:rPr>
          <w:rFonts w:ascii="Arial" w:hAnsi="Arial" w:cs="Arial"/>
          <w:sz w:val="24"/>
          <w:szCs w:val="24"/>
        </w:rPr>
        <w:t>NPJ,</w:t>
      </w:r>
      <w:r w:rsidR="00832E87" w:rsidRPr="00907988">
        <w:rPr>
          <w:rFonts w:ascii="Arial" w:hAnsi="Arial" w:cs="Arial"/>
          <w:sz w:val="24"/>
          <w:szCs w:val="24"/>
        </w:rPr>
        <w:t xml:space="preserve"> </w:t>
      </w:r>
      <w:r w:rsidR="005E4933" w:rsidRPr="00907988">
        <w:rPr>
          <w:rFonts w:ascii="Arial" w:hAnsi="Arial" w:cs="Arial"/>
          <w:sz w:val="24"/>
          <w:szCs w:val="24"/>
        </w:rPr>
        <w:t xml:space="preserve">existem </w:t>
      </w:r>
      <w:r w:rsidR="00832E87" w:rsidRPr="00907988">
        <w:rPr>
          <w:rFonts w:ascii="Arial" w:hAnsi="Arial" w:cs="Arial"/>
          <w:sz w:val="24"/>
          <w:szCs w:val="24"/>
        </w:rPr>
        <w:t>33.973.554 entidades empresariais</w:t>
      </w:r>
      <w:r w:rsidR="005E4933" w:rsidRPr="00907988">
        <w:rPr>
          <w:rFonts w:ascii="Arial" w:hAnsi="Arial" w:cs="Arial"/>
          <w:sz w:val="24"/>
          <w:szCs w:val="24"/>
        </w:rPr>
        <w:t xml:space="preserve"> </w:t>
      </w:r>
      <w:r w:rsidR="00832E87" w:rsidRPr="00907988">
        <w:rPr>
          <w:rFonts w:ascii="Arial" w:hAnsi="Arial" w:cs="Arial"/>
          <w:sz w:val="24"/>
          <w:szCs w:val="24"/>
        </w:rPr>
        <w:t xml:space="preserve">registradas como empresas, independentemente da quantidade de filiais. A quantidade de </w:t>
      </w:r>
      <w:r w:rsidR="005E4933" w:rsidRPr="00907988">
        <w:rPr>
          <w:rFonts w:ascii="Arial" w:hAnsi="Arial" w:cs="Arial"/>
          <w:sz w:val="24"/>
          <w:szCs w:val="24"/>
        </w:rPr>
        <w:t>empresas na situação cadastral ativa</w:t>
      </w:r>
      <w:r w:rsidR="00832E87" w:rsidRPr="00907988">
        <w:rPr>
          <w:rFonts w:ascii="Arial" w:hAnsi="Arial" w:cs="Arial"/>
          <w:sz w:val="24"/>
          <w:szCs w:val="24"/>
        </w:rPr>
        <w:t xml:space="preserve"> corresponde a 47% do total, totalizando 16.112.119. </w:t>
      </w:r>
      <w:r w:rsidR="00A2255D" w:rsidRPr="00907988">
        <w:rPr>
          <w:rFonts w:ascii="Arial" w:hAnsi="Arial" w:cs="Arial"/>
          <w:sz w:val="24"/>
          <w:szCs w:val="24"/>
        </w:rPr>
        <w:t>Não</w:t>
      </w:r>
      <w:r w:rsidR="007A5274" w:rsidRPr="00907988">
        <w:rPr>
          <w:rFonts w:ascii="Arial" w:hAnsi="Arial" w:cs="Arial"/>
          <w:sz w:val="24"/>
          <w:szCs w:val="24"/>
        </w:rPr>
        <w:t xml:space="preserve"> </w:t>
      </w:r>
      <w:r w:rsidR="00AE60D7" w:rsidRPr="00907988">
        <w:rPr>
          <w:rFonts w:ascii="Arial" w:hAnsi="Arial" w:cs="Arial"/>
          <w:sz w:val="24"/>
          <w:szCs w:val="24"/>
        </w:rPr>
        <w:t xml:space="preserve">se </w:t>
      </w:r>
      <w:r w:rsidR="00A2255D" w:rsidRPr="00907988">
        <w:rPr>
          <w:rFonts w:ascii="Arial" w:hAnsi="Arial" w:cs="Arial"/>
          <w:sz w:val="24"/>
          <w:szCs w:val="24"/>
        </w:rPr>
        <w:t>incluem nesses dados as</w:t>
      </w:r>
      <w:r w:rsidR="00832E87" w:rsidRPr="00907988">
        <w:rPr>
          <w:rFonts w:ascii="Arial" w:hAnsi="Arial" w:cs="Arial"/>
          <w:sz w:val="24"/>
          <w:szCs w:val="24"/>
        </w:rPr>
        <w:t xml:space="preserve"> inapta</w:t>
      </w:r>
      <w:r w:rsidR="00A2255D" w:rsidRPr="00907988">
        <w:rPr>
          <w:rFonts w:ascii="Arial" w:hAnsi="Arial" w:cs="Arial"/>
          <w:sz w:val="24"/>
          <w:szCs w:val="24"/>
        </w:rPr>
        <w:t>s</w:t>
      </w:r>
      <w:r w:rsidR="00832E87" w:rsidRPr="00907988">
        <w:rPr>
          <w:rFonts w:ascii="Arial" w:hAnsi="Arial" w:cs="Arial"/>
          <w:sz w:val="24"/>
          <w:szCs w:val="24"/>
        </w:rPr>
        <w:t>, suspensa</w:t>
      </w:r>
      <w:r w:rsidR="00A2255D" w:rsidRPr="00907988">
        <w:rPr>
          <w:rFonts w:ascii="Arial" w:hAnsi="Arial" w:cs="Arial"/>
          <w:sz w:val="24"/>
          <w:szCs w:val="24"/>
        </w:rPr>
        <w:t>s</w:t>
      </w:r>
      <w:r w:rsidR="00832E87" w:rsidRPr="00907988">
        <w:rPr>
          <w:rFonts w:ascii="Arial" w:hAnsi="Arial" w:cs="Arial"/>
          <w:sz w:val="24"/>
          <w:szCs w:val="24"/>
        </w:rPr>
        <w:t>, baixada</w:t>
      </w:r>
      <w:r w:rsidR="00A2255D" w:rsidRPr="00907988">
        <w:rPr>
          <w:rFonts w:ascii="Arial" w:hAnsi="Arial" w:cs="Arial"/>
          <w:sz w:val="24"/>
          <w:szCs w:val="24"/>
        </w:rPr>
        <w:t>s</w:t>
      </w:r>
      <w:r w:rsidR="00832E87" w:rsidRPr="00907988">
        <w:rPr>
          <w:rFonts w:ascii="Arial" w:hAnsi="Arial" w:cs="Arial"/>
          <w:sz w:val="24"/>
          <w:szCs w:val="24"/>
        </w:rPr>
        <w:t xml:space="preserve"> ou nula</w:t>
      </w:r>
      <w:r w:rsidR="00AE60D7" w:rsidRPr="00907988">
        <w:rPr>
          <w:rFonts w:ascii="Arial" w:hAnsi="Arial" w:cs="Arial"/>
          <w:sz w:val="24"/>
          <w:szCs w:val="24"/>
        </w:rPr>
        <w:t>s</w:t>
      </w:r>
      <w:r w:rsidR="007A5274" w:rsidRPr="00907988">
        <w:rPr>
          <w:rFonts w:ascii="Arial" w:hAnsi="Arial" w:cs="Arial"/>
          <w:sz w:val="24"/>
          <w:szCs w:val="24"/>
        </w:rPr>
        <w:t>.</w:t>
      </w:r>
      <w:r w:rsidR="00A171C9" w:rsidRPr="00907988">
        <w:rPr>
          <w:rFonts w:ascii="Arial" w:hAnsi="Arial" w:cs="Arial"/>
          <w:sz w:val="24"/>
          <w:szCs w:val="24"/>
        </w:rPr>
        <w:t xml:space="preserve"> </w:t>
      </w:r>
      <w:r w:rsidR="007A5274" w:rsidRPr="00907988">
        <w:rPr>
          <w:rFonts w:ascii="Arial" w:hAnsi="Arial" w:cs="Arial"/>
          <w:sz w:val="24"/>
          <w:szCs w:val="24"/>
        </w:rPr>
        <w:t>Segundo dados da Receita Federal do Brasil – RFB</w:t>
      </w:r>
      <w:r w:rsidR="00AE60D7" w:rsidRPr="00907988">
        <w:rPr>
          <w:rFonts w:ascii="Arial" w:hAnsi="Arial" w:cs="Arial"/>
          <w:sz w:val="24"/>
          <w:szCs w:val="24"/>
        </w:rPr>
        <w:t xml:space="preserve"> foram</w:t>
      </w:r>
      <w:r w:rsidR="007A5274" w:rsidRPr="00907988">
        <w:rPr>
          <w:rFonts w:ascii="Arial" w:hAnsi="Arial" w:cs="Arial"/>
          <w:sz w:val="24"/>
          <w:szCs w:val="24"/>
        </w:rPr>
        <w:t xml:space="preserve"> </w:t>
      </w:r>
      <w:r w:rsidR="00E03F1A" w:rsidRPr="00907988">
        <w:rPr>
          <w:rFonts w:ascii="Arial" w:hAnsi="Arial" w:cs="Arial"/>
          <w:sz w:val="24"/>
          <w:szCs w:val="24"/>
        </w:rPr>
        <w:t>entregues 30.677.080 declarações do imposto de renda em 2019</w:t>
      </w:r>
      <w:r w:rsidR="00AE60D7" w:rsidRPr="00907988">
        <w:rPr>
          <w:rFonts w:ascii="Arial" w:hAnsi="Arial" w:cs="Arial"/>
          <w:sz w:val="24"/>
          <w:szCs w:val="24"/>
        </w:rPr>
        <w:t xml:space="preserve"> do ano de</w:t>
      </w:r>
      <w:r w:rsidR="00E03F1A" w:rsidRPr="00907988">
        <w:rPr>
          <w:rFonts w:ascii="Arial" w:hAnsi="Arial" w:cs="Arial"/>
          <w:sz w:val="24"/>
          <w:szCs w:val="24"/>
        </w:rPr>
        <w:t xml:space="preserve"> 2018. Esse dado indica a </w:t>
      </w:r>
      <w:r w:rsidR="00670F09" w:rsidRPr="00907988">
        <w:rPr>
          <w:rFonts w:ascii="Arial" w:hAnsi="Arial" w:cs="Arial"/>
          <w:sz w:val="24"/>
          <w:szCs w:val="24"/>
        </w:rPr>
        <w:t>quantidade de pessoas que auferem ou movimentam valores rel</w:t>
      </w:r>
      <w:r w:rsidR="001230D4" w:rsidRPr="00907988">
        <w:rPr>
          <w:rFonts w:ascii="Arial" w:hAnsi="Arial" w:cs="Arial"/>
          <w:sz w:val="24"/>
          <w:szCs w:val="24"/>
        </w:rPr>
        <w:t>evantes para fins de tributação</w:t>
      </w:r>
      <w:r w:rsidR="00A171C9" w:rsidRPr="00907988">
        <w:rPr>
          <w:rFonts w:ascii="Arial" w:hAnsi="Arial" w:cs="Arial"/>
          <w:sz w:val="24"/>
          <w:szCs w:val="24"/>
        </w:rPr>
        <w:t xml:space="preserve"> </w:t>
      </w:r>
      <w:r w:rsidR="001230D4" w:rsidRPr="00907988">
        <w:rPr>
          <w:rFonts w:ascii="Arial" w:hAnsi="Arial" w:cs="Arial"/>
          <w:sz w:val="24"/>
          <w:szCs w:val="24"/>
        </w:rPr>
        <w:t>(PASSOS FILHO, 2019).</w:t>
      </w:r>
    </w:p>
    <w:p w14:paraId="0413DFED" w14:textId="77777777" w:rsidR="00CE2891" w:rsidRDefault="00CE2891" w:rsidP="00DC7F6B">
      <w:pPr>
        <w:pStyle w:val="Padro"/>
        <w:spacing w:after="0" w:line="360" w:lineRule="auto"/>
        <w:jc w:val="both"/>
        <w:rPr>
          <w:rFonts w:ascii="Arial" w:hAnsi="Arial" w:cs="Arial"/>
        </w:rPr>
      </w:pPr>
    </w:p>
    <w:p w14:paraId="72FA64EC" w14:textId="6B284CB6" w:rsidR="00290BFA" w:rsidRPr="00607F0B" w:rsidRDefault="00255ACE" w:rsidP="00DC7F6B">
      <w:pPr>
        <w:pStyle w:val="Padro"/>
        <w:spacing w:after="0" w:line="360" w:lineRule="auto"/>
        <w:jc w:val="both"/>
        <w:rPr>
          <w:rFonts w:ascii="Arial" w:hAnsi="Arial" w:cs="Arial"/>
        </w:rPr>
      </w:pPr>
      <w:r w:rsidRPr="00607F0B">
        <w:rPr>
          <w:rFonts w:ascii="Arial" w:hAnsi="Arial" w:cs="Arial"/>
        </w:rPr>
        <w:t>Quadro</w:t>
      </w:r>
      <w:r w:rsidR="00290BFA" w:rsidRPr="00607F0B">
        <w:rPr>
          <w:rFonts w:ascii="Arial" w:hAnsi="Arial" w:cs="Arial"/>
        </w:rPr>
        <w:t xml:space="preserve"> 1 – Débitos </w:t>
      </w:r>
      <w:r w:rsidR="00A77C7B" w:rsidRPr="00607F0B">
        <w:rPr>
          <w:rFonts w:ascii="Arial" w:hAnsi="Arial" w:cs="Arial"/>
        </w:rPr>
        <w:t>d</w:t>
      </w:r>
      <w:r w:rsidR="00290BFA" w:rsidRPr="00607F0B">
        <w:rPr>
          <w:rFonts w:ascii="Arial" w:hAnsi="Arial" w:cs="Arial"/>
        </w:rPr>
        <w:t>e entidades empresariais ativas inscritos em dívida ativa da União</w:t>
      </w:r>
    </w:p>
    <w:tbl>
      <w:tblPr>
        <w:tblStyle w:val="Tabelacomgrade"/>
        <w:tblW w:w="9552" w:type="dxa"/>
        <w:tblLook w:val="04A0" w:firstRow="1" w:lastRow="0" w:firstColumn="1" w:lastColumn="0" w:noHBand="0" w:noVBand="1"/>
      </w:tblPr>
      <w:tblGrid>
        <w:gridCol w:w="1924"/>
        <w:gridCol w:w="1559"/>
        <w:gridCol w:w="1663"/>
        <w:gridCol w:w="1893"/>
        <w:gridCol w:w="2513"/>
      </w:tblGrid>
      <w:tr w:rsidR="00EB4310" w:rsidRPr="00907988" w14:paraId="58DED3A7" w14:textId="77777777" w:rsidTr="004727C7">
        <w:trPr>
          <w:trHeight w:val="830"/>
        </w:trPr>
        <w:tc>
          <w:tcPr>
            <w:tcW w:w="1924" w:type="dxa"/>
          </w:tcPr>
          <w:p w14:paraId="0AFEA50D" w14:textId="15D05D57" w:rsidR="00BF7898" w:rsidRPr="00907988" w:rsidRDefault="00255ACE" w:rsidP="00DC7F6B">
            <w:pPr>
              <w:pStyle w:val="Padro"/>
              <w:spacing w:line="360" w:lineRule="auto"/>
              <w:jc w:val="both"/>
              <w:rPr>
                <w:rFonts w:ascii="Arial" w:hAnsi="Arial" w:cs="Arial"/>
                <w:b/>
                <w:sz w:val="20"/>
                <w:szCs w:val="20"/>
              </w:rPr>
            </w:pPr>
            <w:r w:rsidRPr="00907988">
              <w:rPr>
                <w:rFonts w:ascii="Arial" w:hAnsi="Arial" w:cs="Arial"/>
                <w:b/>
                <w:sz w:val="20"/>
                <w:szCs w:val="20"/>
              </w:rPr>
              <w:t>Grupo da natureza jurídica do devedo</w:t>
            </w:r>
            <w:r w:rsidR="002D49F2">
              <w:rPr>
                <w:rFonts w:ascii="Arial" w:hAnsi="Arial" w:cs="Arial"/>
                <w:b/>
                <w:sz w:val="20"/>
                <w:szCs w:val="20"/>
              </w:rPr>
              <w:t>r</w:t>
            </w:r>
          </w:p>
        </w:tc>
        <w:tc>
          <w:tcPr>
            <w:tcW w:w="1559" w:type="dxa"/>
          </w:tcPr>
          <w:p w14:paraId="660EAC2D" w14:textId="2848B809" w:rsidR="00BF7898" w:rsidRPr="00907988" w:rsidRDefault="00255ACE" w:rsidP="00DC7F6B">
            <w:pPr>
              <w:pStyle w:val="Padro"/>
              <w:spacing w:line="360" w:lineRule="auto"/>
              <w:jc w:val="both"/>
              <w:rPr>
                <w:rFonts w:ascii="Arial" w:hAnsi="Arial" w:cs="Arial"/>
                <w:b/>
                <w:sz w:val="20"/>
                <w:szCs w:val="20"/>
              </w:rPr>
            </w:pPr>
            <w:r w:rsidRPr="00907988">
              <w:rPr>
                <w:rFonts w:ascii="Arial" w:hAnsi="Arial" w:cs="Arial"/>
                <w:b/>
                <w:sz w:val="20"/>
                <w:szCs w:val="20"/>
              </w:rPr>
              <w:t>Situação cadastral do devedor detalhado</w:t>
            </w:r>
          </w:p>
        </w:tc>
        <w:tc>
          <w:tcPr>
            <w:tcW w:w="1663" w:type="dxa"/>
          </w:tcPr>
          <w:p w14:paraId="5BF02CFD" w14:textId="2126E097" w:rsidR="00BF7898" w:rsidRPr="00907988" w:rsidRDefault="00255ACE" w:rsidP="00DC7F6B">
            <w:pPr>
              <w:pStyle w:val="Padro"/>
              <w:spacing w:line="360" w:lineRule="auto"/>
              <w:jc w:val="both"/>
              <w:rPr>
                <w:rFonts w:ascii="Arial" w:hAnsi="Arial" w:cs="Arial"/>
                <w:b/>
                <w:sz w:val="20"/>
                <w:szCs w:val="20"/>
              </w:rPr>
            </w:pPr>
            <w:r w:rsidRPr="00907988">
              <w:rPr>
                <w:rFonts w:ascii="Arial" w:hAnsi="Arial" w:cs="Arial"/>
                <w:b/>
                <w:sz w:val="20"/>
                <w:szCs w:val="20"/>
              </w:rPr>
              <w:t>Indicador de grandes devedores</w:t>
            </w:r>
          </w:p>
        </w:tc>
        <w:tc>
          <w:tcPr>
            <w:tcW w:w="1893" w:type="dxa"/>
          </w:tcPr>
          <w:p w14:paraId="27FABC4E" w14:textId="144C4484" w:rsidR="00BF7898" w:rsidRPr="00907988" w:rsidRDefault="00255ACE" w:rsidP="00DC7F6B">
            <w:pPr>
              <w:pStyle w:val="Padro"/>
              <w:spacing w:line="360" w:lineRule="auto"/>
              <w:jc w:val="both"/>
              <w:rPr>
                <w:rFonts w:ascii="Arial" w:hAnsi="Arial" w:cs="Arial"/>
                <w:b/>
                <w:sz w:val="20"/>
                <w:szCs w:val="20"/>
              </w:rPr>
            </w:pPr>
            <w:r w:rsidRPr="00907988">
              <w:rPr>
                <w:rFonts w:ascii="Arial" w:hAnsi="Arial" w:cs="Arial"/>
                <w:b/>
                <w:sz w:val="20"/>
                <w:szCs w:val="20"/>
              </w:rPr>
              <w:t>Quantidades de devedores agregados</w:t>
            </w:r>
          </w:p>
        </w:tc>
        <w:tc>
          <w:tcPr>
            <w:tcW w:w="2513" w:type="dxa"/>
          </w:tcPr>
          <w:p w14:paraId="5916C05F" w14:textId="40D17130" w:rsidR="00BF7898" w:rsidRPr="00907988" w:rsidRDefault="00255ACE" w:rsidP="00DC7F6B">
            <w:pPr>
              <w:pStyle w:val="Padro"/>
              <w:spacing w:line="360" w:lineRule="auto"/>
              <w:jc w:val="both"/>
              <w:rPr>
                <w:rFonts w:ascii="Arial" w:hAnsi="Arial" w:cs="Arial"/>
                <w:b/>
                <w:sz w:val="20"/>
                <w:szCs w:val="20"/>
              </w:rPr>
            </w:pPr>
            <w:r w:rsidRPr="00907988">
              <w:rPr>
                <w:rFonts w:ascii="Arial" w:hAnsi="Arial" w:cs="Arial"/>
                <w:b/>
                <w:sz w:val="20"/>
                <w:szCs w:val="20"/>
              </w:rPr>
              <w:t>Todas origens – valor consolidação da inscrição</w:t>
            </w:r>
          </w:p>
        </w:tc>
      </w:tr>
      <w:tr w:rsidR="00D563F3" w:rsidRPr="00907988" w14:paraId="30E261AE" w14:textId="77777777" w:rsidTr="004727C7">
        <w:trPr>
          <w:trHeight w:val="537"/>
        </w:trPr>
        <w:tc>
          <w:tcPr>
            <w:tcW w:w="1924" w:type="dxa"/>
            <w:vMerge w:val="restart"/>
          </w:tcPr>
          <w:p w14:paraId="776A9105" w14:textId="77777777" w:rsidR="00D563F3" w:rsidRPr="00907988" w:rsidRDefault="00EB4310" w:rsidP="00DC7F6B">
            <w:pPr>
              <w:pStyle w:val="Padro"/>
              <w:spacing w:line="360" w:lineRule="auto"/>
              <w:jc w:val="both"/>
              <w:rPr>
                <w:rFonts w:ascii="Arial" w:hAnsi="Arial" w:cs="Arial"/>
                <w:sz w:val="20"/>
                <w:szCs w:val="20"/>
              </w:rPr>
            </w:pPr>
            <w:r w:rsidRPr="00907988">
              <w:rPr>
                <w:rFonts w:ascii="Arial" w:hAnsi="Arial" w:cs="Arial"/>
                <w:sz w:val="20"/>
                <w:szCs w:val="20"/>
              </w:rPr>
              <w:t>ENTIDADES EMPRESARIA</w:t>
            </w:r>
            <w:r w:rsidR="00290BFA" w:rsidRPr="00907988">
              <w:rPr>
                <w:rFonts w:ascii="Arial" w:hAnsi="Arial" w:cs="Arial"/>
                <w:sz w:val="20"/>
                <w:szCs w:val="20"/>
              </w:rPr>
              <w:t>I</w:t>
            </w:r>
            <w:r w:rsidR="00D563F3" w:rsidRPr="00907988">
              <w:rPr>
                <w:rFonts w:ascii="Arial" w:hAnsi="Arial" w:cs="Arial"/>
                <w:sz w:val="20"/>
                <w:szCs w:val="20"/>
              </w:rPr>
              <w:t>S</w:t>
            </w:r>
          </w:p>
        </w:tc>
        <w:tc>
          <w:tcPr>
            <w:tcW w:w="1559" w:type="dxa"/>
            <w:vMerge w:val="restart"/>
          </w:tcPr>
          <w:p w14:paraId="4E4A6779" w14:textId="77777777" w:rsidR="00D563F3" w:rsidRPr="00907988" w:rsidRDefault="00D563F3" w:rsidP="00DC7F6B">
            <w:pPr>
              <w:pStyle w:val="Padro"/>
              <w:spacing w:line="360" w:lineRule="auto"/>
              <w:jc w:val="both"/>
              <w:rPr>
                <w:rFonts w:ascii="Arial" w:hAnsi="Arial" w:cs="Arial"/>
                <w:sz w:val="20"/>
                <w:szCs w:val="20"/>
              </w:rPr>
            </w:pPr>
            <w:r w:rsidRPr="00907988">
              <w:rPr>
                <w:rFonts w:ascii="Arial" w:hAnsi="Arial" w:cs="Arial"/>
                <w:sz w:val="20"/>
                <w:szCs w:val="20"/>
              </w:rPr>
              <w:t>ATIVO</w:t>
            </w:r>
          </w:p>
        </w:tc>
        <w:tc>
          <w:tcPr>
            <w:tcW w:w="1663" w:type="dxa"/>
          </w:tcPr>
          <w:p w14:paraId="17707423" w14:textId="77777777" w:rsidR="00D563F3" w:rsidRPr="00907988" w:rsidRDefault="00D563F3" w:rsidP="00DC7F6B">
            <w:pPr>
              <w:pStyle w:val="Padro"/>
              <w:spacing w:line="360" w:lineRule="auto"/>
              <w:jc w:val="both"/>
              <w:rPr>
                <w:rFonts w:ascii="Arial" w:hAnsi="Arial" w:cs="Arial"/>
                <w:sz w:val="20"/>
                <w:szCs w:val="20"/>
              </w:rPr>
            </w:pPr>
            <w:r w:rsidRPr="00907988">
              <w:rPr>
                <w:rFonts w:ascii="Arial" w:hAnsi="Arial" w:cs="Arial"/>
                <w:sz w:val="20"/>
                <w:szCs w:val="20"/>
              </w:rPr>
              <w:t>Grande Devedor</w:t>
            </w:r>
          </w:p>
        </w:tc>
        <w:tc>
          <w:tcPr>
            <w:tcW w:w="1893" w:type="dxa"/>
          </w:tcPr>
          <w:p w14:paraId="50241AC3" w14:textId="77777777" w:rsidR="00D563F3" w:rsidRPr="00907988" w:rsidRDefault="00D563F3" w:rsidP="00DC7F6B">
            <w:pPr>
              <w:pStyle w:val="Padro"/>
              <w:spacing w:line="360" w:lineRule="auto"/>
              <w:jc w:val="both"/>
              <w:rPr>
                <w:rFonts w:ascii="Arial" w:hAnsi="Arial" w:cs="Arial"/>
                <w:sz w:val="20"/>
                <w:szCs w:val="20"/>
              </w:rPr>
            </w:pPr>
            <w:r w:rsidRPr="00907988">
              <w:rPr>
                <w:rFonts w:ascii="Arial" w:hAnsi="Arial" w:cs="Arial"/>
                <w:sz w:val="20"/>
                <w:szCs w:val="20"/>
              </w:rPr>
              <w:t>7.109</w:t>
            </w:r>
          </w:p>
        </w:tc>
        <w:tc>
          <w:tcPr>
            <w:tcW w:w="2513" w:type="dxa"/>
          </w:tcPr>
          <w:p w14:paraId="14237F96" w14:textId="4D73F78B" w:rsidR="00D563F3" w:rsidRPr="00907988" w:rsidRDefault="00C77233" w:rsidP="00DC7F6B">
            <w:pPr>
              <w:pStyle w:val="Padro"/>
              <w:spacing w:line="360" w:lineRule="auto"/>
              <w:jc w:val="both"/>
              <w:rPr>
                <w:rFonts w:ascii="Arial" w:hAnsi="Arial" w:cs="Arial"/>
                <w:sz w:val="20"/>
                <w:szCs w:val="20"/>
              </w:rPr>
            </w:pPr>
            <w:r w:rsidRPr="00907988">
              <w:rPr>
                <w:rFonts w:ascii="Arial" w:hAnsi="Arial" w:cs="Arial"/>
                <w:sz w:val="20"/>
                <w:szCs w:val="20"/>
              </w:rPr>
              <w:t>899.776.822.699,10</w:t>
            </w:r>
          </w:p>
        </w:tc>
      </w:tr>
      <w:tr w:rsidR="00D563F3" w:rsidRPr="00907988" w14:paraId="3BA1D2E9" w14:textId="77777777" w:rsidTr="004727C7">
        <w:trPr>
          <w:trHeight w:val="562"/>
        </w:trPr>
        <w:tc>
          <w:tcPr>
            <w:tcW w:w="1924" w:type="dxa"/>
            <w:vMerge/>
          </w:tcPr>
          <w:p w14:paraId="77CA0EEC" w14:textId="77777777" w:rsidR="00D563F3" w:rsidRPr="00907988" w:rsidRDefault="00D563F3" w:rsidP="00977752">
            <w:pPr>
              <w:pStyle w:val="Padro"/>
              <w:spacing w:line="360" w:lineRule="auto"/>
              <w:ind w:firstLine="709"/>
              <w:jc w:val="both"/>
              <w:rPr>
                <w:rFonts w:ascii="Arial" w:hAnsi="Arial" w:cs="Arial"/>
                <w:sz w:val="20"/>
                <w:szCs w:val="20"/>
              </w:rPr>
            </w:pPr>
          </w:p>
        </w:tc>
        <w:tc>
          <w:tcPr>
            <w:tcW w:w="1559" w:type="dxa"/>
            <w:vMerge/>
          </w:tcPr>
          <w:p w14:paraId="1DAB7536" w14:textId="77777777" w:rsidR="00D563F3" w:rsidRPr="00907988" w:rsidRDefault="00D563F3" w:rsidP="00977752">
            <w:pPr>
              <w:pStyle w:val="Padro"/>
              <w:spacing w:line="360" w:lineRule="auto"/>
              <w:ind w:firstLine="709"/>
              <w:jc w:val="both"/>
              <w:rPr>
                <w:rFonts w:ascii="Arial" w:hAnsi="Arial" w:cs="Arial"/>
                <w:sz w:val="20"/>
                <w:szCs w:val="20"/>
              </w:rPr>
            </w:pPr>
          </w:p>
        </w:tc>
        <w:tc>
          <w:tcPr>
            <w:tcW w:w="1663" w:type="dxa"/>
          </w:tcPr>
          <w:p w14:paraId="55BC6DA9" w14:textId="77777777" w:rsidR="00D563F3" w:rsidRPr="00907988" w:rsidRDefault="00C77233" w:rsidP="00DC7F6B">
            <w:pPr>
              <w:pStyle w:val="Padro"/>
              <w:spacing w:line="360" w:lineRule="auto"/>
              <w:jc w:val="both"/>
              <w:rPr>
                <w:rFonts w:ascii="Arial" w:hAnsi="Arial" w:cs="Arial"/>
                <w:sz w:val="20"/>
                <w:szCs w:val="20"/>
              </w:rPr>
            </w:pPr>
            <w:r w:rsidRPr="00907988">
              <w:rPr>
                <w:rFonts w:ascii="Arial" w:hAnsi="Arial" w:cs="Arial"/>
                <w:sz w:val="20"/>
                <w:szCs w:val="20"/>
              </w:rPr>
              <w:t>Não Grande Devedor</w:t>
            </w:r>
          </w:p>
        </w:tc>
        <w:tc>
          <w:tcPr>
            <w:tcW w:w="1893" w:type="dxa"/>
          </w:tcPr>
          <w:p w14:paraId="38C7CC74" w14:textId="77777777" w:rsidR="00D563F3" w:rsidRPr="00907988" w:rsidRDefault="00C77233" w:rsidP="00DC7F6B">
            <w:pPr>
              <w:pStyle w:val="Padro"/>
              <w:spacing w:line="360" w:lineRule="auto"/>
              <w:jc w:val="both"/>
              <w:rPr>
                <w:rFonts w:ascii="Arial" w:hAnsi="Arial" w:cs="Arial"/>
                <w:sz w:val="20"/>
                <w:szCs w:val="20"/>
              </w:rPr>
            </w:pPr>
            <w:r w:rsidRPr="00907988">
              <w:rPr>
                <w:rFonts w:ascii="Arial" w:hAnsi="Arial" w:cs="Arial"/>
                <w:sz w:val="20"/>
                <w:szCs w:val="20"/>
              </w:rPr>
              <w:t>1.248.969</w:t>
            </w:r>
          </w:p>
        </w:tc>
        <w:tc>
          <w:tcPr>
            <w:tcW w:w="2513" w:type="dxa"/>
          </w:tcPr>
          <w:p w14:paraId="63FB52BC" w14:textId="77777777" w:rsidR="00D563F3" w:rsidRPr="00907988" w:rsidRDefault="00C77233" w:rsidP="00DC7F6B">
            <w:pPr>
              <w:pStyle w:val="Padro"/>
              <w:spacing w:line="360" w:lineRule="auto"/>
              <w:jc w:val="both"/>
              <w:rPr>
                <w:rFonts w:ascii="Arial" w:hAnsi="Arial" w:cs="Arial"/>
                <w:sz w:val="20"/>
                <w:szCs w:val="20"/>
              </w:rPr>
            </w:pPr>
            <w:r w:rsidRPr="00907988">
              <w:rPr>
                <w:rFonts w:ascii="Arial" w:hAnsi="Arial" w:cs="Arial"/>
                <w:sz w:val="20"/>
                <w:szCs w:val="20"/>
              </w:rPr>
              <w:t>386.453.9222.257,17</w:t>
            </w:r>
          </w:p>
        </w:tc>
      </w:tr>
      <w:tr w:rsidR="00D563F3" w:rsidRPr="00907988" w14:paraId="47EB9161" w14:textId="77777777" w:rsidTr="004727C7">
        <w:trPr>
          <w:trHeight w:val="280"/>
        </w:trPr>
        <w:tc>
          <w:tcPr>
            <w:tcW w:w="1924" w:type="dxa"/>
            <w:vMerge/>
          </w:tcPr>
          <w:p w14:paraId="4A24FB9A" w14:textId="77777777" w:rsidR="00D563F3" w:rsidRPr="00907988" w:rsidRDefault="00D563F3" w:rsidP="00977752">
            <w:pPr>
              <w:pStyle w:val="Padro"/>
              <w:spacing w:line="360" w:lineRule="auto"/>
              <w:ind w:firstLine="709"/>
              <w:jc w:val="both"/>
              <w:rPr>
                <w:rFonts w:ascii="Arial" w:hAnsi="Arial" w:cs="Arial"/>
                <w:sz w:val="20"/>
                <w:szCs w:val="20"/>
              </w:rPr>
            </w:pPr>
          </w:p>
        </w:tc>
        <w:tc>
          <w:tcPr>
            <w:tcW w:w="1559" w:type="dxa"/>
            <w:vMerge/>
          </w:tcPr>
          <w:p w14:paraId="07D51D50" w14:textId="77777777" w:rsidR="00D563F3" w:rsidRPr="00907988" w:rsidRDefault="00D563F3" w:rsidP="00977752">
            <w:pPr>
              <w:pStyle w:val="Padro"/>
              <w:spacing w:line="360" w:lineRule="auto"/>
              <w:ind w:firstLine="709"/>
              <w:jc w:val="both"/>
              <w:rPr>
                <w:rFonts w:ascii="Arial" w:hAnsi="Arial" w:cs="Arial"/>
                <w:sz w:val="20"/>
                <w:szCs w:val="20"/>
              </w:rPr>
            </w:pPr>
          </w:p>
        </w:tc>
        <w:tc>
          <w:tcPr>
            <w:tcW w:w="1663" w:type="dxa"/>
          </w:tcPr>
          <w:p w14:paraId="15D23BCA" w14:textId="77777777" w:rsidR="00D563F3" w:rsidRPr="00907988" w:rsidRDefault="00EB4310" w:rsidP="00DC7F6B">
            <w:pPr>
              <w:pStyle w:val="Padro"/>
              <w:spacing w:line="360" w:lineRule="auto"/>
              <w:jc w:val="both"/>
              <w:rPr>
                <w:rFonts w:ascii="Arial" w:hAnsi="Arial" w:cs="Arial"/>
                <w:bCs/>
                <w:sz w:val="20"/>
                <w:szCs w:val="20"/>
              </w:rPr>
            </w:pPr>
            <w:r w:rsidRPr="00907988">
              <w:rPr>
                <w:rFonts w:ascii="Arial" w:hAnsi="Arial" w:cs="Arial"/>
                <w:bCs/>
                <w:sz w:val="20"/>
                <w:szCs w:val="20"/>
              </w:rPr>
              <w:t>Total</w:t>
            </w:r>
          </w:p>
        </w:tc>
        <w:tc>
          <w:tcPr>
            <w:tcW w:w="1893" w:type="dxa"/>
          </w:tcPr>
          <w:p w14:paraId="3D4C70ED" w14:textId="77777777" w:rsidR="00D563F3" w:rsidRPr="00907988" w:rsidRDefault="00EB4310" w:rsidP="00DC7F6B">
            <w:pPr>
              <w:pStyle w:val="Padro"/>
              <w:spacing w:line="360" w:lineRule="auto"/>
              <w:jc w:val="both"/>
              <w:rPr>
                <w:rFonts w:ascii="Arial" w:hAnsi="Arial" w:cs="Arial"/>
                <w:bCs/>
                <w:sz w:val="20"/>
                <w:szCs w:val="20"/>
              </w:rPr>
            </w:pPr>
            <w:r w:rsidRPr="00907988">
              <w:rPr>
                <w:rFonts w:ascii="Arial" w:hAnsi="Arial" w:cs="Arial"/>
                <w:bCs/>
                <w:sz w:val="20"/>
                <w:szCs w:val="20"/>
              </w:rPr>
              <w:t>1.256.078</w:t>
            </w:r>
          </w:p>
        </w:tc>
        <w:tc>
          <w:tcPr>
            <w:tcW w:w="2513" w:type="dxa"/>
          </w:tcPr>
          <w:p w14:paraId="389504F2" w14:textId="77777777" w:rsidR="00D563F3" w:rsidRPr="00907988" w:rsidRDefault="00EB4310" w:rsidP="00DC7F6B">
            <w:pPr>
              <w:pStyle w:val="Padro"/>
              <w:spacing w:line="360" w:lineRule="auto"/>
              <w:jc w:val="both"/>
              <w:rPr>
                <w:rFonts w:ascii="Arial" w:hAnsi="Arial" w:cs="Arial"/>
                <w:bCs/>
                <w:sz w:val="20"/>
                <w:szCs w:val="20"/>
              </w:rPr>
            </w:pPr>
            <w:r w:rsidRPr="00907988">
              <w:rPr>
                <w:rFonts w:ascii="Arial" w:hAnsi="Arial" w:cs="Arial"/>
                <w:bCs/>
                <w:sz w:val="20"/>
                <w:szCs w:val="20"/>
              </w:rPr>
              <w:t>1.286.230.744.956,35</w:t>
            </w:r>
          </w:p>
        </w:tc>
      </w:tr>
    </w:tbl>
    <w:p w14:paraId="33350B6F" w14:textId="0A49320A" w:rsidR="001230D4" w:rsidRPr="00607F0B" w:rsidRDefault="00533FFF" w:rsidP="00DC7F6B">
      <w:pPr>
        <w:pStyle w:val="Padro"/>
        <w:spacing w:after="0" w:line="360" w:lineRule="auto"/>
        <w:jc w:val="both"/>
        <w:rPr>
          <w:rFonts w:ascii="Arial" w:hAnsi="Arial" w:cs="Arial"/>
        </w:rPr>
      </w:pPr>
      <w:r w:rsidRPr="00607F0B">
        <w:rPr>
          <w:rFonts w:ascii="Arial" w:hAnsi="Arial" w:cs="Arial"/>
        </w:rPr>
        <w:t xml:space="preserve">Fonte: </w:t>
      </w:r>
      <w:r w:rsidR="006B625D" w:rsidRPr="00607F0B">
        <w:rPr>
          <w:rFonts w:ascii="Arial" w:hAnsi="Arial" w:cs="Arial"/>
        </w:rPr>
        <w:t>(PASSOS FILHO, 2019, p. 02)</w:t>
      </w:r>
    </w:p>
    <w:p w14:paraId="35115B76" w14:textId="77777777" w:rsidR="004727C7" w:rsidRPr="00907988" w:rsidRDefault="004727C7" w:rsidP="00977752">
      <w:pPr>
        <w:pStyle w:val="Padro"/>
        <w:spacing w:after="0" w:line="360" w:lineRule="auto"/>
        <w:ind w:firstLine="709"/>
        <w:jc w:val="both"/>
        <w:rPr>
          <w:rFonts w:ascii="Arial" w:hAnsi="Arial" w:cs="Arial"/>
          <w:sz w:val="24"/>
          <w:szCs w:val="24"/>
        </w:rPr>
      </w:pPr>
    </w:p>
    <w:p w14:paraId="4B100390" w14:textId="25A1B6E5" w:rsidR="00943A18" w:rsidRPr="00907988" w:rsidRDefault="00825F99" w:rsidP="00907988">
      <w:pPr>
        <w:pStyle w:val="Padro"/>
        <w:spacing w:after="0" w:line="360" w:lineRule="auto"/>
        <w:ind w:firstLine="709"/>
        <w:jc w:val="both"/>
        <w:rPr>
          <w:rFonts w:ascii="Arial" w:hAnsi="Arial" w:cs="Arial"/>
          <w:sz w:val="24"/>
          <w:szCs w:val="24"/>
        </w:rPr>
      </w:pPr>
      <w:r w:rsidRPr="00907988">
        <w:rPr>
          <w:rFonts w:ascii="Arial" w:hAnsi="Arial" w:cs="Arial"/>
          <w:sz w:val="24"/>
          <w:szCs w:val="24"/>
        </w:rPr>
        <w:t xml:space="preserve">O </w:t>
      </w:r>
      <w:r w:rsidR="00A02C72" w:rsidRPr="00907988">
        <w:rPr>
          <w:rFonts w:ascii="Arial" w:hAnsi="Arial" w:cs="Arial"/>
          <w:sz w:val="24"/>
          <w:szCs w:val="24"/>
        </w:rPr>
        <w:t>contingente</w:t>
      </w:r>
      <w:r w:rsidRPr="00907988">
        <w:rPr>
          <w:rFonts w:ascii="Arial" w:hAnsi="Arial" w:cs="Arial"/>
          <w:sz w:val="24"/>
          <w:szCs w:val="24"/>
        </w:rPr>
        <w:t xml:space="preserve"> de pessoas </w:t>
      </w:r>
      <w:r w:rsidR="006E3F52" w:rsidRPr="00907988">
        <w:rPr>
          <w:rFonts w:ascii="Arial" w:hAnsi="Arial" w:cs="Arial"/>
          <w:sz w:val="24"/>
          <w:szCs w:val="24"/>
        </w:rPr>
        <w:t>físicas com dívida inscrita em DAU, por seu turno, é de 1.690.690</w:t>
      </w:r>
      <w:r w:rsidR="00CA763D" w:rsidRPr="00907988">
        <w:rPr>
          <w:rFonts w:ascii="Arial" w:hAnsi="Arial" w:cs="Arial"/>
          <w:sz w:val="24"/>
          <w:szCs w:val="24"/>
        </w:rPr>
        <w:t>, totalizando um montante de R$ 143.182.332.500,94. Desse todo, cerca de 2.</w:t>
      </w:r>
      <w:r w:rsidR="00E85154" w:rsidRPr="00907988">
        <w:rPr>
          <w:rFonts w:ascii="Arial" w:hAnsi="Arial" w:cs="Arial"/>
          <w:sz w:val="24"/>
          <w:szCs w:val="24"/>
        </w:rPr>
        <w:t xml:space="preserve">716 se enquadram no conceito de grande devedor, com </w:t>
      </w:r>
      <w:r w:rsidR="00024879" w:rsidRPr="00907988">
        <w:rPr>
          <w:rFonts w:ascii="Arial" w:hAnsi="Arial" w:cs="Arial"/>
          <w:sz w:val="24"/>
          <w:szCs w:val="24"/>
        </w:rPr>
        <w:t xml:space="preserve">débitos superiores a </w:t>
      </w:r>
      <w:r w:rsidR="009A2558" w:rsidRPr="00907988">
        <w:rPr>
          <w:rFonts w:ascii="Arial" w:hAnsi="Arial" w:cs="Arial"/>
          <w:sz w:val="24"/>
          <w:szCs w:val="24"/>
        </w:rPr>
        <w:t>R$</w:t>
      </w:r>
      <w:r w:rsidR="00024879" w:rsidRPr="00907988">
        <w:rPr>
          <w:rFonts w:ascii="Arial" w:hAnsi="Arial" w:cs="Arial"/>
          <w:sz w:val="24"/>
          <w:szCs w:val="24"/>
        </w:rPr>
        <w:t xml:space="preserve"> 15 mi</w:t>
      </w:r>
      <w:r w:rsidR="00E85154" w:rsidRPr="00907988">
        <w:rPr>
          <w:rFonts w:ascii="Arial" w:hAnsi="Arial" w:cs="Arial"/>
          <w:sz w:val="24"/>
          <w:szCs w:val="24"/>
        </w:rPr>
        <w:t>lhões junto à PGFN</w:t>
      </w:r>
      <w:r w:rsidR="00024879" w:rsidRPr="00907988">
        <w:rPr>
          <w:rFonts w:ascii="Arial" w:hAnsi="Arial" w:cs="Arial"/>
          <w:sz w:val="24"/>
          <w:szCs w:val="24"/>
        </w:rPr>
        <w:t xml:space="preserve">. Esses grandes devedores titularizam débito na ordem de </w:t>
      </w:r>
      <w:r w:rsidR="00024879" w:rsidRPr="00907988">
        <w:rPr>
          <w:rFonts w:ascii="Arial" w:hAnsi="Arial" w:cs="Arial"/>
          <w:sz w:val="24"/>
          <w:szCs w:val="24"/>
        </w:rPr>
        <w:lastRenderedPageBreak/>
        <w:t>49.671.253.549,59, enquanto os 1</w:t>
      </w:r>
      <w:r w:rsidR="00F74B0C">
        <w:rPr>
          <w:rFonts w:ascii="Arial" w:hAnsi="Arial" w:cs="Arial"/>
          <w:sz w:val="24"/>
          <w:szCs w:val="24"/>
        </w:rPr>
        <w:t>.</w:t>
      </w:r>
      <w:r w:rsidR="00024879" w:rsidRPr="00907988">
        <w:rPr>
          <w:rFonts w:ascii="Arial" w:hAnsi="Arial" w:cs="Arial"/>
          <w:sz w:val="24"/>
          <w:szCs w:val="24"/>
        </w:rPr>
        <w:t xml:space="preserve">687.974, não </w:t>
      </w:r>
      <w:proofErr w:type="gramStart"/>
      <w:r w:rsidR="00024879" w:rsidRPr="00907988">
        <w:rPr>
          <w:rFonts w:ascii="Arial" w:hAnsi="Arial" w:cs="Arial"/>
          <w:sz w:val="24"/>
          <w:szCs w:val="24"/>
        </w:rPr>
        <w:t>grande devedores</w:t>
      </w:r>
      <w:proofErr w:type="gramEnd"/>
      <w:r w:rsidR="008D6CAF" w:rsidRPr="00907988">
        <w:rPr>
          <w:rFonts w:ascii="Arial" w:hAnsi="Arial" w:cs="Arial"/>
          <w:sz w:val="24"/>
          <w:szCs w:val="24"/>
        </w:rPr>
        <w:t xml:space="preserve">, devem o montante </w:t>
      </w:r>
      <w:r w:rsidR="00CC6E64" w:rsidRPr="00907988">
        <w:rPr>
          <w:rFonts w:ascii="Arial" w:hAnsi="Arial" w:cs="Arial"/>
          <w:sz w:val="24"/>
          <w:szCs w:val="24"/>
        </w:rPr>
        <w:t xml:space="preserve">R$ 93.511.078.951,35 (PASSOS FILHO, 2019). Vide tabela abaixo. </w:t>
      </w:r>
    </w:p>
    <w:p w14:paraId="02ECE8D7" w14:textId="77777777" w:rsidR="00943A18" w:rsidRPr="00907988" w:rsidRDefault="00943A18" w:rsidP="00943A18">
      <w:pPr>
        <w:pStyle w:val="Padro"/>
        <w:spacing w:after="0" w:line="360" w:lineRule="auto"/>
        <w:jc w:val="both"/>
        <w:rPr>
          <w:rFonts w:ascii="Arial" w:hAnsi="Arial" w:cs="Arial"/>
          <w:sz w:val="24"/>
          <w:szCs w:val="24"/>
        </w:rPr>
      </w:pPr>
    </w:p>
    <w:p w14:paraId="653B4B5B" w14:textId="4AB7A976" w:rsidR="00D850BC" w:rsidRPr="00607F0B" w:rsidRDefault="002D3AE7" w:rsidP="00943A18">
      <w:pPr>
        <w:pStyle w:val="Padro"/>
        <w:spacing w:after="0" w:line="360" w:lineRule="auto"/>
        <w:jc w:val="both"/>
        <w:rPr>
          <w:rFonts w:ascii="Arial" w:hAnsi="Arial" w:cs="Arial"/>
        </w:rPr>
      </w:pPr>
      <w:r w:rsidRPr="00607F0B">
        <w:rPr>
          <w:rFonts w:ascii="Arial" w:hAnsi="Arial" w:cs="Arial"/>
        </w:rPr>
        <w:t>Quadro</w:t>
      </w:r>
      <w:r w:rsidR="00D850BC" w:rsidRPr="00607F0B">
        <w:rPr>
          <w:rFonts w:ascii="Arial" w:hAnsi="Arial" w:cs="Arial"/>
        </w:rPr>
        <w:t xml:space="preserve"> 2 – Débitos de pessoas físicas inscritos em dívida ativa da União</w:t>
      </w:r>
    </w:p>
    <w:tbl>
      <w:tblPr>
        <w:tblStyle w:val="Tabelacomgrade"/>
        <w:tblW w:w="0" w:type="auto"/>
        <w:tblLook w:val="04A0" w:firstRow="1" w:lastRow="0" w:firstColumn="1" w:lastColumn="0" w:noHBand="0" w:noVBand="1"/>
      </w:tblPr>
      <w:tblGrid>
        <w:gridCol w:w="2245"/>
        <w:gridCol w:w="2259"/>
        <w:gridCol w:w="2268"/>
        <w:gridCol w:w="2289"/>
      </w:tblGrid>
      <w:tr w:rsidR="00A02C72" w:rsidRPr="00907988" w14:paraId="7D74C9D0" w14:textId="77777777" w:rsidTr="00A02C72">
        <w:tc>
          <w:tcPr>
            <w:tcW w:w="2302" w:type="dxa"/>
          </w:tcPr>
          <w:p w14:paraId="2EC6BF6C" w14:textId="77777777" w:rsidR="00A02C72" w:rsidRPr="00907988" w:rsidRDefault="0056259D" w:rsidP="00DC7F6B">
            <w:pPr>
              <w:pStyle w:val="Padro"/>
              <w:spacing w:line="360" w:lineRule="auto"/>
              <w:rPr>
                <w:rFonts w:ascii="Arial" w:hAnsi="Arial" w:cs="Arial"/>
                <w:b/>
                <w:sz w:val="20"/>
                <w:szCs w:val="20"/>
              </w:rPr>
            </w:pPr>
            <w:r w:rsidRPr="00907988">
              <w:rPr>
                <w:rFonts w:ascii="Arial" w:hAnsi="Arial" w:cs="Arial"/>
                <w:b/>
                <w:sz w:val="20"/>
                <w:szCs w:val="20"/>
              </w:rPr>
              <w:t>TIPO DE PESSOA</w:t>
            </w:r>
          </w:p>
        </w:tc>
        <w:tc>
          <w:tcPr>
            <w:tcW w:w="2303" w:type="dxa"/>
          </w:tcPr>
          <w:p w14:paraId="19AA5227" w14:textId="77777777" w:rsidR="00A02C72" w:rsidRPr="00907988" w:rsidRDefault="0056259D" w:rsidP="00DC7F6B">
            <w:pPr>
              <w:pStyle w:val="Padro"/>
              <w:spacing w:line="360" w:lineRule="auto"/>
              <w:rPr>
                <w:rFonts w:ascii="Arial" w:hAnsi="Arial" w:cs="Arial"/>
                <w:b/>
                <w:sz w:val="20"/>
                <w:szCs w:val="20"/>
              </w:rPr>
            </w:pPr>
            <w:r w:rsidRPr="00907988">
              <w:rPr>
                <w:rFonts w:ascii="Arial" w:hAnsi="Arial" w:cs="Arial"/>
                <w:b/>
                <w:sz w:val="20"/>
                <w:szCs w:val="20"/>
              </w:rPr>
              <w:t>INDICADOR GRANDE DEVEDOR</w:t>
            </w:r>
          </w:p>
        </w:tc>
        <w:tc>
          <w:tcPr>
            <w:tcW w:w="2303" w:type="dxa"/>
          </w:tcPr>
          <w:p w14:paraId="361E5352" w14:textId="77777777" w:rsidR="00A02C72" w:rsidRPr="00907988" w:rsidRDefault="0056259D" w:rsidP="00DC7F6B">
            <w:pPr>
              <w:pStyle w:val="Padro"/>
              <w:spacing w:line="360" w:lineRule="auto"/>
              <w:rPr>
                <w:rFonts w:ascii="Arial" w:hAnsi="Arial" w:cs="Arial"/>
                <w:b/>
                <w:sz w:val="20"/>
                <w:szCs w:val="20"/>
              </w:rPr>
            </w:pPr>
            <w:r w:rsidRPr="00907988">
              <w:rPr>
                <w:rFonts w:ascii="Arial" w:hAnsi="Arial" w:cs="Arial"/>
                <w:b/>
                <w:sz w:val="20"/>
                <w:szCs w:val="20"/>
              </w:rPr>
              <w:t xml:space="preserve">QUANTIDADE DE DEVEDORES AGREGADOS </w:t>
            </w:r>
          </w:p>
        </w:tc>
        <w:tc>
          <w:tcPr>
            <w:tcW w:w="2303" w:type="dxa"/>
          </w:tcPr>
          <w:p w14:paraId="446F509F" w14:textId="77777777" w:rsidR="00A02C72" w:rsidRPr="00907988" w:rsidRDefault="0056259D" w:rsidP="00DC7F6B">
            <w:pPr>
              <w:pStyle w:val="Padro"/>
              <w:spacing w:line="360" w:lineRule="auto"/>
              <w:rPr>
                <w:rFonts w:ascii="Arial" w:hAnsi="Arial" w:cs="Arial"/>
                <w:b/>
                <w:sz w:val="20"/>
                <w:szCs w:val="20"/>
              </w:rPr>
            </w:pPr>
            <w:r w:rsidRPr="00907988">
              <w:rPr>
                <w:rFonts w:ascii="Arial" w:hAnsi="Arial" w:cs="Arial"/>
                <w:b/>
                <w:sz w:val="20"/>
                <w:szCs w:val="20"/>
              </w:rPr>
              <w:t>TODAS ORIGENS – VALOR CONSOLIDADO DA INSCRIÇÃO</w:t>
            </w:r>
          </w:p>
        </w:tc>
      </w:tr>
      <w:tr w:rsidR="00A02C72" w:rsidRPr="00907988" w14:paraId="52C17E87" w14:textId="77777777" w:rsidTr="00A02C72">
        <w:tc>
          <w:tcPr>
            <w:tcW w:w="2302" w:type="dxa"/>
          </w:tcPr>
          <w:p w14:paraId="046F198A" w14:textId="77777777" w:rsidR="00A02C72" w:rsidRPr="00907988" w:rsidRDefault="008B49B5" w:rsidP="00DC7F6B">
            <w:pPr>
              <w:pStyle w:val="Padro"/>
              <w:spacing w:line="360" w:lineRule="auto"/>
              <w:rPr>
                <w:rFonts w:ascii="Arial" w:hAnsi="Arial" w:cs="Arial"/>
                <w:sz w:val="20"/>
                <w:szCs w:val="20"/>
              </w:rPr>
            </w:pPr>
            <w:r w:rsidRPr="00907988">
              <w:rPr>
                <w:rFonts w:ascii="Arial" w:hAnsi="Arial" w:cs="Arial"/>
                <w:sz w:val="20"/>
                <w:szCs w:val="20"/>
              </w:rPr>
              <w:t>Pessoa Física</w:t>
            </w:r>
          </w:p>
        </w:tc>
        <w:tc>
          <w:tcPr>
            <w:tcW w:w="2303" w:type="dxa"/>
          </w:tcPr>
          <w:p w14:paraId="3533890B" w14:textId="77777777" w:rsidR="00A02C72" w:rsidRPr="00907988" w:rsidRDefault="00D73DA6" w:rsidP="00DC7F6B">
            <w:pPr>
              <w:pStyle w:val="Padro"/>
              <w:spacing w:line="360" w:lineRule="auto"/>
              <w:rPr>
                <w:rFonts w:ascii="Arial" w:hAnsi="Arial" w:cs="Arial"/>
                <w:sz w:val="20"/>
                <w:szCs w:val="20"/>
              </w:rPr>
            </w:pPr>
            <w:r w:rsidRPr="00907988">
              <w:rPr>
                <w:rFonts w:ascii="Arial" w:hAnsi="Arial" w:cs="Arial"/>
                <w:sz w:val="20"/>
                <w:szCs w:val="20"/>
              </w:rPr>
              <w:t xml:space="preserve">Grande </w:t>
            </w:r>
            <w:r w:rsidR="008B49B5" w:rsidRPr="00907988">
              <w:rPr>
                <w:rFonts w:ascii="Arial" w:hAnsi="Arial" w:cs="Arial"/>
                <w:sz w:val="20"/>
                <w:szCs w:val="20"/>
              </w:rPr>
              <w:t xml:space="preserve">Devedor </w:t>
            </w:r>
          </w:p>
        </w:tc>
        <w:tc>
          <w:tcPr>
            <w:tcW w:w="2303" w:type="dxa"/>
          </w:tcPr>
          <w:p w14:paraId="151D3088" w14:textId="77777777" w:rsidR="00A02C72" w:rsidRPr="00907988" w:rsidRDefault="008B49B5" w:rsidP="00DC7F6B">
            <w:pPr>
              <w:pStyle w:val="Padro"/>
              <w:spacing w:line="360" w:lineRule="auto"/>
              <w:rPr>
                <w:rFonts w:ascii="Arial" w:hAnsi="Arial" w:cs="Arial"/>
                <w:sz w:val="20"/>
                <w:szCs w:val="20"/>
              </w:rPr>
            </w:pPr>
            <w:r w:rsidRPr="00907988">
              <w:rPr>
                <w:rFonts w:ascii="Arial" w:hAnsi="Arial" w:cs="Arial"/>
                <w:sz w:val="20"/>
                <w:szCs w:val="20"/>
              </w:rPr>
              <w:t>2.716</w:t>
            </w:r>
          </w:p>
        </w:tc>
        <w:tc>
          <w:tcPr>
            <w:tcW w:w="2303" w:type="dxa"/>
          </w:tcPr>
          <w:p w14:paraId="1BDB9A77" w14:textId="77777777" w:rsidR="00A02C72" w:rsidRPr="00907988" w:rsidRDefault="008B49B5" w:rsidP="00DC7F6B">
            <w:pPr>
              <w:pStyle w:val="Padro"/>
              <w:spacing w:line="360" w:lineRule="auto"/>
              <w:rPr>
                <w:rFonts w:ascii="Arial" w:hAnsi="Arial" w:cs="Arial"/>
                <w:sz w:val="20"/>
                <w:szCs w:val="20"/>
              </w:rPr>
            </w:pPr>
            <w:r w:rsidRPr="00907988">
              <w:rPr>
                <w:rFonts w:ascii="Arial" w:hAnsi="Arial" w:cs="Arial"/>
                <w:sz w:val="20"/>
                <w:szCs w:val="20"/>
              </w:rPr>
              <w:t>49.671</w:t>
            </w:r>
            <w:r w:rsidR="00D73DA6" w:rsidRPr="00907988">
              <w:rPr>
                <w:rFonts w:ascii="Arial" w:hAnsi="Arial" w:cs="Arial"/>
                <w:sz w:val="20"/>
                <w:szCs w:val="20"/>
              </w:rPr>
              <w:t>.</w:t>
            </w:r>
            <w:r w:rsidRPr="00907988">
              <w:rPr>
                <w:rFonts w:ascii="Arial" w:hAnsi="Arial" w:cs="Arial"/>
                <w:sz w:val="20"/>
                <w:szCs w:val="20"/>
              </w:rPr>
              <w:t>253.549,59</w:t>
            </w:r>
          </w:p>
        </w:tc>
      </w:tr>
      <w:tr w:rsidR="00A02C72" w:rsidRPr="00907988" w14:paraId="58FCCECC" w14:textId="77777777" w:rsidTr="00A02C72">
        <w:tc>
          <w:tcPr>
            <w:tcW w:w="2302" w:type="dxa"/>
          </w:tcPr>
          <w:p w14:paraId="641FDCD4" w14:textId="77777777" w:rsidR="00A02C72" w:rsidRPr="00907988" w:rsidRDefault="00D73DA6" w:rsidP="00DC7F6B">
            <w:pPr>
              <w:pStyle w:val="Padro"/>
              <w:spacing w:line="360" w:lineRule="auto"/>
              <w:rPr>
                <w:rFonts w:ascii="Arial" w:hAnsi="Arial" w:cs="Arial"/>
                <w:sz w:val="20"/>
                <w:szCs w:val="20"/>
              </w:rPr>
            </w:pPr>
            <w:r w:rsidRPr="00907988">
              <w:rPr>
                <w:rFonts w:ascii="Arial" w:hAnsi="Arial" w:cs="Arial"/>
                <w:sz w:val="20"/>
                <w:szCs w:val="20"/>
              </w:rPr>
              <w:t>Pessoa Física</w:t>
            </w:r>
          </w:p>
        </w:tc>
        <w:tc>
          <w:tcPr>
            <w:tcW w:w="2303" w:type="dxa"/>
          </w:tcPr>
          <w:p w14:paraId="35679E69" w14:textId="77777777" w:rsidR="00A02C72" w:rsidRPr="00907988" w:rsidRDefault="00D73DA6" w:rsidP="00DC7F6B">
            <w:pPr>
              <w:pStyle w:val="Padro"/>
              <w:spacing w:line="360" w:lineRule="auto"/>
              <w:rPr>
                <w:rFonts w:ascii="Arial" w:hAnsi="Arial" w:cs="Arial"/>
                <w:sz w:val="20"/>
                <w:szCs w:val="20"/>
              </w:rPr>
            </w:pPr>
            <w:r w:rsidRPr="00907988">
              <w:rPr>
                <w:rFonts w:ascii="Arial" w:hAnsi="Arial" w:cs="Arial"/>
                <w:sz w:val="20"/>
                <w:szCs w:val="20"/>
              </w:rPr>
              <w:t>Não Grande Devedor</w:t>
            </w:r>
          </w:p>
        </w:tc>
        <w:tc>
          <w:tcPr>
            <w:tcW w:w="2303" w:type="dxa"/>
          </w:tcPr>
          <w:p w14:paraId="63350379" w14:textId="77777777" w:rsidR="00A02C72" w:rsidRPr="00907988" w:rsidRDefault="00632AAD" w:rsidP="00DC7F6B">
            <w:pPr>
              <w:pStyle w:val="Padro"/>
              <w:spacing w:line="360" w:lineRule="auto"/>
              <w:rPr>
                <w:rFonts w:ascii="Arial" w:hAnsi="Arial" w:cs="Arial"/>
                <w:sz w:val="20"/>
                <w:szCs w:val="20"/>
              </w:rPr>
            </w:pPr>
            <w:r w:rsidRPr="00907988">
              <w:rPr>
                <w:rFonts w:ascii="Arial" w:hAnsi="Arial" w:cs="Arial"/>
                <w:sz w:val="20"/>
                <w:szCs w:val="20"/>
              </w:rPr>
              <w:t>1.687.974</w:t>
            </w:r>
          </w:p>
        </w:tc>
        <w:tc>
          <w:tcPr>
            <w:tcW w:w="2303" w:type="dxa"/>
          </w:tcPr>
          <w:p w14:paraId="03D3374A" w14:textId="77777777" w:rsidR="00A02C72" w:rsidRPr="00907988" w:rsidRDefault="00632AAD" w:rsidP="00DC7F6B">
            <w:pPr>
              <w:pStyle w:val="Padro"/>
              <w:spacing w:line="360" w:lineRule="auto"/>
              <w:rPr>
                <w:rFonts w:ascii="Arial" w:hAnsi="Arial" w:cs="Arial"/>
                <w:sz w:val="20"/>
                <w:szCs w:val="20"/>
              </w:rPr>
            </w:pPr>
            <w:r w:rsidRPr="00907988">
              <w:rPr>
                <w:rFonts w:ascii="Arial" w:hAnsi="Arial" w:cs="Arial"/>
                <w:sz w:val="20"/>
                <w:szCs w:val="20"/>
              </w:rPr>
              <w:t>93.591.078.951,35</w:t>
            </w:r>
          </w:p>
        </w:tc>
      </w:tr>
      <w:tr w:rsidR="00A02C72" w:rsidRPr="00907988" w14:paraId="71719347" w14:textId="77777777" w:rsidTr="00A02C72">
        <w:tc>
          <w:tcPr>
            <w:tcW w:w="2302" w:type="dxa"/>
          </w:tcPr>
          <w:p w14:paraId="75965BCC" w14:textId="77777777" w:rsidR="00A02C72" w:rsidRPr="00907988" w:rsidRDefault="00A02C72" w:rsidP="00DC7F6B">
            <w:pPr>
              <w:pStyle w:val="Padro"/>
              <w:spacing w:line="360" w:lineRule="auto"/>
              <w:rPr>
                <w:rFonts w:ascii="Arial" w:hAnsi="Arial" w:cs="Arial"/>
                <w:b/>
                <w:sz w:val="20"/>
                <w:szCs w:val="20"/>
              </w:rPr>
            </w:pPr>
          </w:p>
        </w:tc>
        <w:tc>
          <w:tcPr>
            <w:tcW w:w="2303" w:type="dxa"/>
          </w:tcPr>
          <w:p w14:paraId="244C8C55" w14:textId="77777777" w:rsidR="00A02C72" w:rsidRPr="00907988" w:rsidRDefault="002139B6" w:rsidP="00DC7F6B">
            <w:pPr>
              <w:pStyle w:val="Padro"/>
              <w:spacing w:line="360" w:lineRule="auto"/>
              <w:rPr>
                <w:rFonts w:ascii="Arial" w:hAnsi="Arial" w:cs="Arial"/>
                <w:bCs/>
                <w:sz w:val="20"/>
                <w:szCs w:val="20"/>
              </w:rPr>
            </w:pPr>
            <w:r w:rsidRPr="00907988">
              <w:rPr>
                <w:rFonts w:ascii="Arial" w:hAnsi="Arial" w:cs="Arial"/>
                <w:bCs/>
                <w:sz w:val="20"/>
                <w:szCs w:val="20"/>
              </w:rPr>
              <w:t>Total</w:t>
            </w:r>
          </w:p>
        </w:tc>
        <w:tc>
          <w:tcPr>
            <w:tcW w:w="2303" w:type="dxa"/>
          </w:tcPr>
          <w:p w14:paraId="27B07006" w14:textId="77777777" w:rsidR="00A02C72" w:rsidRPr="00907988" w:rsidRDefault="002139B6" w:rsidP="00DC7F6B">
            <w:pPr>
              <w:pStyle w:val="Padro"/>
              <w:spacing w:line="360" w:lineRule="auto"/>
              <w:rPr>
                <w:rFonts w:ascii="Arial" w:hAnsi="Arial" w:cs="Arial"/>
                <w:bCs/>
                <w:sz w:val="20"/>
                <w:szCs w:val="20"/>
              </w:rPr>
            </w:pPr>
            <w:r w:rsidRPr="00907988">
              <w:rPr>
                <w:rFonts w:ascii="Arial" w:hAnsi="Arial" w:cs="Arial"/>
                <w:bCs/>
                <w:sz w:val="20"/>
                <w:szCs w:val="20"/>
              </w:rPr>
              <w:t>1.690.690</w:t>
            </w:r>
          </w:p>
        </w:tc>
        <w:tc>
          <w:tcPr>
            <w:tcW w:w="2303" w:type="dxa"/>
          </w:tcPr>
          <w:p w14:paraId="36C6532C" w14:textId="77777777" w:rsidR="00A02C72" w:rsidRPr="00907988" w:rsidRDefault="00632AAD" w:rsidP="00DC7F6B">
            <w:pPr>
              <w:pStyle w:val="Padro"/>
              <w:spacing w:line="360" w:lineRule="auto"/>
              <w:rPr>
                <w:rFonts w:ascii="Arial" w:hAnsi="Arial" w:cs="Arial"/>
                <w:bCs/>
                <w:sz w:val="20"/>
                <w:szCs w:val="20"/>
              </w:rPr>
            </w:pPr>
            <w:r w:rsidRPr="00907988">
              <w:rPr>
                <w:rFonts w:ascii="Arial" w:hAnsi="Arial" w:cs="Arial"/>
                <w:bCs/>
                <w:sz w:val="20"/>
                <w:szCs w:val="20"/>
              </w:rPr>
              <w:t>143.182.332.500,94</w:t>
            </w:r>
          </w:p>
        </w:tc>
      </w:tr>
    </w:tbl>
    <w:p w14:paraId="0E63164F" w14:textId="5E46990B" w:rsidR="005068C4" w:rsidRPr="00607F0B" w:rsidRDefault="00D850BC" w:rsidP="008A5025">
      <w:pPr>
        <w:pStyle w:val="Padro"/>
        <w:spacing w:after="0" w:line="360" w:lineRule="auto"/>
        <w:jc w:val="both"/>
        <w:rPr>
          <w:rFonts w:ascii="Arial" w:hAnsi="Arial" w:cs="Arial"/>
        </w:rPr>
      </w:pPr>
      <w:r w:rsidRPr="00607F0B">
        <w:rPr>
          <w:rFonts w:ascii="Arial" w:hAnsi="Arial" w:cs="Arial"/>
        </w:rPr>
        <w:t xml:space="preserve">Fonte: </w:t>
      </w:r>
      <w:r w:rsidR="002D3AE7" w:rsidRPr="00607F0B">
        <w:rPr>
          <w:rFonts w:ascii="Arial" w:hAnsi="Arial" w:cs="Arial"/>
        </w:rPr>
        <w:t>(PASSOS FILHO, 2019, p. 02)</w:t>
      </w:r>
    </w:p>
    <w:p w14:paraId="556A161C" w14:textId="77777777" w:rsidR="004727C7" w:rsidRPr="00907988" w:rsidRDefault="004727C7" w:rsidP="00977752">
      <w:pPr>
        <w:pStyle w:val="Padro"/>
        <w:spacing w:after="0" w:line="360" w:lineRule="auto"/>
        <w:ind w:firstLine="709"/>
        <w:jc w:val="both"/>
        <w:rPr>
          <w:rFonts w:ascii="Arial" w:hAnsi="Arial" w:cs="Arial"/>
          <w:sz w:val="24"/>
          <w:szCs w:val="24"/>
        </w:rPr>
      </w:pPr>
    </w:p>
    <w:p w14:paraId="09EBB5A3" w14:textId="77777777" w:rsidR="00212944" w:rsidRPr="00907988" w:rsidRDefault="00F5537D" w:rsidP="00977752">
      <w:pPr>
        <w:pStyle w:val="Padro"/>
        <w:spacing w:after="0" w:line="360" w:lineRule="auto"/>
        <w:ind w:firstLine="709"/>
        <w:jc w:val="both"/>
        <w:rPr>
          <w:rFonts w:ascii="Arial" w:hAnsi="Arial" w:cs="Arial"/>
          <w:sz w:val="24"/>
          <w:szCs w:val="24"/>
        </w:rPr>
      </w:pPr>
      <w:r w:rsidRPr="00907988">
        <w:rPr>
          <w:rFonts w:ascii="Arial" w:hAnsi="Arial" w:cs="Arial"/>
          <w:sz w:val="24"/>
          <w:szCs w:val="24"/>
        </w:rPr>
        <w:t>Conclui-se, considerando apenas as entidades empresariais ativas devedoras</w:t>
      </w:r>
      <w:r w:rsidR="009F2546" w:rsidRPr="00907988">
        <w:rPr>
          <w:rFonts w:ascii="Arial" w:hAnsi="Arial" w:cs="Arial"/>
          <w:sz w:val="24"/>
          <w:szCs w:val="24"/>
        </w:rPr>
        <w:t xml:space="preserve"> acima referenciadas</w:t>
      </w:r>
      <w:r w:rsidRPr="00907988">
        <w:rPr>
          <w:rFonts w:ascii="Arial" w:hAnsi="Arial" w:cs="Arial"/>
          <w:sz w:val="24"/>
          <w:szCs w:val="24"/>
        </w:rPr>
        <w:t>, 0,6% são responsáveis por 70% do total de débitos por elas titularizado</w:t>
      </w:r>
      <w:r w:rsidR="009F2546" w:rsidRPr="00907988">
        <w:rPr>
          <w:rFonts w:ascii="Arial" w:hAnsi="Arial" w:cs="Arial"/>
          <w:sz w:val="24"/>
          <w:szCs w:val="24"/>
        </w:rPr>
        <w:t>s</w:t>
      </w:r>
      <w:r w:rsidRPr="00907988">
        <w:rPr>
          <w:rFonts w:ascii="Arial" w:hAnsi="Arial" w:cs="Arial"/>
          <w:sz w:val="24"/>
          <w:szCs w:val="24"/>
        </w:rPr>
        <w:t>, evidenciando uma grande concentração da dívida nos</w:t>
      </w:r>
      <w:r w:rsidR="009F2546" w:rsidRPr="00907988">
        <w:rPr>
          <w:rFonts w:ascii="Arial" w:hAnsi="Arial" w:cs="Arial"/>
          <w:sz w:val="24"/>
          <w:szCs w:val="24"/>
        </w:rPr>
        <w:t xml:space="preserve"> classificados como grandes devedores - </w:t>
      </w:r>
      <w:r w:rsidRPr="00907988">
        <w:rPr>
          <w:rFonts w:ascii="Arial" w:hAnsi="Arial" w:cs="Arial"/>
          <w:sz w:val="24"/>
          <w:szCs w:val="24"/>
        </w:rPr>
        <w:t>pessoas com débitos acim</w:t>
      </w:r>
      <w:r w:rsidR="009F2546" w:rsidRPr="00907988">
        <w:rPr>
          <w:rFonts w:ascii="Arial" w:hAnsi="Arial" w:cs="Arial"/>
          <w:sz w:val="24"/>
          <w:szCs w:val="24"/>
        </w:rPr>
        <w:t>a de R$ 15 milhões junto à PGFN (PASSOS FILHO, 2019).</w:t>
      </w:r>
    </w:p>
    <w:p w14:paraId="32A3E0B8" w14:textId="21C9AA2C" w:rsidR="00F626E5" w:rsidRPr="00907988" w:rsidRDefault="00F91496" w:rsidP="00977752">
      <w:pPr>
        <w:pStyle w:val="Padro"/>
        <w:spacing w:after="0" w:line="360" w:lineRule="auto"/>
        <w:ind w:firstLine="709"/>
        <w:jc w:val="both"/>
        <w:rPr>
          <w:rFonts w:ascii="Arial" w:hAnsi="Arial" w:cs="Arial"/>
          <w:sz w:val="24"/>
          <w:szCs w:val="24"/>
        </w:rPr>
      </w:pPr>
      <w:r w:rsidRPr="00907988">
        <w:rPr>
          <w:rFonts w:ascii="Arial" w:hAnsi="Arial" w:cs="Arial"/>
          <w:sz w:val="24"/>
          <w:szCs w:val="24"/>
        </w:rPr>
        <w:t>Já quanto às pessoas físicas, apenas 5,5% que auferem renda ou movimentam valores relevantes para fins de tributação possuem débito inscrito em dívida da União</w:t>
      </w:r>
      <w:r w:rsidR="00F56065" w:rsidRPr="00907988">
        <w:rPr>
          <w:rFonts w:ascii="Arial" w:hAnsi="Arial" w:cs="Arial"/>
          <w:sz w:val="24"/>
          <w:szCs w:val="24"/>
        </w:rPr>
        <w:t>,</w:t>
      </w:r>
      <w:r w:rsidR="00FF17B9" w:rsidRPr="00907988">
        <w:rPr>
          <w:rFonts w:ascii="Arial" w:hAnsi="Arial" w:cs="Arial"/>
          <w:sz w:val="24"/>
          <w:szCs w:val="24"/>
        </w:rPr>
        <w:t xml:space="preserve"> e,</w:t>
      </w:r>
      <w:r w:rsidR="00F56065" w:rsidRPr="00907988">
        <w:rPr>
          <w:rFonts w:ascii="Arial" w:hAnsi="Arial" w:cs="Arial"/>
          <w:sz w:val="24"/>
          <w:szCs w:val="24"/>
        </w:rPr>
        <w:t xml:space="preserve"> </w:t>
      </w:r>
      <w:r w:rsidRPr="00907988">
        <w:rPr>
          <w:rFonts w:ascii="Arial" w:hAnsi="Arial" w:cs="Arial"/>
          <w:sz w:val="24"/>
          <w:szCs w:val="24"/>
        </w:rPr>
        <w:t>considerando apenas as pessoas físicas devedoras, 0,2%</w:t>
      </w:r>
      <w:r w:rsidR="009C638A" w:rsidRPr="00907988">
        <w:rPr>
          <w:rFonts w:ascii="Arial" w:hAnsi="Arial" w:cs="Arial"/>
          <w:sz w:val="24"/>
          <w:szCs w:val="24"/>
        </w:rPr>
        <w:t xml:space="preserve"> são responsáveis por 34,7% dos </w:t>
      </w:r>
      <w:r w:rsidRPr="00907988">
        <w:rPr>
          <w:rFonts w:ascii="Arial" w:hAnsi="Arial" w:cs="Arial"/>
          <w:sz w:val="24"/>
          <w:szCs w:val="24"/>
        </w:rPr>
        <w:t>débitos por elas titularizados, evidenciando uma grande conce</w:t>
      </w:r>
      <w:r w:rsidR="000020C6" w:rsidRPr="00907988">
        <w:rPr>
          <w:rFonts w:ascii="Arial" w:hAnsi="Arial" w:cs="Arial"/>
          <w:sz w:val="24"/>
          <w:szCs w:val="24"/>
        </w:rPr>
        <w:t xml:space="preserve">ntração da dívida nos chamados </w:t>
      </w:r>
      <w:r w:rsidRPr="00907988">
        <w:rPr>
          <w:rFonts w:ascii="Arial" w:hAnsi="Arial" w:cs="Arial"/>
          <w:sz w:val="24"/>
          <w:szCs w:val="24"/>
        </w:rPr>
        <w:t>grandes</w:t>
      </w:r>
      <w:r w:rsidR="000020C6" w:rsidRPr="00907988">
        <w:rPr>
          <w:rFonts w:ascii="Arial" w:hAnsi="Arial" w:cs="Arial"/>
          <w:sz w:val="24"/>
          <w:szCs w:val="24"/>
        </w:rPr>
        <w:t xml:space="preserve"> </w:t>
      </w:r>
      <w:r w:rsidR="00311695" w:rsidRPr="00907988">
        <w:rPr>
          <w:rFonts w:ascii="Arial" w:hAnsi="Arial" w:cs="Arial"/>
          <w:sz w:val="24"/>
          <w:szCs w:val="24"/>
        </w:rPr>
        <w:t>devedores</w:t>
      </w:r>
      <w:r w:rsidR="000020C6" w:rsidRPr="00907988">
        <w:rPr>
          <w:rFonts w:ascii="Arial" w:hAnsi="Arial" w:cs="Arial"/>
          <w:sz w:val="24"/>
          <w:szCs w:val="24"/>
        </w:rPr>
        <w:t xml:space="preserve">, </w:t>
      </w:r>
      <w:r w:rsidRPr="00907988">
        <w:rPr>
          <w:rFonts w:ascii="Arial" w:hAnsi="Arial" w:cs="Arial"/>
          <w:sz w:val="24"/>
          <w:szCs w:val="24"/>
        </w:rPr>
        <w:t>pessoas com débitos acim</w:t>
      </w:r>
      <w:r w:rsidR="009C638A" w:rsidRPr="00907988">
        <w:rPr>
          <w:rFonts w:ascii="Arial" w:hAnsi="Arial" w:cs="Arial"/>
          <w:sz w:val="24"/>
          <w:szCs w:val="24"/>
        </w:rPr>
        <w:t>a de R$ 15 milhões junto à PGFN (PASSOS FILHO, 2019).</w:t>
      </w:r>
      <w:r w:rsidR="00F626E5" w:rsidRPr="00907988">
        <w:rPr>
          <w:rFonts w:ascii="Arial" w:hAnsi="Arial" w:cs="Arial"/>
          <w:sz w:val="24"/>
          <w:szCs w:val="24"/>
        </w:rPr>
        <w:t xml:space="preserve"> </w:t>
      </w:r>
    </w:p>
    <w:p w14:paraId="53F0B6A7" w14:textId="0FB04FE6" w:rsidR="00F626E5" w:rsidRPr="00907988" w:rsidRDefault="005068C4" w:rsidP="00977752">
      <w:pPr>
        <w:pStyle w:val="Padro"/>
        <w:spacing w:after="0" w:line="360" w:lineRule="auto"/>
        <w:ind w:firstLine="709"/>
        <w:jc w:val="both"/>
        <w:rPr>
          <w:rFonts w:ascii="Arial" w:hAnsi="Arial" w:cs="Arial"/>
          <w:sz w:val="24"/>
          <w:szCs w:val="24"/>
        </w:rPr>
      </w:pPr>
      <w:r w:rsidRPr="00907988">
        <w:rPr>
          <w:rFonts w:ascii="Arial" w:hAnsi="Arial" w:cs="Arial"/>
          <w:sz w:val="24"/>
          <w:szCs w:val="24"/>
        </w:rPr>
        <w:t>Passos Filho (2018), s</w:t>
      </w:r>
      <w:r w:rsidR="00B578DC" w:rsidRPr="00907988">
        <w:rPr>
          <w:rFonts w:ascii="Arial" w:hAnsi="Arial" w:cs="Arial"/>
          <w:sz w:val="24"/>
          <w:szCs w:val="24"/>
        </w:rPr>
        <w:t>ugere</w:t>
      </w:r>
      <w:r w:rsidR="00F626E5" w:rsidRPr="00907988">
        <w:rPr>
          <w:rFonts w:ascii="Arial" w:hAnsi="Arial" w:cs="Arial"/>
          <w:sz w:val="24"/>
          <w:szCs w:val="24"/>
        </w:rPr>
        <w:t xml:space="preserve"> que a concessão de benefícios fiscais a pe</w:t>
      </w:r>
      <w:r w:rsidR="00B578DC" w:rsidRPr="00907988">
        <w:rPr>
          <w:rFonts w:ascii="Arial" w:hAnsi="Arial" w:cs="Arial"/>
          <w:sz w:val="24"/>
          <w:szCs w:val="24"/>
        </w:rPr>
        <w:t>ssoas jurídicas</w:t>
      </w:r>
      <w:r w:rsidRPr="00907988">
        <w:rPr>
          <w:rFonts w:ascii="Arial" w:hAnsi="Arial" w:cs="Arial"/>
          <w:sz w:val="24"/>
          <w:szCs w:val="24"/>
        </w:rPr>
        <w:t>, deve levar</w:t>
      </w:r>
      <w:r w:rsidR="00B578DC" w:rsidRPr="00907988">
        <w:rPr>
          <w:rFonts w:ascii="Arial" w:hAnsi="Arial" w:cs="Arial"/>
          <w:sz w:val="24"/>
          <w:szCs w:val="24"/>
        </w:rPr>
        <w:t xml:space="preserve"> em consideração</w:t>
      </w:r>
      <w:r w:rsidR="00F626E5" w:rsidRPr="00907988">
        <w:rPr>
          <w:rFonts w:ascii="Arial" w:hAnsi="Arial" w:cs="Arial"/>
          <w:sz w:val="24"/>
          <w:szCs w:val="24"/>
        </w:rPr>
        <w:t xml:space="preserve"> o impacto</w:t>
      </w:r>
      <w:r w:rsidR="00B578DC" w:rsidRPr="00907988">
        <w:rPr>
          <w:rFonts w:ascii="Arial" w:hAnsi="Arial" w:cs="Arial"/>
          <w:sz w:val="24"/>
          <w:szCs w:val="24"/>
        </w:rPr>
        <w:t xml:space="preserve"> no mercado sob a ótica concorrencial, tendo em vista</w:t>
      </w:r>
      <w:r w:rsidR="00F626E5" w:rsidRPr="00907988">
        <w:rPr>
          <w:rFonts w:ascii="Arial" w:hAnsi="Arial" w:cs="Arial"/>
          <w:sz w:val="24"/>
          <w:szCs w:val="24"/>
        </w:rPr>
        <w:t xml:space="preserve"> que pode gerar desequilíbrios indesejados – concorrência desleal – em relação às empresas que cumprem suas obrigações fis</w:t>
      </w:r>
      <w:r w:rsidR="002002BB" w:rsidRPr="00907988">
        <w:rPr>
          <w:rFonts w:ascii="Arial" w:hAnsi="Arial" w:cs="Arial"/>
          <w:sz w:val="24"/>
          <w:szCs w:val="24"/>
        </w:rPr>
        <w:t>cais regularmente</w:t>
      </w:r>
      <w:r w:rsidR="00F626E5" w:rsidRPr="00907988">
        <w:rPr>
          <w:rFonts w:ascii="Arial" w:hAnsi="Arial" w:cs="Arial"/>
          <w:sz w:val="24"/>
          <w:szCs w:val="24"/>
        </w:rPr>
        <w:t xml:space="preserve"> e, por conseguinte, possuem um custo operacional maior em relação às que deixam de quitar suas obrigações </w:t>
      </w:r>
      <w:r w:rsidR="002002BB" w:rsidRPr="00907988">
        <w:rPr>
          <w:rFonts w:ascii="Arial" w:hAnsi="Arial" w:cs="Arial"/>
          <w:sz w:val="24"/>
          <w:szCs w:val="24"/>
        </w:rPr>
        <w:t>fiscais junto à União</w:t>
      </w:r>
      <w:r w:rsidRPr="00907988">
        <w:rPr>
          <w:rFonts w:ascii="Arial" w:hAnsi="Arial" w:cs="Arial"/>
          <w:sz w:val="24"/>
          <w:szCs w:val="24"/>
        </w:rPr>
        <w:t xml:space="preserve">. </w:t>
      </w:r>
    </w:p>
    <w:p w14:paraId="0B7C49A4" w14:textId="77777777" w:rsidR="003A4D1C" w:rsidRPr="00907988" w:rsidRDefault="005068C4" w:rsidP="00977752">
      <w:pPr>
        <w:pStyle w:val="Padro"/>
        <w:spacing w:after="0" w:line="360" w:lineRule="auto"/>
        <w:ind w:firstLine="709"/>
        <w:jc w:val="both"/>
        <w:rPr>
          <w:rFonts w:ascii="Arial" w:hAnsi="Arial" w:cs="Arial"/>
          <w:sz w:val="24"/>
          <w:szCs w:val="24"/>
        </w:rPr>
      </w:pPr>
      <w:r w:rsidRPr="00907988">
        <w:rPr>
          <w:rFonts w:ascii="Arial" w:hAnsi="Arial" w:cs="Arial"/>
          <w:sz w:val="24"/>
          <w:szCs w:val="24"/>
        </w:rPr>
        <w:t>Um outro ponto a ser observado, é que</w:t>
      </w:r>
      <w:r w:rsidR="00A22D31" w:rsidRPr="00907988">
        <w:rPr>
          <w:rFonts w:ascii="Arial" w:hAnsi="Arial" w:cs="Arial"/>
          <w:sz w:val="24"/>
          <w:szCs w:val="24"/>
        </w:rPr>
        <w:t xml:space="preserve"> a</w:t>
      </w:r>
      <w:r w:rsidR="00F626E5" w:rsidRPr="00907988">
        <w:rPr>
          <w:rFonts w:ascii="Arial" w:hAnsi="Arial" w:cs="Arial"/>
          <w:sz w:val="24"/>
          <w:szCs w:val="24"/>
        </w:rPr>
        <w:t xml:space="preserve"> </w:t>
      </w:r>
      <w:r w:rsidR="00A22D31" w:rsidRPr="00907988">
        <w:rPr>
          <w:rFonts w:ascii="Arial" w:hAnsi="Arial" w:cs="Arial"/>
          <w:sz w:val="24"/>
          <w:szCs w:val="24"/>
        </w:rPr>
        <w:t xml:space="preserve">reiterada </w:t>
      </w:r>
      <w:r w:rsidR="00F626E5" w:rsidRPr="00907988">
        <w:rPr>
          <w:rFonts w:ascii="Arial" w:hAnsi="Arial" w:cs="Arial"/>
          <w:sz w:val="24"/>
          <w:szCs w:val="24"/>
        </w:rPr>
        <w:t>concessão de</w:t>
      </w:r>
      <w:r w:rsidR="00A22D31" w:rsidRPr="00907988">
        <w:rPr>
          <w:rFonts w:ascii="Arial" w:hAnsi="Arial" w:cs="Arial"/>
          <w:sz w:val="24"/>
          <w:szCs w:val="24"/>
        </w:rPr>
        <w:t xml:space="preserve"> benefícios fisc</w:t>
      </w:r>
      <w:r w:rsidRPr="00907988">
        <w:rPr>
          <w:rFonts w:ascii="Arial" w:hAnsi="Arial" w:cs="Arial"/>
          <w:sz w:val="24"/>
          <w:szCs w:val="24"/>
        </w:rPr>
        <w:t>ais,</w:t>
      </w:r>
      <w:r w:rsidR="00F626E5" w:rsidRPr="00907988">
        <w:rPr>
          <w:rFonts w:ascii="Arial" w:hAnsi="Arial" w:cs="Arial"/>
          <w:sz w:val="24"/>
          <w:szCs w:val="24"/>
        </w:rPr>
        <w:t xml:space="preserve"> incluindo o perdão de dívida e o parcelamento a longo prazo, pode vir a estimular os 92,2% de entidades empresariais ativas e 94,5% das pessoas físicas com perfil de interesse para a tributação a</w:t>
      </w:r>
      <w:r w:rsidR="00A22D31" w:rsidRPr="00907988">
        <w:rPr>
          <w:rFonts w:ascii="Arial" w:hAnsi="Arial" w:cs="Arial"/>
          <w:sz w:val="24"/>
          <w:szCs w:val="24"/>
        </w:rPr>
        <w:t xml:space="preserve"> possivelmente</w:t>
      </w:r>
      <w:r w:rsidR="00F626E5" w:rsidRPr="00907988">
        <w:rPr>
          <w:rFonts w:ascii="Arial" w:hAnsi="Arial" w:cs="Arial"/>
          <w:sz w:val="24"/>
          <w:szCs w:val="24"/>
        </w:rPr>
        <w:t xml:space="preserve"> inadimplirem suas obrigações </w:t>
      </w:r>
      <w:r w:rsidR="00F626E5" w:rsidRPr="00907988">
        <w:rPr>
          <w:rFonts w:ascii="Arial" w:hAnsi="Arial" w:cs="Arial"/>
          <w:sz w:val="24"/>
          <w:szCs w:val="24"/>
        </w:rPr>
        <w:lastRenderedPageBreak/>
        <w:t xml:space="preserve">fiscais correntes, à espera do próximo </w:t>
      </w:r>
      <w:r w:rsidR="00B578DC" w:rsidRPr="00907988">
        <w:rPr>
          <w:rFonts w:ascii="Arial" w:hAnsi="Arial" w:cs="Arial"/>
          <w:sz w:val="24"/>
          <w:szCs w:val="24"/>
        </w:rPr>
        <w:t>programa</w:t>
      </w:r>
      <w:r w:rsidR="00F626E5" w:rsidRPr="00907988">
        <w:rPr>
          <w:rFonts w:ascii="Arial" w:hAnsi="Arial" w:cs="Arial"/>
          <w:sz w:val="24"/>
          <w:szCs w:val="24"/>
        </w:rPr>
        <w:t xml:space="preserve"> de benefícios, desequilibrando o sistema arrecadatório </w:t>
      </w:r>
      <w:r w:rsidR="00B578DC" w:rsidRPr="00907988">
        <w:rPr>
          <w:rFonts w:ascii="Arial" w:hAnsi="Arial" w:cs="Arial"/>
          <w:sz w:val="24"/>
          <w:szCs w:val="24"/>
        </w:rPr>
        <w:t>nacional</w:t>
      </w:r>
      <w:r w:rsidRPr="00907988">
        <w:rPr>
          <w:rFonts w:ascii="Arial" w:hAnsi="Arial" w:cs="Arial"/>
          <w:sz w:val="24"/>
          <w:szCs w:val="24"/>
        </w:rPr>
        <w:t xml:space="preserve">. </w:t>
      </w:r>
    </w:p>
    <w:p w14:paraId="42EE7C16" w14:textId="36496DCA" w:rsidR="00751583" w:rsidRPr="00907988" w:rsidRDefault="007D6375" w:rsidP="00977752">
      <w:pPr>
        <w:pStyle w:val="Padro"/>
        <w:spacing w:after="0" w:line="360" w:lineRule="auto"/>
        <w:ind w:firstLine="709"/>
        <w:jc w:val="both"/>
        <w:rPr>
          <w:rFonts w:ascii="Arial" w:hAnsi="Arial" w:cs="Arial"/>
          <w:sz w:val="24"/>
          <w:szCs w:val="24"/>
        </w:rPr>
      </w:pPr>
      <w:r w:rsidRPr="00907988">
        <w:rPr>
          <w:rFonts w:ascii="Arial" w:hAnsi="Arial" w:cs="Arial"/>
          <w:sz w:val="24"/>
          <w:szCs w:val="24"/>
        </w:rPr>
        <w:t xml:space="preserve">De acordo com a </w:t>
      </w:r>
      <w:r w:rsidR="005068C4" w:rsidRPr="00907988">
        <w:rPr>
          <w:rFonts w:ascii="Arial" w:hAnsi="Arial" w:cs="Arial"/>
          <w:sz w:val="24"/>
          <w:szCs w:val="24"/>
        </w:rPr>
        <w:t>RFB</w:t>
      </w:r>
      <w:r w:rsidRPr="00907988">
        <w:rPr>
          <w:rFonts w:ascii="Arial" w:hAnsi="Arial" w:cs="Arial"/>
          <w:sz w:val="24"/>
          <w:szCs w:val="24"/>
        </w:rPr>
        <w:t xml:space="preserve"> (2017), a</w:t>
      </w:r>
      <w:r w:rsidR="00751583" w:rsidRPr="00907988">
        <w:rPr>
          <w:rFonts w:ascii="Arial" w:hAnsi="Arial" w:cs="Arial"/>
          <w:sz w:val="24"/>
          <w:szCs w:val="24"/>
        </w:rPr>
        <w:t xml:space="preserve"> instituição de modalidades especiais de parcelamento de débitos, por exemplo, com reduções generosas de multas, juros e também encargos legais cobrados quando da inscrição em Dívida Ativa da União, </w:t>
      </w:r>
      <w:r w:rsidR="00564D1A" w:rsidRPr="00907988">
        <w:rPr>
          <w:rFonts w:ascii="Arial" w:hAnsi="Arial" w:cs="Arial"/>
          <w:sz w:val="24"/>
          <w:szCs w:val="24"/>
        </w:rPr>
        <w:t>possibilita</w:t>
      </w:r>
      <w:r w:rsidR="00751583" w:rsidRPr="00907988">
        <w:rPr>
          <w:rFonts w:ascii="Arial" w:hAnsi="Arial" w:cs="Arial"/>
          <w:sz w:val="24"/>
          <w:szCs w:val="24"/>
        </w:rPr>
        <w:t xml:space="preserve"> </w:t>
      </w:r>
      <w:r w:rsidR="00564D1A" w:rsidRPr="00907988">
        <w:rPr>
          <w:rFonts w:ascii="Arial" w:hAnsi="Arial" w:cs="Arial"/>
          <w:sz w:val="24"/>
          <w:szCs w:val="24"/>
        </w:rPr>
        <w:t>hábitos</w:t>
      </w:r>
      <w:r w:rsidR="00751583" w:rsidRPr="00907988">
        <w:rPr>
          <w:rFonts w:ascii="Arial" w:hAnsi="Arial" w:cs="Arial"/>
          <w:sz w:val="24"/>
          <w:szCs w:val="24"/>
        </w:rPr>
        <w:t xml:space="preserve"> </w:t>
      </w:r>
      <w:r w:rsidR="00564D1A" w:rsidRPr="00907988">
        <w:rPr>
          <w:rFonts w:ascii="Arial" w:hAnsi="Arial" w:cs="Arial"/>
          <w:sz w:val="24"/>
          <w:szCs w:val="24"/>
        </w:rPr>
        <w:t>à</w:t>
      </w:r>
      <w:r w:rsidR="00751583" w:rsidRPr="00907988">
        <w:rPr>
          <w:rFonts w:ascii="Arial" w:hAnsi="Arial" w:cs="Arial"/>
          <w:sz w:val="24"/>
          <w:szCs w:val="24"/>
        </w:rPr>
        <w:t xml:space="preserve"> inadimplência</w:t>
      </w:r>
      <w:r w:rsidR="005068C4" w:rsidRPr="00907988">
        <w:rPr>
          <w:rFonts w:ascii="Arial" w:hAnsi="Arial" w:cs="Arial"/>
          <w:sz w:val="24"/>
          <w:szCs w:val="24"/>
        </w:rPr>
        <w:t>.</w:t>
      </w:r>
      <w:r w:rsidR="00564D1A" w:rsidRPr="00907988">
        <w:rPr>
          <w:rFonts w:ascii="Arial" w:hAnsi="Arial" w:cs="Arial"/>
          <w:sz w:val="24"/>
          <w:szCs w:val="24"/>
        </w:rPr>
        <w:t xml:space="preserve"> </w:t>
      </w:r>
    </w:p>
    <w:p w14:paraId="521B3786" w14:textId="77777777" w:rsidR="00A25AFF" w:rsidRPr="00907988" w:rsidRDefault="0025090F" w:rsidP="00977752">
      <w:pPr>
        <w:rPr>
          <w:rFonts w:ascii="Arial" w:hAnsi="Arial" w:cs="Arial"/>
          <w:szCs w:val="24"/>
        </w:rPr>
      </w:pPr>
      <w:r w:rsidRPr="00907988">
        <w:rPr>
          <w:rFonts w:ascii="Arial" w:hAnsi="Arial" w:cs="Arial"/>
          <w:szCs w:val="24"/>
        </w:rPr>
        <w:t>A</w:t>
      </w:r>
      <w:r w:rsidR="00A25AFF" w:rsidRPr="00907988">
        <w:rPr>
          <w:rFonts w:ascii="Arial" w:hAnsi="Arial" w:cs="Arial"/>
          <w:szCs w:val="24"/>
        </w:rPr>
        <w:t xml:space="preserve"> ideia de patrimônio está</w:t>
      </w:r>
      <w:r w:rsidRPr="00907988">
        <w:rPr>
          <w:rFonts w:ascii="Arial" w:hAnsi="Arial" w:cs="Arial"/>
          <w:szCs w:val="24"/>
        </w:rPr>
        <w:t xml:space="preserve"> lidada à</w:t>
      </w:r>
      <w:r w:rsidR="00A25AFF" w:rsidRPr="00907988">
        <w:rPr>
          <w:rFonts w:ascii="Arial" w:hAnsi="Arial" w:cs="Arial"/>
          <w:szCs w:val="24"/>
        </w:rPr>
        <w:t xml:space="preserve"> no</w:t>
      </w:r>
      <w:r w:rsidR="008D1ADD" w:rsidRPr="00907988">
        <w:rPr>
          <w:rFonts w:ascii="Arial" w:hAnsi="Arial" w:cs="Arial"/>
          <w:szCs w:val="24"/>
        </w:rPr>
        <w:t>ção de ga</w:t>
      </w:r>
      <w:r w:rsidR="00A25AFF" w:rsidRPr="00907988">
        <w:rPr>
          <w:rFonts w:ascii="Arial" w:hAnsi="Arial" w:cs="Arial"/>
          <w:szCs w:val="24"/>
        </w:rPr>
        <w:t>rantia. O patrimônio da pessoa responde por suas obrigações. É um</w:t>
      </w:r>
      <w:r w:rsidRPr="00907988">
        <w:rPr>
          <w:rFonts w:ascii="Arial" w:hAnsi="Arial" w:cs="Arial"/>
          <w:szCs w:val="24"/>
        </w:rPr>
        <w:t>a garantia geral</w:t>
      </w:r>
      <w:r w:rsidR="008D1ADD" w:rsidRPr="00907988">
        <w:rPr>
          <w:rFonts w:ascii="Arial" w:hAnsi="Arial" w:cs="Arial"/>
          <w:szCs w:val="24"/>
        </w:rPr>
        <w:t xml:space="preserve"> ou comum, efe</w:t>
      </w:r>
      <w:r w:rsidR="00A25AFF" w:rsidRPr="00907988">
        <w:rPr>
          <w:rFonts w:ascii="Arial" w:hAnsi="Arial" w:cs="Arial"/>
          <w:szCs w:val="24"/>
        </w:rPr>
        <w:t>tivada mediante m</w:t>
      </w:r>
      <w:r w:rsidR="008D1ADD" w:rsidRPr="00907988">
        <w:rPr>
          <w:rFonts w:ascii="Arial" w:hAnsi="Arial" w:cs="Arial"/>
          <w:szCs w:val="24"/>
        </w:rPr>
        <w:t>eios técnicos previstos nas nor</w:t>
      </w:r>
      <w:r w:rsidR="00A25AFF" w:rsidRPr="00907988">
        <w:rPr>
          <w:rFonts w:ascii="Arial" w:hAnsi="Arial" w:cs="Arial"/>
          <w:szCs w:val="24"/>
        </w:rPr>
        <w:t xml:space="preserve">mas processuais, como arresto, </w:t>
      </w:r>
      <w:r w:rsidR="008D1ADD" w:rsidRPr="00907988">
        <w:rPr>
          <w:rFonts w:ascii="Arial" w:hAnsi="Arial" w:cs="Arial"/>
          <w:szCs w:val="24"/>
        </w:rPr>
        <w:t>penhora,</w:t>
      </w:r>
      <w:r w:rsidR="00A25AFF" w:rsidRPr="00907988">
        <w:rPr>
          <w:rFonts w:ascii="Arial" w:hAnsi="Arial" w:cs="Arial"/>
          <w:szCs w:val="24"/>
        </w:rPr>
        <w:t xml:space="preserve"> sequestro e arrecadação.</w:t>
      </w:r>
      <w:r w:rsidR="00762056" w:rsidRPr="00907988">
        <w:rPr>
          <w:rFonts w:ascii="Arial" w:hAnsi="Arial" w:cs="Arial"/>
          <w:szCs w:val="24"/>
        </w:rPr>
        <w:t xml:space="preserve"> Com o preço obtido com a excus</w:t>
      </w:r>
      <w:r w:rsidR="00A25AFF" w:rsidRPr="00907988">
        <w:rPr>
          <w:rFonts w:ascii="Arial" w:hAnsi="Arial" w:cs="Arial"/>
          <w:szCs w:val="24"/>
        </w:rPr>
        <w:t>são dos bens do d</w:t>
      </w:r>
      <w:r w:rsidR="00762056" w:rsidRPr="00907988">
        <w:rPr>
          <w:rFonts w:ascii="Arial" w:hAnsi="Arial" w:cs="Arial"/>
          <w:szCs w:val="24"/>
        </w:rPr>
        <w:t>evedor, em hasta pública, o cre</w:t>
      </w:r>
      <w:r w:rsidR="00A25AFF" w:rsidRPr="00907988">
        <w:rPr>
          <w:rFonts w:ascii="Arial" w:hAnsi="Arial" w:cs="Arial"/>
          <w:szCs w:val="24"/>
        </w:rPr>
        <w:t>dor satisfaz seu crédito</w:t>
      </w:r>
      <w:r w:rsidRPr="00907988">
        <w:rPr>
          <w:rFonts w:ascii="Arial" w:hAnsi="Arial" w:cs="Arial"/>
          <w:szCs w:val="24"/>
        </w:rPr>
        <w:t xml:space="preserve"> (GODOY at al., 2019)</w:t>
      </w:r>
      <w:r w:rsidR="00A25AFF" w:rsidRPr="00907988">
        <w:rPr>
          <w:rFonts w:ascii="Arial" w:hAnsi="Arial" w:cs="Arial"/>
          <w:szCs w:val="24"/>
        </w:rPr>
        <w:t xml:space="preserve">. </w:t>
      </w:r>
    </w:p>
    <w:p w14:paraId="792E0038" w14:textId="27DC3019" w:rsidR="002734AA" w:rsidRPr="00907988" w:rsidRDefault="002734AA" w:rsidP="00977752">
      <w:pPr>
        <w:rPr>
          <w:rFonts w:ascii="Arial" w:hAnsi="Arial" w:cs="Arial"/>
          <w:szCs w:val="24"/>
        </w:rPr>
      </w:pPr>
      <w:r w:rsidRPr="00907988">
        <w:rPr>
          <w:rFonts w:ascii="Arial" w:hAnsi="Arial" w:cs="Arial"/>
          <w:szCs w:val="24"/>
        </w:rPr>
        <w:t>Com exceção</w:t>
      </w:r>
      <w:r w:rsidR="00751583" w:rsidRPr="00907988">
        <w:rPr>
          <w:rFonts w:ascii="Arial" w:hAnsi="Arial" w:cs="Arial"/>
          <w:szCs w:val="24"/>
        </w:rPr>
        <w:t xml:space="preserve"> </w:t>
      </w:r>
      <w:r w:rsidR="002F5AFA" w:rsidRPr="00907988">
        <w:rPr>
          <w:rFonts w:ascii="Arial" w:hAnsi="Arial" w:cs="Arial"/>
          <w:szCs w:val="24"/>
        </w:rPr>
        <w:t>no</w:t>
      </w:r>
      <w:r w:rsidR="00751583" w:rsidRPr="00907988">
        <w:rPr>
          <w:rFonts w:ascii="Arial" w:hAnsi="Arial" w:cs="Arial"/>
          <w:szCs w:val="24"/>
        </w:rPr>
        <w:t xml:space="preserve"> parcelamento simplificado</w:t>
      </w:r>
      <w:r w:rsidR="00913573" w:rsidRPr="00907988">
        <w:rPr>
          <w:rFonts w:ascii="Arial" w:hAnsi="Arial" w:cs="Arial"/>
          <w:szCs w:val="24"/>
        </w:rPr>
        <w:t xml:space="preserve"> – </w:t>
      </w:r>
      <w:r w:rsidR="002F5AFA" w:rsidRPr="00907988">
        <w:rPr>
          <w:rFonts w:ascii="Arial" w:hAnsi="Arial" w:cs="Arial"/>
          <w:szCs w:val="24"/>
        </w:rPr>
        <w:t>Lei Nº</w:t>
      </w:r>
      <w:r w:rsidR="00913573" w:rsidRPr="00907988">
        <w:rPr>
          <w:rFonts w:ascii="Arial" w:hAnsi="Arial" w:cs="Arial"/>
          <w:szCs w:val="24"/>
        </w:rPr>
        <w:t xml:space="preserve"> 10.522, De 19 de Julho de 2002</w:t>
      </w:r>
      <w:r w:rsidR="00751583" w:rsidRPr="00907988">
        <w:rPr>
          <w:rFonts w:ascii="Arial" w:hAnsi="Arial" w:cs="Arial"/>
          <w:szCs w:val="24"/>
        </w:rPr>
        <w:t>,</w:t>
      </w:r>
      <w:r w:rsidR="002F5AFA" w:rsidRPr="00907988">
        <w:rPr>
          <w:rFonts w:ascii="Arial" w:hAnsi="Arial" w:cs="Arial"/>
          <w:szCs w:val="24"/>
        </w:rPr>
        <w:t xml:space="preserve"> com </w:t>
      </w:r>
      <w:r w:rsidRPr="00907988">
        <w:rPr>
          <w:rFonts w:ascii="Arial" w:hAnsi="Arial" w:cs="Arial"/>
          <w:szCs w:val="24"/>
        </w:rPr>
        <w:t>a</w:t>
      </w:r>
      <w:r w:rsidR="002F5AFA" w:rsidRPr="00907988">
        <w:rPr>
          <w:rFonts w:ascii="Arial" w:hAnsi="Arial" w:cs="Arial"/>
          <w:szCs w:val="24"/>
        </w:rPr>
        <w:t>dvento da</w:t>
      </w:r>
      <w:r w:rsidRPr="00907988">
        <w:rPr>
          <w:rFonts w:ascii="Arial" w:hAnsi="Arial" w:cs="Arial"/>
          <w:szCs w:val="24"/>
        </w:rPr>
        <w:t xml:space="preserve"> PORTARIA PGFN Nº 448 DE 13 DE MAIO DE 2019, </w:t>
      </w:r>
      <w:r w:rsidR="00A73722" w:rsidRPr="00907988">
        <w:rPr>
          <w:rFonts w:ascii="Arial" w:hAnsi="Arial" w:cs="Arial"/>
          <w:szCs w:val="24"/>
        </w:rPr>
        <w:t xml:space="preserve">apenas nessa modalidade de parcelamento </w:t>
      </w:r>
      <w:r w:rsidR="002F5AFA" w:rsidRPr="00907988">
        <w:rPr>
          <w:rFonts w:ascii="Arial" w:hAnsi="Arial" w:cs="Arial"/>
          <w:szCs w:val="24"/>
        </w:rPr>
        <w:t>existe</w:t>
      </w:r>
      <w:r w:rsidR="00A73722" w:rsidRPr="00907988">
        <w:rPr>
          <w:rFonts w:ascii="Arial" w:hAnsi="Arial" w:cs="Arial"/>
          <w:szCs w:val="24"/>
        </w:rPr>
        <w:t xml:space="preserve"> o</w:t>
      </w:r>
      <w:r w:rsidR="002F5AFA" w:rsidRPr="00907988">
        <w:rPr>
          <w:rFonts w:ascii="Arial" w:hAnsi="Arial" w:cs="Arial"/>
          <w:szCs w:val="24"/>
        </w:rPr>
        <w:t xml:space="preserve"> emprego de garantias</w:t>
      </w:r>
      <w:r w:rsidR="005E1EFF" w:rsidRPr="00907988">
        <w:rPr>
          <w:rFonts w:ascii="Arial" w:hAnsi="Arial" w:cs="Arial"/>
          <w:szCs w:val="24"/>
        </w:rPr>
        <w:t xml:space="preserve"> a partir de</w:t>
      </w:r>
      <w:r w:rsidRPr="00907988">
        <w:rPr>
          <w:rFonts w:ascii="Arial" w:hAnsi="Arial" w:cs="Arial"/>
          <w:szCs w:val="24"/>
        </w:rPr>
        <w:t xml:space="preserve"> débitos acima de um milhão de reais, previdenciários ou não </w:t>
      </w:r>
      <w:r w:rsidR="00A73722" w:rsidRPr="00907988">
        <w:rPr>
          <w:rFonts w:ascii="Arial" w:hAnsi="Arial" w:cs="Arial"/>
          <w:szCs w:val="24"/>
        </w:rPr>
        <w:t>previdenciários, não existindo medida</w:t>
      </w:r>
      <w:r w:rsidR="005E1EFF" w:rsidRPr="00907988">
        <w:rPr>
          <w:rFonts w:ascii="Arial" w:hAnsi="Arial" w:cs="Arial"/>
          <w:szCs w:val="24"/>
        </w:rPr>
        <w:t xml:space="preserve"> semelhante</w:t>
      </w:r>
      <w:r w:rsidR="00EB0F16" w:rsidRPr="00907988">
        <w:rPr>
          <w:rFonts w:ascii="Arial" w:hAnsi="Arial" w:cs="Arial"/>
          <w:szCs w:val="24"/>
        </w:rPr>
        <w:t xml:space="preserve"> nos demais programas de parcelamento</w:t>
      </w:r>
      <w:r w:rsidR="00A73722" w:rsidRPr="00907988">
        <w:rPr>
          <w:rFonts w:ascii="Arial" w:hAnsi="Arial" w:cs="Arial"/>
          <w:szCs w:val="24"/>
        </w:rPr>
        <w:t xml:space="preserve"> no Brasil</w:t>
      </w:r>
      <w:r w:rsidR="005E1EFF" w:rsidRPr="00907988">
        <w:rPr>
          <w:rFonts w:ascii="Arial" w:hAnsi="Arial" w:cs="Arial"/>
          <w:szCs w:val="24"/>
        </w:rPr>
        <w:t>.</w:t>
      </w:r>
    </w:p>
    <w:p w14:paraId="452DE63B" w14:textId="2C07DD48" w:rsidR="00157FC1" w:rsidRPr="00907988" w:rsidRDefault="00157FC1" w:rsidP="00977752">
      <w:pPr>
        <w:rPr>
          <w:rFonts w:ascii="Arial" w:hAnsi="Arial" w:cs="Arial"/>
          <w:szCs w:val="24"/>
        </w:rPr>
      </w:pPr>
      <w:r w:rsidRPr="00907988">
        <w:rPr>
          <w:rFonts w:ascii="Arial" w:hAnsi="Arial" w:cs="Arial"/>
          <w:szCs w:val="24"/>
        </w:rPr>
        <w:t>Demonstra preocupação com a recuperabilidade d</w:t>
      </w:r>
      <w:r w:rsidR="008E2A7D" w:rsidRPr="00907988">
        <w:rPr>
          <w:rFonts w:ascii="Arial" w:hAnsi="Arial" w:cs="Arial"/>
          <w:szCs w:val="24"/>
        </w:rPr>
        <w:t>os</w:t>
      </w:r>
      <w:r w:rsidRPr="00907988">
        <w:rPr>
          <w:rFonts w:ascii="Arial" w:hAnsi="Arial" w:cs="Arial"/>
          <w:szCs w:val="24"/>
        </w:rPr>
        <w:t xml:space="preserve"> créditos</w:t>
      </w:r>
      <w:r w:rsidR="008E2A7D" w:rsidRPr="00907988">
        <w:rPr>
          <w:rFonts w:ascii="Arial" w:hAnsi="Arial" w:cs="Arial"/>
          <w:szCs w:val="24"/>
        </w:rPr>
        <w:t xml:space="preserve"> frente aos valores</w:t>
      </w:r>
      <w:r w:rsidRPr="00907988">
        <w:rPr>
          <w:rFonts w:ascii="Arial" w:hAnsi="Arial" w:cs="Arial"/>
          <w:szCs w:val="24"/>
        </w:rPr>
        <w:t xml:space="preserve"> qu</w:t>
      </w:r>
      <w:r w:rsidR="008E2A7D" w:rsidRPr="00907988">
        <w:rPr>
          <w:rFonts w:ascii="Arial" w:hAnsi="Arial" w:cs="Arial"/>
          <w:szCs w:val="24"/>
        </w:rPr>
        <w:t xml:space="preserve">e os </w:t>
      </w:r>
      <w:r w:rsidRPr="00907988">
        <w:rPr>
          <w:rFonts w:ascii="Arial" w:hAnsi="Arial" w:cs="Arial"/>
          <w:szCs w:val="24"/>
        </w:rPr>
        <w:t>grandes d</w:t>
      </w:r>
      <w:r w:rsidR="008E2A7D" w:rsidRPr="00907988">
        <w:rPr>
          <w:rFonts w:ascii="Arial" w:hAnsi="Arial" w:cs="Arial"/>
          <w:szCs w:val="24"/>
        </w:rPr>
        <w:t>evedores com capacidade de pagamento</w:t>
      </w:r>
      <w:r w:rsidRPr="00907988">
        <w:rPr>
          <w:rFonts w:ascii="Arial" w:hAnsi="Arial" w:cs="Arial"/>
          <w:szCs w:val="24"/>
        </w:rPr>
        <w:t xml:space="preserve"> auferem ou </w:t>
      </w:r>
      <w:r w:rsidR="001547DB" w:rsidRPr="00907988">
        <w:rPr>
          <w:rFonts w:ascii="Arial" w:hAnsi="Arial" w:cs="Arial"/>
          <w:szCs w:val="24"/>
        </w:rPr>
        <w:t>movimentam relevantemente</w:t>
      </w:r>
      <w:r w:rsidRPr="00907988">
        <w:rPr>
          <w:rFonts w:ascii="Arial" w:hAnsi="Arial" w:cs="Arial"/>
          <w:szCs w:val="24"/>
        </w:rPr>
        <w:t xml:space="preserve"> para fins de tributação. Ao menos, o contribuinte estando condicionado ao oferecimento de garantias, a possiblidade da satisfação da dívida estará assegurada, quer seja pelo pagamento das parcelas propriamente ditas ou na sua rescisão, pela garantia registrada e oferecida.</w:t>
      </w:r>
    </w:p>
    <w:p w14:paraId="74CB5DCD" w14:textId="5FFF2237" w:rsidR="00751583" w:rsidRPr="00907988" w:rsidRDefault="00751583" w:rsidP="00977752">
      <w:pPr>
        <w:rPr>
          <w:rFonts w:ascii="Arial" w:hAnsi="Arial" w:cs="Arial"/>
          <w:szCs w:val="24"/>
        </w:rPr>
      </w:pPr>
      <w:r w:rsidRPr="00907988">
        <w:rPr>
          <w:rFonts w:ascii="Arial" w:hAnsi="Arial" w:cs="Arial"/>
          <w:szCs w:val="24"/>
        </w:rPr>
        <w:t xml:space="preserve">No ano de 2014, a OECD, fez um estudo que mostra as formas de realização e adesão aos parcelamentos em outros países. Alguns países, como, Bélgica, Bulgária, Nova Zelândia, Polônia, Cingapura, Eslováquia, Reino Unido e Estados Unidos não possuem prazos para </w:t>
      </w:r>
      <w:r w:rsidR="00982122" w:rsidRPr="00907988">
        <w:rPr>
          <w:rFonts w:ascii="Arial" w:hAnsi="Arial" w:cs="Arial"/>
          <w:szCs w:val="24"/>
        </w:rPr>
        <w:t>parcelar débitos (</w:t>
      </w:r>
      <w:r w:rsidR="003A4D1C" w:rsidRPr="00907988">
        <w:rPr>
          <w:rFonts w:ascii="Arial" w:hAnsi="Arial" w:cs="Arial"/>
          <w:szCs w:val="24"/>
        </w:rPr>
        <w:t>RFB</w:t>
      </w:r>
      <w:r w:rsidR="00982122" w:rsidRPr="00907988">
        <w:rPr>
          <w:rFonts w:ascii="Arial" w:hAnsi="Arial" w:cs="Arial"/>
          <w:szCs w:val="24"/>
        </w:rPr>
        <w:t>, 2017</w:t>
      </w:r>
      <w:r w:rsidRPr="00907988">
        <w:rPr>
          <w:rFonts w:ascii="Arial" w:hAnsi="Arial" w:cs="Arial"/>
          <w:szCs w:val="24"/>
        </w:rPr>
        <w:t>).</w:t>
      </w:r>
    </w:p>
    <w:p w14:paraId="38DA6C3F" w14:textId="4C48C3B3" w:rsidR="00751583" w:rsidRPr="00907988" w:rsidRDefault="00751583" w:rsidP="00977752">
      <w:pPr>
        <w:rPr>
          <w:rFonts w:ascii="Arial" w:hAnsi="Arial" w:cs="Arial"/>
          <w:szCs w:val="24"/>
        </w:rPr>
      </w:pPr>
      <w:r w:rsidRPr="00907988">
        <w:rPr>
          <w:rFonts w:ascii="Arial" w:hAnsi="Arial" w:cs="Arial"/>
          <w:szCs w:val="24"/>
        </w:rPr>
        <w:t xml:space="preserve">Por sua vez, Azerbaijão, Bélgica, Bulgária, Estônia, Finlândia, França, Itália, Cazaquistão, Coréia, Holanda, Nova Zelândia, Polônia, Portugal, Romênia, Federação Russa, Cingapura, Eslovênia, Eslováquia, Bósnia e Herzegovina e Espanha, </w:t>
      </w:r>
      <w:r w:rsidRPr="00907988">
        <w:rPr>
          <w:rFonts w:ascii="Arial" w:hAnsi="Arial" w:cs="Arial"/>
          <w:bCs/>
          <w:szCs w:val="24"/>
        </w:rPr>
        <w:t>exigem garantia para parcelar e dispõem prazos não tão longos</w:t>
      </w:r>
      <w:r w:rsidRPr="00907988">
        <w:rPr>
          <w:rFonts w:ascii="Arial" w:hAnsi="Arial" w:cs="Arial"/>
          <w:szCs w:val="24"/>
        </w:rPr>
        <w:t xml:space="preserve"> quanto os prazos brasileiros (</w:t>
      </w:r>
      <w:r w:rsidR="003A4D1C" w:rsidRPr="00907988">
        <w:rPr>
          <w:rFonts w:ascii="Arial" w:hAnsi="Arial" w:cs="Arial"/>
          <w:szCs w:val="24"/>
        </w:rPr>
        <w:t>RFB</w:t>
      </w:r>
      <w:r w:rsidRPr="00907988">
        <w:rPr>
          <w:rFonts w:ascii="Arial" w:hAnsi="Arial" w:cs="Arial"/>
          <w:szCs w:val="24"/>
        </w:rPr>
        <w:t>, 2017).</w:t>
      </w:r>
    </w:p>
    <w:p w14:paraId="02A9B617" w14:textId="1E780623" w:rsidR="001547DB" w:rsidRDefault="00751583" w:rsidP="00907988">
      <w:pPr>
        <w:rPr>
          <w:rFonts w:ascii="Arial" w:hAnsi="Arial" w:cs="Arial"/>
          <w:szCs w:val="24"/>
        </w:rPr>
      </w:pPr>
      <w:r w:rsidRPr="00907988">
        <w:rPr>
          <w:rFonts w:ascii="Arial" w:hAnsi="Arial" w:cs="Arial"/>
          <w:szCs w:val="24"/>
        </w:rPr>
        <w:t xml:space="preserve">A teoria dos jogos, no âmbito dos parcelamentos, nos </w:t>
      </w:r>
      <w:r w:rsidR="005068C4" w:rsidRPr="00907988">
        <w:rPr>
          <w:rFonts w:ascii="Arial" w:hAnsi="Arial" w:cs="Arial"/>
          <w:szCs w:val="24"/>
        </w:rPr>
        <w:t>possibilita observar</w:t>
      </w:r>
      <w:r w:rsidRPr="00907988">
        <w:rPr>
          <w:rFonts w:ascii="Arial" w:hAnsi="Arial" w:cs="Arial"/>
          <w:szCs w:val="24"/>
        </w:rPr>
        <w:t xml:space="preserve"> que o contribuinte buscará a forma menos custosa</w:t>
      </w:r>
      <w:r w:rsidR="00365567" w:rsidRPr="00907988">
        <w:rPr>
          <w:rFonts w:ascii="Arial" w:hAnsi="Arial" w:cs="Arial"/>
          <w:szCs w:val="24"/>
        </w:rPr>
        <w:t xml:space="preserve"> </w:t>
      </w:r>
      <w:r w:rsidRPr="00907988">
        <w:rPr>
          <w:rFonts w:ascii="Arial" w:hAnsi="Arial" w:cs="Arial"/>
          <w:szCs w:val="24"/>
        </w:rPr>
        <w:t xml:space="preserve">para parcelar suas dívidas milionárias, pagando menos que os juros incidentes por mês e ainda atestando uma regularidade </w:t>
      </w:r>
      <w:r w:rsidRPr="00907988">
        <w:rPr>
          <w:rFonts w:ascii="Arial" w:hAnsi="Arial" w:cs="Arial"/>
          <w:szCs w:val="24"/>
        </w:rPr>
        <w:lastRenderedPageBreak/>
        <w:t>fiscal. Na tabela</w:t>
      </w:r>
      <w:r w:rsidR="00C611DE" w:rsidRPr="00907988">
        <w:rPr>
          <w:rFonts w:ascii="Arial" w:hAnsi="Arial" w:cs="Arial"/>
          <w:szCs w:val="24"/>
        </w:rPr>
        <w:t xml:space="preserve"> abaixo conseguimos verificar algumas</w:t>
      </w:r>
      <w:r w:rsidR="00A4512B" w:rsidRPr="00907988">
        <w:rPr>
          <w:rFonts w:ascii="Arial" w:hAnsi="Arial" w:cs="Arial"/>
          <w:szCs w:val="24"/>
        </w:rPr>
        <w:t xml:space="preserve"> possíveis</w:t>
      </w:r>
      <w:r w:rsidRPr="00907988">
        <w:rPr>
          <w:rFonts w:ascii="Arial" w:hAnsi="Arial" w:cs="Arial"/>
          <w:szCs w:val="24"/>
        </w:rPr>
        <w:t xml:space="preserve"> vantagens</w:t>
      </w:r>
      <w:r w:rsidR="00C611DE" w:rsidRPr="00907988">
        <w:rPr>
          <w:rFonts w:ascii="Arial" w:hAnsi="Arial" w:cs="Arial"/>
          <w:szCs w:val="24"/>
        </w:rPr>
        <w:t xml:space="preserve"> no âmbito dos parcelamentos</w:t>
      </w:r>
      <w:r w:rsidRPr="00907988">
        <w:rPr>
          <w:rFonts w:ascii="Arial" w:hAnsi="Arial" w:cs="Arial"/>
          <w:szCs w:val="24"/>
        </w:rPr>
        <w:t>, vejamos:</w:t>
      </w:r>
    </w:p>
    <w:p w14:paraId="7D903877" w14:textId="77777777" w:rsidR="00907988" w:rsidRPr="00907988" w:rsidRDefault="00907988" w:rsidP="00907988">
      <w:pPr>
        <w:rPr>
          <w:rFonts w:ascii="Arial" w:hAnsi="Arial" w:cs="Arial"/>
          <w:szCs w:val="24"/>
        </w:rPr>
      </w:pPr>
    </w:p>
    <w:p w14:paraId="02962F03" w14:textId="569648DA" w:rsidR="001547DB" w:rsidRPr="00607F0B" w:rsidRDefault="00030135" w:rsidP="001547DB">
      <w:pPr>
        <w:rPr>
          <w:rFonts w:ascii="Arial" w:hAnsi="Arial" w:cs="Arial"/>
          <w:sz w:val="22"/>
        </w:rPr>
      </w:pPr>
      <w:r w:rsidRPr="00907988">
        <w:rPr>
          <w:rFonts w:ascii="Arial" w:hAnsi="Arial" w:cs="Arial"/>
          <w:szCs w:val="24"/>
        </w:rPr>
        <w:t xml:space="preserve"> </w:t>
      </w:r>
      <w:r w:rsidR="007E35F7" w:rsidRPr="00607F0B">
        <w:rPr>
          <w:rFonts w:ascii="Arial" w:hAnsi="Arial" w:cs="Arial"/>
          <w:sz w:val="22"/>
        </w:rPr>
        <w:t>Quadro</w:t>
      </w:r>
      <w:r w:rsidR="000C0776" w:rsidRPr="00607F0B">
        <w:rPr>
          <w:rFonts w:ascii="Arial" w:hAnsi="Arial" w:cs="Arial"/>
          <w:sz w:val="22"/>
        </w:rPr>
        <w:t xml:space="preserve"> 3 – Taxas de juros dos principais bancos do Brasil x Taxa de juros TJLP</w:t>
      </w:r>
    </w:p>
    <w:tbl>
      <w:tblPr>
        <w:tblStyle w:val="Tabelacomgrade"/>
        <w:tblW w:w="0" w:type="auto"/>
        <w:tblInd w:w="809" w:type="dxa"/>
        <w:tblLook w:val="04A0" w:firstRow="1" w:lastRow="0" w:firstColumn="1" w:lastColumn="0" w:noHBand="0" w:noVBand="1"/>
      </w:tblPr>
      <w:tblGrid>
        <w:gridCol w:w="1147"/>
        <w:gridCol w:w="2765"/>
        <w:gridCol w:w="3922"/>
      </w:tblGrid>
      <w:tr w:rsidR="00751583" w:rsidRPr="00907988" w14:paraId="449ED8DF" w14:textId="77777777" w:rsidTr="003C7168">
        <w:trPr>
          <w:trHeight w:val="166"/>
        </w:trPr>
        <w:tc>
          <w:tcPr>
            <w:tcW w:w="976" w:type="dxa"/>
          </w:tcPr>
          <w:p w14:paraId="645CBBE0" w14:textId="77777777" w:rsidR="00751583" w:rsidRPr="00907988" w:rsidRDefault="00751583" w:rsidP="00607F0B">
            <w:pPr>
              <w:ind w:firstLine="0"/>
              <w:rPr>
                <w:rFonts w:ascii="Arial" w:hAnsi="Arial" w:cs="Arial"/>
                <w:b/>
              </w:rPr>
            </w:pPr>
            <w:r w:rsidRPr="00907988">
              <w:rPr>
                <w:rFonts w:ascii="Arial" w:hAnsi="Arial" w:cs="Arial"/>
                <w:b/>
              </w:rPr>
              <w:t>Posição</w:t>
            </w:r>
          </w:p>
        </w:tc>
        <w:tc>
          <w:tcPr>
            <w:tcW w:w="2765" w:type="dxa"/>
          </w:tcPr>
          <w:p w14:paraId="54A07C9B" w14:textId="77777777" w:rsidR="00751583" w:rsidRPr="00907988" w:rsidRDefault="00751583" w:rsidP="00607F0B">
            <w:pPr>
              <w:ind w:firstLine="0"/>
              <w:rPr>
                <w:rFonts w:ascii="Arial" w:hAnsi="Arial" w:cs="Arial"/>
                <w:b/>
              </w:rPr>
            </w:pPr>
            <w:r w:rsidRPr="00907988">
              <w:rPr>
                <w:rFonts w:ascii="Arial" w:hAnsi="Arial" w:cs="Arial"/>
                <w:b/>
              </w:rPr>
              <w:t>Banco</w:t>
            </w:r>
          </w:p>
        </w:tc>
        <w:tc>
          <w:tcPr>
            <w:tcW w:w="3922" w:type="dxa"/>
          </w:tcPr>
          <w:p w14:paraId="2BD9264B" w14:textId="77777777" w:rsidR="00751583" w:rsidRPr="00907988" w:rsidRDefault="00751583" w:rsidP="00607F0B">
            <w:pPr>
              <w:ind w:firstLine="0"/>
              <w:rPr>
                <w:rFonts w:ascii="Arial" w:hAnsi="Arial" w:cs="Arial"/>
                <w:b/>
              </w:rPr>
            </w:pPr>
            <w:r w:rsidRPr="00907988">
              <w:rPr>
                <w:rFonts w:ascii="Arial" w:hAnsi="Arial" w:cs="Arial"/>
                <w:b/>
              </w:rPr>
              <w:t>Taxa de juros (% ao mês)</w:t>
            </w:r>
          </w:p>
        </w:tc>
      </w:tr>
      <w:tr w:rsidR="00751583" w:rsidRPr="00907988" w14:paraId="19900E84" w14:textId="77777777" w:rsidTr="003C7168">
        <w:trPr>
          <w:trHeight w:val="156"/>
        </w:trPr>
        <w:tc>
          <w:tcPr>
            <w:tcW w:w="976" w:type="dxa"/>
          </w:tcPr>
          <w:p w14:paraId="1CF2C3BF" w14:textId="77777777" w:rsidR="00751583" w:rsidRPr="00907988" w:rsidRDefault="00751583" w:rsidP="00DC7F6B">
            <w:pPr>
              <w:rPr>
                <w:rFonts w:ascii="Arial" w:hAnsi="Arial" w:cs="Arial"/>
              </w:rPr>
            </w:pPr>
            <w:r w:rsidRPr="00907988">
              <w:rPr>
                <w:rFonts w:ascii="Arial" w:hAnsi="Arial" w:cs="Arial"/>
              </w:rPr>
              <w:t>1º</w:t>
            </w:r>
          </w:p>
        </w:tc>
        <w:tc>
          <w:tcPr>
            <w:tcW w:w="2765" w:type="dxa"/>
          </w:tcPr>
          <w:p w14:paraId="284C3CF9" w14:textId="3A94C1C8" w:rsidR="00751583" w:rsidRPr="00907988" w:rsidRDefault="00D74713" w:rsidP="00607F0B">
            <w:pPr>
              <w:ind w:firstLine="0"/>
              <w:rPr>
                <w:rFonts w:ascii="Arial" w:hAnsi="Arial" w:cs="Arial"/>
              </w:rPr>
            </w:pPr>
            <w:r w:rsidRPr="00907988">
              <w:rPr>
                <w:rFonts w:ascii="Arial" w:hAnsi="Arial" w:cs="Arial"/>
              </w:rPr>
              <w:t>Itaú</w:t>
            </w:r>
          </w:p>
        </w:tc>
        <w:tc>
          <w:tcPr>
            <w:tcW w:w="3922" w:type="dxa"/>
          </w:tcPr>
          <w:p w14:paraId="0FCBD3FB" w14:textId="68B02CB0" w:rsidR="00751583" w:rsidRPr="00907988" w:rsidRDefault="00D74713" w:rsidP="00DC7F6B">
            <w:pPr>
              <w:rPr>
                <w:rFonts w:ascii="Arial" w:hAnsi="Arial" w:cs="Arial"/>
              </w:rPr>
            </w:pPr>
            <w:r w:rsidRPr="00907988">
              <w:rPr>
                <w:rFonts w:ascii="Arial" w:hAnsi="Arial" w:cs="Arial"/>
              </w:rPr>
              <w:t>2,21%</w:t>
            </w:r>
          </w:p>
        </w:tc>
      </w:tr>
      <w:tr w:rsidR="00751583" w:rsidRPr="00907988" w14:paraId="72C31636" w14:textId="77777777" w:rsidTr="003C7168">
        <w:trPr>
          <w:trHeight w:val="166"/>
        </w:trPr>
        <w:tc>
          <w:tcPr>
            <w:tcW w:w="976" w:type="dxa"/>
          </w:tcPr>
          <w:p w14:paraId="4689989F" w14:textId="77777777" w:rsidR="00751583" w:rsidRPr="00907988" w:rsidRDefault="00751583" w:rsidP="00DC7F6B">
            <w:pPr>
              <w:rPr>
                <w:rFonts w:ascii="Arial" w:hAnsi="Arial" w:cs="Arial"/>
              </w:rPr>
            </w:pPr>
            <w:r w:rsidRPr="00907988">
              <w:rPr>
                <w:rFonts w:ascii="Arial" w:hAnsi="Arial" w:cs="Arial"/>
              </w:rPr>
              <w:t>2º</w:t>
            </w:r>
          </w:p>
        </w:tc>
        <w:tc>
          <w:tcPr>
            <w:tcW w:w="2765" w:type="dxa"/>
          </w:tcPr>
          <w:p w14:paraId="27B0EE38" w14:textId="25D6E501" w:rsidR="00751583" w:rsidRPr="00907988" w:rsidRDefault="00D74713" w:rsidP="00607F0B">
            <w:pPr>
              <w:ind w:firstLine="0"/>
              <w:rPr>
                <w:rFonts w:ascii="Arial" w:hAnsi="Arial" w:cs="Arial"/>
              </w:rPr>
            </w:pPr>
            <w:r w:rsidRPr="00907988">
              <w:rPr>
                <w:rFonts w:ascii="Arial" w:hAnsi="Arial" w:cs="Arial"/>
              </w:rPr>
              <w:t>Santander</w:t>
            </w:r>
          </w:p>
        </w:tc>
        <w:tc>
          <w:tcPr>
            <w:tcW w:w="3922" w:type="dxa"/>
          </w:tcPr>
          <w:p w14:paraId="49AFA7BF" w14:textId="2A43F2D1" w:rsidR="00751583" w:rsidRPr="00907988" w:rsidRDefault="00D74713" w:rsidP="00DC7F6B">
            <w:pPr>
              <w:rPr>
                <w:rFonts w:ascii="Arial" w:hAnsi="Arial" w:cs="Arial"/>
              </w:rPr>
            </w:pPr>
            <w:r w:rsidRPr="00907988">
              <w:rPr>
                <w:rFonts w:ascii="Arial" w:hAnsi="Arial" w:cs="Arial"/>
              </w:rPr>
              <w:t>3,03%</w:t>
            </w:r>
          </w:p>
        </w:tc>
      </w:tr>
      <w:tr w:rsidR="00751583" w:rsidRPr="00907988" w14:paraId="00414FF1" w14:textId="77777777" w:rsidTr="003C7168">
        <w:trPr>
          <w:trHeight w:val="166"/>
        </w:trPr>
        <w:tc>
          <w:tcPr>
            <w:tcW w:w="976" w:type="dxa"/>
          </w:tcPr>
          <w:p w14:paraId="41380EED" w14:textId="77777777" w:rsidR="00751583" w:rsidRPr="00907988" w:rsidRDefault="00751583" w:rsidP="00DC7F6B">
            <w:pPr>
              <w:rPr>
                <w:rFonts w:ascii="Arial" w:hAnsi="Arial" w:cs="Arial"/>
              </w:rPr>
            </w:pPr>
            <w:r w:rsidRPr="00907988">
              <w:rPr>
                <w:rFonts w:ascii="Arial" w:hAnsi="Arial" w:cs="Arial"/>
              </w:rPr>
              <w:t>3º</w:t>
            </w:r>
          </w:p>
        </w:tc>
        <w:tc>
          <w:tcPr>
            <w:tcW w:w="2765" w:type="dxa"/>
          </w:tcPr>
          <w:p w14:paraId="1EA176F0" w14:textId="55F6F349" w:rsidR="00751583" w:rsidRPr="00907988" w:rsidRDefault="00D74713" w:rsidP="00607F0B">
            <w:pPr>
              <w:ind w:firstLine="0"/>
              <w:rPr>
                <w:rFonts w:ascii="Arial" w:hAnsi="Arial" w:cs="Arial"/>
              </w:rPr>
            </w:pPr>
            <w:r w:rsidRPr="00907988">
              <w:rPr>
                <w:rFonts w:ascii="Arial" w:hAnsi="Arial" w:cs="Arial"/>
              </w:rPr>
              <w:t>Caixa Econômica Federal</w:t>
            </w:r>
          </w:p>
        </w:tc>
        <w:tc>
          <w:tcPr>
            <w:tcW w:w="3922" w:type="dxa"/>
          </w:tcPr>
          <w:p w14:paraId="335C8AB0" w14:textId="0B1DFB94" w:rsidR="00751583" w:rsidRPr="00907988" w:rsidRDefault="00D74713" w:rsidP="00DC7F6B">
            <w:pPr>
              <w:rPr>
                <w:rFonts w:ascii="Arial" w:hAnsi="Arial" w:cs="Arial"/>
              </w:rPr>
            </w:pPr>
            <w:r w:rsidRPr="00907988">
              <w:rPr>
                <w:rFonts w:ascii="Arial" w:hAnsi="Arial" w:cs="Arial"/>
              </w:rPr>
              <w:t>3,23%</w:t>
            </w:r>
          </w:p>
        </w:tc>
      </w:tr>
      <w:tr w:rsidR="00751583" w:rsidRPr="00907988" w14:paraId="10E04809" w14:textId="77777777" w:rsidTr="003C7168">
        <w:trPr>
          <w:trHeight w:val="156"/>
        </w:trPr>
        <w:tc>
          <w:tcPr>
            <w:tcW w:w="976" w:type="dxa"/>
          </w:tcPr>
          <w:p w14:paraId="64A48765" w14:textId="77777777" w:rsidR="00751583" w:rsidRPr="00907988" w:rsidRDefault="00751583" w:rsidP="00DC7F6B">
            <w:pPr>
              <w:rPr>
                <w:rFonts w:ascii="Arial" w:hAnsi="Arial" w:cs="Arial"/>
              </w:rPr>
            </w:pPr>
            <w:r w:rsidRPr="00907988">
              <w:rPr>
                <w:rFonts w:ascii="Arial" w:hAnsi="Arial" w:cs="Arial"/>
              </w:rPr>
              <w:t>4º</w:t>
            </w:r>
          </w:p>
        </w:tc>
        <w:tc>
          <w:tcPr>
            <w:tcW w:w="2765" w:type="dxa"/>
          </w:tcPr>
          <w:p w14:paraId="16EB2C66" w14:textId="32CE0D4D" w:rsidR="00751583" w:rsidRPr="00907988" w:rsidRDefault="00D74713" w:rsidP="00607F0B">
            <w:pPr>
              <w:ind w:firstLine="0"/>
              <w:rPr>
                <w:rFonts w:ascii="Arial" w:hAnsi="Arial" w:cs="Arial"/>
              </w:rPr>
            </w:pPr>
            <w:r w:rsidRPr="00907988">
              <w:rPr>
                <w:rFonts w:ascii="Arial" w:hAnsi="Arial" w:cs="Arial"/>
              </w:rPr>
              <w:t>Banco do Brasil</w:t>
            </w:r>
          </w:p>
        </w:tc>
        <w:tc>
          <w:tcPr>
            <w:tcW w:w="3922" w:type="dxa"/>
          </w:tcPr>
          <w:p w14:paraId="57130CD6" w14:textId="795C98B6" w:rsidR="00751583" w:rsidRPr="00907988" w:rsidRDefault="00D74713" w:rsidP="00DC7F6B">
            <w:pPr>
              <w:rPr>
                <w:rFonts w:ascii="Arial" w:hAnsi="Arial" w:cs="Arial"/>
              </w:rPr>
            </w:pPr>
            <w:r w:rsidRPr="00907988">
              <w:rPr>
                <w:rFonts w:ascii="Arial" w:hAnsi="Arial" w:cs="Arial"/>
              </w:rPr>
              <w:t>3,53%</w:t>
            </w:r>
          </w:p>
        </w:tc>
      </w:tr>
      <w:tr w:rsidR="00751583" w:rsidRPr="00907988" w14:paraId="0120BE8F" w14:textId="77777777" w:rsidTr="003C7168">
        <w:trPr>
          <w:trHeight w:val="166"/>
        </w:trPr>
        <w:tc>
          <w:tcPr>
            <w:tcW w:w="976" w:type="dxa"/>
          </w:tcPr>
          <w:p w14:paraId="07383007" w14:textId="77777777" w:rsidR="00751583" w:rsidRPr="00907988" w:rsidRDefault="00751583" w:rsidP="00DC7F6B">
            <w:pPr>
              <w:rPr>
                <w:rFonts w:ascii="Arial" w:hAnsi="Arial" w:cs="Arial"/>
              </w:rPr>
            </w:pPr>
            <w:r w:rsidRPr="00907988">
              <w:rPr>
                <w:rFonts w:ascii="Arial" w:hAnsi="Arial" w:cs="Arial"/>
              </w:rPr>
              <w:t>5º</w:t>
            </w:r>
          </w:p>
        </w:tc>
        <w:tc>
          <w:tcPr>
            <w:tcW w:w="2765" w:type="dxa"/>
          </w:tcPr>
          <w:p w14:paraId="11973D36" w14:textId="77777777" w:rsidR="00751583" w:rsidRPr="00907988" w:rsidRDefault="00751583" w:rsidP="00607F0B">
            <w:pPr>
              <w:ind w:firstLine="0"/>
              <w:rPr>
                <w:rFonts w:ascii="Arial" w:hAnsi="Arial" w:cs="Arial"/>
              </w:rPr>
            </w:pPr>
            <w:r w:rsidRPr="00907988">
              <w:rPr>
                <w:rFonts w:ascii="Arial" w:hAnsi="Arial" w:cs="Arial"/>
              </w:rPr>
              <w:t>Bradesco</w:t>
            </w:r>
          </w:p>
        </w:tc>
        <w:tc>
          <w:tcPr>
            <w:tcW w:w="3922" w:type="dxa"/>
          </w:tcPr>
          <w:p w14:paraId="7213EAB9" w14:textId="7DA008D9" w:rsidR="00751583" w:rsidRPr="00907988" w:rsidRDefault="00D74713" w:rsidP="00DC7F6B">
            <w:pPr>
              <w:rPr>
                <w:rFonts w:ascii="Arial" w:hAnsi="Arial" w:cs="Arial"/>
              </w:rPr>
            </w:pPr>
            <w:r w:rsidRPr="00907988">
              <w:rPr>
                <w:rFonts w:ascii="Arial" w:hAnsi="Arial" w:cs="Arial"/>
              </w:rPr>
              <w:t>6</w:t>
            </w:r>
            <w:r w:rsidR="007E35F7" w:rsidRPr="00907988">
              <w:rPr>
                <w:rFonts w:ascii="Arial" w:hAnsi="Arial" w:cs="Arial"/>
              </w:rPr>
              <w:t>,76</w:t>
            </w:r>
            <w:r w:rsidR="00751583" w:rsidRPr="00907988">
              <w:rPr>
                <w:rFonts w:ascii="Arial" w:hAnsi="Arial" w:cs="Arial"/>
              </w:rPr>
              <w:t>%</w:t>
            </w:r>
          </w:p>
        </w:tc>
      </w:tr>
    </w:tbl>
    <w:p w14:paraId="1E4CB97D" w14:textId="7CEA3F62" w:rsidR="00030135" w:rsidRPr="00607F0B" w:rsidRDefault="00030135" w:rsidP="00977752">
      <w:pPr>
        <w:rPr>
          <w:rFonts w:ascii="Arial" w:hAnsi="Arial" w:cs="Arial"/>
          <w:sz w:val="22"/>
        </w:rPr>
      </w:pPr>
      <w:r w:rsidRPr="00907988">
        <w:rPr>
          <w:rFonts w:ascii="Arial" w:hAnsi="Arial" w:cs="Arial"/>
        </w:rPr>
        <w:t xml:space="preserve">  </w:t>
      </w:r>
      <w:r w:rsidRPr="00607F0B">
        <w:rPr>
          <w:rFonts w:ascii="Arial" w:hAnsi="Arial" w:cs="Arial"/>
          <w:sz w:val="22"/>
        </w:rPr>
        <w:t xml:space="preserve">Fonte: </w:t>
      </w:r>
      <w:r w:rsidR="007108B1" w:rsidRPr="00607F0B">
        <w:rPr>
          <w:rFonts w:ascii="Arial" w:hAnsi="Arial" w:cs="Arial"/>
          <w:sz w:val="22"/>
        </w:rPr>
        <w:t>Banco Central</w:t>
      </w:r>
      <w:r w:rsidRPr="00607F0B">
        <w:rPr>
          <w:rFonts w:ascii="Arial" w:hAnsi="Arial" w:cs="Arial"/>
          <w:sz w:val="22"/>
        </w:rPr>
        <w:t xml:space="preserve"> (2020)</w:t>
      </w:r>
    </w:p>
    <w:p w14:paraId="2828AED5" w14:textId="77777777" w:rsidR="007F7D5F" w:rsidRDefault="007F7D5F" w:rsidP="007F7D5F">
      <w:pPr>
        <w:ind w:firstLine="0"/>
        <w:rPr>
          <w:rFonts w:ascii="Arial" w:hAnsi="Arial" w:cs="Arial"/>
          <w:sz w:val="22"/>
        </w:rPr>
      </w:pPr>
    </w:p>
    <w:p w14:paraId="5C415DEA" w14:textId="774188C4" w:rsidR="00FF61F4" w:rsidRPr="00607F0B" w:rsidRDefault="008037FF" w:rsidP="00977752">
      <w:pPr>
        <w:rPr>
          <w:rFonts w:ascii="Arial" w:hAnsi="Arial" w:cs="Arial"/>
          <w:sz w:val="22"/>
        </w:rPr>
      </w:pPr>
      <w:r w:rsidRPr="00607F0B">
        <w:rPr>
          <w:rFonts w:ascii="Arial" w:hAnsi="Arial" w:cs="Arial"/>
          <w:sz w:val="22"/>
        </w:rPr>
        <w:t xml:space="preserve">Quadro </w:t>
      </w:r>
      <w:r w:rsidR="00195556" w:rsidRPr="00607F0B">
        <w:rPr>
          <w:rFonts w:ascii="Arial" w:hAnsi="Arial" w:cs="Arial"/>
          <w:sz w:val="22"/>
        </w:rPr>
        <w:t>4</w:t>
      </w:r>
      <w:r w:rsidR="00BE18A2" w:rsidRPr="00607F0B">
        <w:rPr>
          <w:rFonts w:ascii="Arial" w:hAnsi="Arial" w:cs="Arial"/>
          <w:sz w:val="22"/>
        </w:rPr>
        <w:t xml:space="preserve"> –</w:t>
      </w:r>
      <w:r w:rsidR="00195556" w:rsidRPr="00607F0B">
        <w:rPr>
          <w:rFonts w:ascii="Arial" w:hAnsi="Arial" w:cs="Arial"/>
          <w:sz w:val="22"/>
        </w:rPr>
        <w:t xml:space="preserve"> Taxas de Juros TJLP</w:t>
      </w:r>
    </w:p>
    <w:tbl>
      <w:tblPr>
        <w:tblStyle w:val="Tabelacomgrade"/>
        <w:tblpPr w:leftFromText="141" w:rightFromText="141" w:vertAnchor="text" w:horzAnchor="page" w:tblpX="2468" w:tblpY="177"/>
        <w:tblW w:w="0" w:type="auto"/>
        <w:tblLook w:val="04A0" w:firstRow="1" w:lastRow="0" w:firstColumn="1" w:lastColumn="0" w:noHBand="0" w:noVBand="1"/>
      </w:tblPr>
      <w:tblGrid>
        <w:gridCol w:w="2769"/>
        <w:gridCol w:w="2770"/>
      </w:tblGrid>
      <w:tr w:rsidR="004727C7" w:rsidRPr="00907988" w14:paraId="6E9CE8FD" w14:textId="77777777" w:rsidTr="004727C7">
        <w:trPr>
          <w:trHeight w:val="557"/>
        </w:trPr>
        <w:tc>
          <w:tcPr>
            <w:tcW w:w="2769" w:type="dxa"/>
          </w:tcPr>
          <w:p w14:paraId="7557E6DC" w14:textId="77777777" w:rsidR="004727C7" w:rsidRPr="00907988" w:rsidRDefault="004727C7" w:rsidP="00607F0B">
            <w:pPr>
              <w:ind w:firstLine="0"/>
              <w:rPr>
                <w:rFonts w:ascii="Arial" w:hAnsi="Arial" w:cs="Arial"/>
                <w:b/>
              </w:rPr>
            </w:pPr>
            <w:r w:rsidRPr="00907988">
              <w:rPr>
                <w:rFonts w:ascii="Arial" w:hAnsi="Arial" w:cs="Arial"/>
                <w:b/>
              </w:rPr>
              <w:t>TJLP</w:t>
            </w:r>
          </w:p>
        </w:tc>
        <w:tc>
          <w:tcPr>
            <w:tcW w:w="2770" w:type="dxa"/>
          </w:tcPr>
          <w:p w14:paraId="4840878C" w14:textId="77777777" w:rsidR="004727C7" w:rsidRPr="00907988" w:rsidRDefault="004727C7" w:rsidP="00607F0B">
            <w:pPr>
              <w:ind w:firstLine="0"/>
              <w:rPr>
                <w:rFonts w:ascii="Arial" w:hAnsi="Arial" w:cs="Arial"/>
                <w:b/>
              </w:rPr>
            </w:pPr>
            <w:r w:rsidRPr="00907988">
              <w:rPr>
                <w:rFonts w:ascii="Arial" w:hAnsi="Arial" w:cs="Arial"/>
                <w:b/>
              </w:rPr>
              <w:t>Taxa de juros (% ao mês)</w:t>
            </w:r>
          </w:p>
        </w:tc>
      </w:tr>
      <w:tr w:rsidR="004727C7" w:rsidRPr="00907988" w14:paraId="6B870AFA" w14:textId="77777777" w:rsidTr="004727C7">
        <w:tc>
          <w:tcPr>
            <w:tcW w:w="2769" w:type="dxa"/>
          </w:tcPr>
          <w:p w14:paraId="14A317AA" w14:textId="77777777" w:rsidR="004727C7" w:rsidRPr="00907988" w:rsidRDefault="004727C7" w:rsidP="00607F0B">
            <w:pPr>
              <w:ind w:firstLine="0"/>
              <w:rPr>
                <w:rFonts w:ascii="Arial" w:hAnsi="Arial" w:cs="Arial"/>
              </w:rPr>
            </w:pPr>
            <w:r w:rsidRPr="00907988">
              <w:rPr>
                <w:rFonts w:ascii="Arial" w:hAnsi="Arial" w:cs="Arial"/>
              </w:rPr>
              <w:t>Maio de 2020</w:t>
            </w:r>
          </w:p>
        </w:tc>
        <w:tc>
          <w:tcPr>
            <w:tcW w:w="2770" w:type="dxa"/>
          </w:tcPr>
          <w:p w14:paraId="4FCFA202" w14:textId="77777777" w:rsidR="004727C7" w:rsidRPr="00907988" w:rsidRDefault="004727C7" w:rsidP="004727C7">
            <w:pPr>
              <w:rPr>
                <w:rFonts w:ascii="Arial" w:hAnsi="Arial" w:cs="Arial"/>
              </w:rPr>
            </w:pPr>
            <w:r w:rsidRPr="00907988">
              <w:rPr>
                <w:rFonts w:ascii="Arial" w:hAnsi="Arial" w:cs="Arial"/>
              </w:rPr>
              <w:t>0,4117%</w:t>
            </w:r>
          </w:p>
        </w:tc>
      </w:tr>
      <w:tr w:rsidR="004727C7" w:rsidRPr="00907988" w14:paraId="7636F27C" w14:textId="77777777" w:rsidTr="004727C7">
        <w:trPr>
          <w:trHeight w:val="318"/>
        </w:trPr>
        <w:tc>
          <w:tcPr>
            <w:tcW w:w="2769" w:type="dxa"/>
          </w:tcPr>
          <w:p w14:paraId="36BD1A5F" w14:textId="77777777" w:rsidR="004727C7" w:rsidRPr="00907988" w:rsidRDefault="004727C7" w:rsidP="00607F0B">
            <w:pPr>
              <w:ind w:firstLine="0"/>
              <w:rPr>
                <w:rFonts w:ascii="Arial" w:hAnsi="Arial" w:cs="Arial"/>
              </w:rPr>
            </w:pPr>
            <w:r w:rsidRPr="00907988">
              <w:rPr>
                <w:rFonts w:ascii="Arial" w:hAnsi="Arial" w:cs="Arial"/>
              </w:rPr>
              <w:t>Junho de 2020</w:t>
            </w:r>
          </w:p>
        </w:tc>
        <w:tc>
          <w:tcPr>
            <w:tcW w:w="2770" w:type="dxa"/>
          </w:tcPr>
          <w:p w14:paraId="0FA98A9A" w14:textId="77777777" w:rsidR="004727C7" w:rsidRPr="00907988" w:rsidRDefault="004727C7" w:rsidP="004727C7">
            <w:pPr>
              <w:rPr>
                <w:rFonts w:ascii="Arial" w:hAnsi="Arial" w:cs="Arial"/>
              </w:rPr>
            </w:pPr>
            <w:r w:rsidRPr="00907988">
              <w:rPr>
                <w:rFonts w:ascii="Arial" w:hAnsi="Arial" w:cs="Arial"/>
              </w:rPr>
              <w:t>0,4117%</w:t>
            </w:r>
          </w:p>
        </w:tc>
      </w:tr>
    </w:tbl>
    <w:p w14:paraId="275219D6" w14:textId="3CB8FD02" w:rsidR="00030135" w:rsidRPr="00907988" w:rsidRDefault="00751583" w:rsidP="004727C7">
      <w:pPr>
        <w:rPr>
          <w:rFonts w:ascii="Arial" w:hAnsi="Arial" w:cs="Arial"/>
        </w:rPr>
      </w:pPr>
      <w:r w:rsidRPr="00907988">
        <w:rPr>
          <w:rFonts w:ascii="Arial" w:hAnsi="Arial" w:cs="Arial"/>
        </w:rPr>
        <w:t xml:space="preserve">                            </w:t>
      </w:r>
    </w:p>
    <w:p w14:paraId="652B63F5" w14:textId="77777777" w:rsidR="004727C7" w:rsidRPr="00907988" w:rsidRDefault="00751583" w:rsidP="004727C7">
      <w:pPr>
        <w:rPr>
          <w:rFonts w:ascii="Arial" w:hAnsi="Arial" w:cs="Arial"/>
        </w:rPr>
      </w:pPr>
      <w:r w:rsidRPr="00907988">
        <w:rPr>
          <w:rFonts w:ascii="Arial" w:hAnsi="Arial" w:cs="Arial"/>
        </w:rPr>
        <w:t xml:space="preserve">   </w:t>
      </w:r>
      <w:r w:rsidR="00030135" w:rsidRPr="00907988">
        <w:rPr>
          <w:rFonts w:ascii="Arial" w:hAnsi="Arial" w:cs="Arial"/>
        </w:rPr>
        <w:t xml:space="preserve">                       </w:t>
      </w:r>
    </w:p>
    <w:p w14:paraId="2EAA3921" w14:textId="77777777" w:rsidR="004727C7" w:rsidRPr="00907988" w:rsidRDefault="004727C7" w:rsidP="004727C7">
      <w:pPr>
        <w:rPr>
          <w:rFonts w:ascii="Arial" w:hAnsi="Arial" w:cs="Arial"/>
        </w:rPr>
      </w:pPr>
    </w:p>
    <w:p w14:paraId="69FD0825" w14:textId="77777777" w:rsidR="004727C7" w:rsidRPr="00907988" w:rsidRDefault="004727C7" w:rsidP="004727C7">
      <w:pPr>
        <w:rPr>
          <w:rFonts w:ascii="Arial" w:hAnsi="Arial" w:cs="Arial"/>
        </w:rPr>
      </w:pPr>
    </w:p>
    <w:p w14:paraId="2D29145E" w14:textId="77777777" w:rsidR="004727C7" w:rsidRPr="00907988" w:rsidRDefault="004727C7" w:rsidP="004727C7">
      <w:pPr>
        <w:rPr>
          <w:rFonts w:ascii="Arial" w:hAnsi="Arial" w:cs="Arial"/>
        </w:rPr>
      </w:pPr>
    </w:p>
    <w:p w14:paraId="6E5ABB93" w14:textId="47F23A7F" w:rsidR="004727C7" w:rsidRDefault="008A5025" w:rsidP="007F7D5F">
      <w:pPr>
        <w:rPr>
          <w:rFonts w:ascii="Arial" w:hAnsi="Arial" w:cs="Arial"/>
          <w:sz w:val="22"/>
        </w:rPr>
      </w:pPr>
      <w:r w:rsidRPr="00607F0B">
        <w:rPr>
          <w:rFonts w:ascii="Arial" w:hAnsi="Arial" w:cs="Arial"/>
          <w:sz w:val="22"/>
        </w:rPr>
        <w:t xml:space="preserve"> </w:t>
      </w:r>
      <w:r w:rsidR="00030135" w:rsidRPr="00607F0B">
        <w:rPr>
          <w:rFonts w:ascii="Arial" w:hAnsi="Arial" w:cs="Arial"/>
          <w:sz w:val="22"/>
        </w:rPr>
        <w:t xml:space="preserve">Fonte: </w:t>
      </w:r>
      <w:r w:rsidR="008E7B24" w:rsidRPr="00607F0B">
        <w:rPr>
          <w:rFonts w:ascii="Arial" w:hAnsi="Arial" w:cs="Arial"/>
          <w:sz w:val="22"/>
        </w:rPr>
        <w:t>Receita Federal do Brasil</w:t>
      </w:r>
      <w:r w:rsidR="00030135" w:rsidRPr="00607F0B">
        <w:rPr>
          <w:rFonts w:ascii="Arial" w:hAnsi="Arial" w:cs="Arial"/>
          <w:sz w:val="22"/>
        </w:rPr>
        <w:t xml:space="preserve"> (2020)</w:t>
      </w:r>
    </w:p>
    <w:p w14:paraId="32BAE2AB" w14:textId="77777777" w:rsidR="00F74B0C" w:rsidRPr="007F7D5F" w:rsidRDefault="00F74B0C" w:rsidP="007F7D5F">
      <w:pPr>
        <w:rPr>
          <w:rFonts w:ascii="Arial" w:hAnsi="Arial" w:cs="Arial"/>
          <w:sz w:val="22"/>
        </w:rPr>
      </w:pPr>
    </w:p>
    <w:p w14:paraId="310A4C50" w14:textId="77777777" w:rsidR="005068C4" w:rsidRPr="00907988" w:rsidRDefault="00751583" w:rsidP="00977752">
      <w:pPr>
        <w:rPr>
          <w:rFonts w:ascii="Arial" w:hAnsi="Arial" w:cs="Arial"/>
          <w:szCs w:val="24"/>
        </w:rPr>
      </w:pPr>
      <w:r w:rsidRPr="00907988">
        <w:rPr>
          <w:rFonts w:ascii="Arial" w:hAnsi="Arial" w:cs="Arial"/>
          <w:szCs w:val="24"/>
        </w:rPr>
        <w:t>Analisando os dados acima, identifica-se que aderir a um parcelamento tributário é mais vantajoso do que efetuar um parcelamento de uma dívida junto a instituições financeiras, ao passo que, ficar inadimplente no parcelamento tem suas vantagens também</w:t>
      </w:r>
      <w:r w:rsidR="001143D3" w:rsidRPr="00907988">
        <w:rPr>
          <w:rFonts w:ascii="Arial" w:hAnsi="Arial" w:cs="Arial"/>
          <w:szCs w:val="24"/>
        </w:rPr>
        <w:t>, vejamos</w:t>
      </w:r>
      <w:r w:rsidRPr="00907988">
        <w:rPr>
          <w:rFonts w:ascii="Arial" w:hAnsi="Arial" w:cs="Arial"/>
          <w:szCs w:val="24"/>
        </w:rPr>
        <w:t>:</w:t>
      </w:r>
      <w:r w:rsidR="001143D3" w:rsidRPr="00907988">
        <w:rPr>
          <w:rFonts w:ascii="Arial" w:hAnsi="Arial" w:cs="Arial"/>
          <w:szCs w:val="24"/>
        </w:rPr>
        <w:t xml:space="preserve"> </w:t>
      </w:r>
    </w:p>
    <w:p w14:paraId="7EA7F909" w14:textId="57468C35" w:rsidR="002E5471" w:rsidRDefault="00751583" w:rsidP="00CE2891">
      <w:pPr>
        <w:rPr>
          <w:rFonts w:ascii="Arial" w:hAnsi="Arial" w:cs="Arial"/>
          <w:szCs w:val="24"/>
        </w:rPr>
      </w:pPr>
      <w:r w:rsidRPr="00907988">
        <w:rPr>
          <w:rFonts w:ascii="Arial" w:hAnsi="Arial" w:cs="Arial"/>
          <w:szCs w:val="24"/>
        </w:rPr>
        <w:t xml:space="preserve">Levando-se em conta que da constituição da dívida levam-se cinco anos para que seja cobrada, nesse tempo é possível ser constituído um empréstimo junto a um dos quatro primeiros bancos e pagá-los antes mesmo da cobrança de uma eventual dívida constituída nesse período. Caso seja cobrado, a taxa de correção seria a TJLP de </w:t>
      </w:r>
      <w:r w:rsidR="004727C7" w:rsidRPr="00907988">
        <w:rPr>
          <w:rFonts w:ascii="Arial" w:hAnsi="Arial" w:cs="Arial"/>
          <w:szCs w:val="24"/>
        </w:rPr>
        <w:t>0,4117%.</w:t>
      </w:r>
    </w:p>
    <w:p w14:paraId="4A4320B9" w14:textId="46968D5E" w:rsidR="002E5471" w:rsidRDefault="002E5471" w:rsidP="004727C7">
      <w:pPr>
        <w:rPr>
          <w:rFonts w:ascii="Arial" w:hAnsi="Arial" w:cs="Arial"/>
          <w:szCs w:val="24"/>
        </w:rPr>
      </w:pPr>
    </w:p>
    <w:p w14:paraId="18BA216C" w14:textId="37A0F0A5" w:rsidR="00F74B0C" w:rsidRDefault="00F74B0C" w:rsidP="004727C7">
      <w:pPr>
        <w:rPr>
          <w:rFonts w:ascii="Arial" w:hAnsi="Arial" w:cs="Arial"/>
          <w:szCs w:val="24"/>
        </w:rPr>
      </w:pPr>
    </w:p>
    <w:p w14:paraId="343CBD90" w14:textId="19410C11" w:rsidR="00F74B0C" w:rsidRDefault="00F74B0C" w:rsidP="004727C7">
      <w:pPr>
        <w:rPr>
          <w:rFonts w:ascii="Arial" w:hAnsi="Arial" w:cs="Arial"/>
          <w:szCs w:val="24"/>
        </w:rPr>
      </w:pPr>
    </w:p>
    <w:p w14:paraId="6F7897FA" w14:textId="77777777" w:rsidR="00F74B0C" w:rsidRPr="00907988" w:rsidRDefault="00F74B0C" w:rsidP="004727C7">
      <w:pPr>
        <w:rPr>
          <w:rFonts w:ascii="Arial" w:hAnsi="Arial" w:cs="Arial"/>
          <w:szCs w:val="24"/>
        </w:rPr>
      </w:pPr>
    </w:p>
    <w:p w14:paraId="61C22D0D" w14:textId="04271A78" w:rsidR="00751583" w:rsidRPr="00607F0B" w:rsidRDefault="00370CE0" w:rsidP="00943A18">
      <w:pPr>
        <w:ind w:firstLine="0"/>
        <w:rPr>
          <w:rFonts w:ascii="Arial" w:hAnsi="Arial" w:cs="Arial"/>
          <w:sz w:val="22"/>
        </w:rPr>
      </w:pPr>
      <w:r w:rsidRPr="00607F0B">
        <w:rPr>
          <w:rFonts w:ascii="Arial" w:hAnsi="Arial" w:cs="Arial"/>
          <w:sz w:val="22"/>
        </w:rPr>
        <w:lastRenderedPageBreak/>
        <w:t>Quadro</w:t>
      </w:r>
      <w:r w:rsidR="00BE18A2" w:rsidRPr="00607F0B">
        <w:rPr>
          <w:rFonts w:ascii="Arial" w:hAnsi="Arial" w:cs="Arial"/>
          <w:sz w:val="22"/>
        </w:rPr>
        <w:t xml:space="preserve"> 5 – </w:t>
      </w:r>
      <w:r w:rsidR="004D7097" w:rsidRPr="00607F0B">
        <w:rPr>
          <w:rFonts w:ascii="Arial" w:hAnsi="Arial" w:cs="Arial"/>
          <w:sz w:val="22"/>
        </w:rPr>
        <w:t>O máximo de parcelas</w:t>
      </w:r>
      <w:r w:rsidR="00C629B2" w:rsidRPr="00607F0B">
        <w:rPr>
          <w:rFonts w:ascii="Arial" w:hAnsi="Arial" w:cs="Arial"/>
          <w:sz w:val="22"/>
        </w:rPr>
        <w:t xml:space="preserve"> ofertadas por algumas instituições bancárias</w:t>
      </w:r>
      <w:r w:rsidR="00751583" w:rsidRPr="00607F0B">
        <w:rPr>
          <w:rFonts w:ascii="Arial" w:hAnsi="Arial" w:cs="Arial"/>
          <w:sz w:val="22"/>
        </w:rPr>
        <w:t>:</w:t>
      </w:r>
    </w:p>
    <w:tbl>
      <w:tblPr>
        <w:tblStyle w:val="Tabelacomgrade"/>
        <w:tblpPr w:leftFromText="141" w:rightFromText="141" w:vertAnchor="text" w:horzAnchor="margin" w:tblpY="182"/>
        <w:tblW w:w="9493" w:type="dxa"/>
        <w:tblLayout w:type="fixed"/>
        <w:tblLook w:val="04A0" w:firstRow="1" w:lastRow="0" w:firstColumn="1" w:lastColumn="0" w:noHBand="0" w:noVBand="1"/>
      </w:tblPr>
      <w:tblGrid>
        <w:gridCol w:w="4673"/>
        <w:gridCol w:w="4820"/>
      </w:tblGrid>
      <w:tr w:rsidR="00047F51" w:rsidRPr="00907988" w14:paraId="296D1493" w14:textId="77777777" w:rsidTr="00047F51">
        <w:tc>
          <w:tcPr>
            <w:tcW w:w="4673" w:type="dxa"/>
          </w:tcPr>
          <w:p w14:paraId="71472483" w14:textId="40C8C2B3" w:rsidR="00047F51" w:rsidRPr="00907988" w:rsidRDefault="00047F51" w:rsidP="00977752">
            <w:pPr>
              <w:rPr>
                <w:rFonts w:ascii="Arial" w:hAnsi="Arial" w:cs="Arial"/>
                <w:b/>
              </w:rPr>
            </w:pPr>
            <w:r w:rsidRPr="00907988">
              <w:rPr>
                <w:rFonts w:ascii="Arial" w:hAnsi="Arial" w:cs="Arial"/>
                <w:b/>
              </w:rPr>
              <w:t>Banco / Parcelamento</w:t>
            </w:r>
          </w:p>
        </w:tc>
        <w:tc>
          <w:tcPr>
            <w:tcW w:w="4820" w:type="dxa"/>
          </w:tcPr>
          <w:p w14:paraId="515098CB" w14:textId="77777777" w:rsidR="00047F51" w:rsidRPr="00907988" w:rsidRDefault="00047F51" w:rsidP="00977752">
            <w:pPr>
              <w:rPr>
                <w:rFonts w:ascii="Arial" w:hAnsi="Arial" w:cs="Arial"/>
                <w:b/>
              </w:rPr>
            </w:pPr>
            <w:r w:rsidRPr="00907988">
              <w:rPr>
                <w:rFonts w:ascii="Arial" w:hAnsi="Arial" w:cs="Arial"/>
                <w:b/>
              </w:rPr>
              <w:t>Número de parcelas</w:t>
            </w:r>
          </w:p>
        </w:tc>
      </w:tr>
      <w:tr w:rsidR="00047F51" w:rsidRPr="00907988" w14:paraId="56823D4B" w14:textId="77777777" w:rsidTr="00047F51">
        <w:tc>
          <w:tcPr>
            <w:tcW w:w="4673" w:type="dxa"/>
          </w:tcPr>
          <w:p w14:paraId="58BB2218" w14:textId="77777777" w:rsidR="00047F51" w:rsidRPr="00907988" w:rsidRDefault="00047F51" w:rsidP="00977752">
            <w:pPr>
              <w:rPr>
                <w:rFonts w:ascii="Arial" w:hAnsi="Arial" w:cs="Arial"/>
              </w:rPr>
            </w:pPr>
            <w:r w:rsidRPr="00907988">
              <w:rPr>
                <w:rFonts w:ascii="Arial" w:hAnsi="Arial" w:cs="Arial"/>
              </w:rPr>
              <w:t>Banco do Brasil</w:t>
            </w:r>
          </w:p>
        </w:tc>
        <w:tc>
          <w:tcPr>
            <w:tcW w:w="4820" w:type="dxa"/>
          </w:tcPr>
          <w:p w14:paraId="1E17D2A1" w14:textId="77777777" w:rsidR="00047F51" w:rsidRPr="00907988" w:rsidRDefault="00047F51" w:rsidP="00977752">
            <w:pPr>
              <w:rPr>
                <w:rFonts w:ascii="Arial" w:hAnsi="Arial" w:cs="Arial"/>
              </w:rPr>
            </w:pPr>
            <w:r w:rsidRPr="00907988">
              <w:rPr>
                <w:rFonts w:ascii="Arial" w:hAnsi="Arial" w:cs="Arial"/>
              </w:rPr>
              <w:t>Até 48x</w:t>
            </w:r>
          </w:p>
        </w:tc>
      </w:tr>
      <w:tr w:rsidR="00047F51" w:rsidRPr="00907988" w14:paraId="1E35FEB9" w14:textId="77777777" w:rsidTr="00047F51">
        <w:tc>
          <w:tcPr>
            <w:tcW w:w="4673" w:type="dxa"/>
          </w:tcPr>
          <w:p w14:paraId="5D7652D1" w14:textId="77777777" w:rsidR="00047F51" w:rsidRPr="00907988" w:rsidRDefault="00047F51" w:rsidP="00977752">
            <w:pPr>
              <w:rPr>
                <w:rFonts w:ascii="Arial" w:hAnsi="Arial" w:cs="Arial"/>
              </w:rPr>
            </w:pPr>
            <w:r w:rsidRPr="00907988">
              <w:rPr>
                <w:rFonts w:ascii="Arial" w:hAnsi="Arial" w:cs="Arial"/>
              </w:rPr>
              <w:t>Banco Itaú</w:t>
            </w:r>
          </w:p>
        </w:tc>
        <w:tc>
          <w:tcPr>
            <w:tcW w:w="4820" w:type="dxa"/>
          </w:tcPr>
          <w:p w14:paraId="1F53FD56" w14:textId="77777777" w:rsidR="00047F51" w:rsidRPr="00907988" w:rsidRDefault="00047F51" w:rsidP="00977752">
            <w:pPr>
              <w:rPr>
                <w:rFonts w:ascii="Arial" w:hAnsi="Arial" w:cs="Arial"/>
              </w:rPr>
            </w:pPr>
            <w:r w:rsidRPr="00907988">
              <w:rPr>
                <w:rFonts w:ascii="Arial" w:hAnsi="Arial" w:cs="Arial"/>
              </w:rPr>
              <w:t>Até 24x</w:t>
            </w:r>
          </w:p>
        </w:tc>
      </w:tr>
      <w:tr w:rsidR="00047F51" w:rsidRPr="00907988" w14:paraId="6751B864" w14:textId="77777777" w:rsidTr="00047F51">
        <w:tc>
          <w:tcPr>
            <w:tcW w:w="4673" w:type="dxa"/>
          </w:tcPr>
          <w:p w14:paraId="1879CD0F" w14:textId="77777777" w:rsidR="00047F51" w:rsidRPr="00907988" w:rsidRDefault="00047F51" w:rsidP="00977752">
            <w:pPr>
              <w:rPr>
                <w:rFonts w:ascii="Arial" w:hAnsi="Arial" w:cs="Arial"/>
              </w:rPr>
            </w:pPr>
            <w:r w:rsidRPr="00907988">
              <w:rPr>
                <w:rFonts w:ascii="Arial" w:hAnsi="Arial" w:cs="Arial"/>
              </w:rPr>
              <w:t>Santander</w:t>
            </w:r>
          </w:p>
        </w:tc>
        <w:tc>
          <w:tcPr>
            <w:tcW w:w="4820" w:type="dxa"/>
          </w:tcPr>
          <w:p w14:paraId="13BC87BA" w14:textId="77777777" w:rsidR="00047F51" w:rsidRPr="00907988" w:rsidRDefault="00047F51" w:rsidP="00977752">
            <w:pPr>
              <w:rPr>
                <w:rFonts w:ascii="Arial" w:hAnsi="Arial" w:cs="Arial"/>
              </w:rPr>
            </w:pPr>
            <w:r w:rsidRPr="00907988">
              <w:rPr>
                <w:rFonts w:ascii="Arial" w:hAnsi="Arial" w:cs="Arial"/>
              </w:rPr>
              <w:t>Até 36x</w:t>
            </w:r>
          </w:p>
        </w:tc>
      </w:tr>
      <w:tr w:rsidR="00047F51" w:rsidRPr="00907988" w14:paraId="7E1D9BB1" w14:textId="77777777" w:rsidTr="00047F51">
        <w:tc>
          <w:tcPr>
            <w:tcW w:w="4673" w:type="dxa"/>
          </w:tcPr>
          <w:p w14:paraId="451BBA75" w14:textId="77777777" w:rsidR="00047F51" w:rsidRPr="00907988" w:rsidRDefault="00047F51" w:rsidP="00977752">
            <w:pPr>
              <w:rPr>
                <w:rFonts w:ascii="Arial" w:hAnsi="Arial" w:cs="Arial"/>
              </w:rPr>
            </w:pPr>
            <w:r w:rsidRPr="00907988">
              <w:rPr>
                <w:rFonts w:ascii="Arial" w:hAnsi="Arial" w:cs="Arial"/>
              </w:rPr>
              <w:t>CEF</w:t>
            </w:r>
          </w:p>
        </w:tc>
        <w:tc>
          <w:tcPr>
            <w:tcW w:w="4820" w:type="dxa"/>
          </w:tcPr>
          <w:p w14:paraId="53CCE415" w14:textId="77777777" w:rsidR="00047F51" w:rsidRPr="00907988" w:rsidRDefault="00047F51" w:rsidP="00977752">
            <w:pPr>
              <w:rPr>
                <w:rFonts w:ascii="Arial" w:hAnsi="Arial" w:cs="Arial"/>
              </w:rPr>
            </w:pPr>
            <w:r w:rsidRPr="00907988">
              <w:rPr>
                <w:rFonts w:ascii="Arial" w:hAnsi="Arial" w:cs="Arial"/>
              </w:rPr>
              <w:t>Até 96x</w:t>
            </w:r>
          </w:p>
        </w:tc>
      </w:tr>
      <w:tr w:rsidR="00047F51" w:rsidRPr="00907988" w14:paraId="0CC5ED37" w14:textId="77777777" w:rsidTr="00047F51">
        <w:tc>
          <w:tcPr>
            <w:tcW w:w="4673" w:type="dxa"/>
          </w:tcPr>
          <w:p w14:paraId="50EAC551" w14:textId="77777777" w:rsidR="00047F51" w:rsidRPr="00907988" w:rsidRDefault="00047F51" w:rsidP="00977752">
            <w:pPr>
              <w:rPr>
                <w:rFonts w:ascii="Arial" w:hAnsi="Arial" w:cs="Arial"/>
              </w:rPr>
            </w:pPr>
            <w:r w:rsidRPr="00907988">
              <w:rPr>
                <w:rFonts w:ascii="Arial" w:hAnsi="Arial" w:cs="Arial"/>
              </w:rPr>
              <w:t>Bradesco</w:t>
            </w:r>
          </w:p>
        </w:tc>
        <w:tc>
          <w:tcPr>
            <w:tcW w:w="4820" w:type="dxa"/>
          </w:tcPr>
          <w:p w14:paraId="59A0A38B" w14:textId="77777777" w:rsidR="00047F51" w:rsidRPr="00907988" w:rsidRDefault="00047F51" w:rsidP="00977752">
            <w:pPr>
              <w:rPr>
                <w:rFonts w:ascii="Arial" w:hAnsi="Arial" w:cs="Arial"/>
              </w:rPr>
            </w:pPr>
            <w:r w:rsidRPr="00907988">
              <w:rPr>
                <w:rFonts w:ascii="Arial" w:hAnsi="Arial" w:cs="Arial"/>
              </w:rPr>
              <w:t>Até 24x</w:t>
            </w:r>
          </w:p>
        </w:tc>
      </w:tr>
      <w:tr w:rsidR="00047F51" w:rsidRPr="00907988" w14:paraId="3519E3EF" w14:textId="77777777" w:rsidTr="00047F51">
        <w:tc>
          <w:tcPr>
            <w:tcW w:w="4673" w:type="dxa"/>
          </w:tcPr>
          <w:p w14:paraId="202A1C85" w14:textId="77777777" w:rsidR="00047F51" w:rsidRPr="00907988" w:rsidRDefault="00047F51" w:rsidP="00977752">
            <w:pPr>
              <w:rPr>
                <w:rFonts w:ascii="Arial" w:hAnsi="Arial" w:cs="Arial"/>
              </w:rPr>
            </w:pPr>
            <w:r w:rsidRPr="00907988">
              <w:rPr>
                <w:rFonts w:ascii="Arial" w:hAnsi="Arial" w:cs="Arial"/>
              </w:rPr>
              <w:t>Banco Mercantil do Brasil</w:t>
            </w:r>
          </w:p>
        </w:tc>
        <w:tc>
          <w:tcPr>
            <w:tcW w:w="4820" w:type="dxa"/>
          </w:tcPr>
          <w:p w14:paraId="0A94D401" w14:textId="77777777" w:rsidR="00047F51" w:rsidRPr="00907988" w:rsidRDefault="00047F51" w:rsidP="00977752">
            <w:pPr>
              <w:rPr>
                <w:rFonts w:ascii="Arial" w:hAnsi="Arial" w:cs="Arial"/>
              </w:rPr>
            </w:pPr>
            <w:r w:rsidRPr="00907988">
              <w:rPr>
                <w:rFonts w:ascii="Arial" w:hAnsi="Arial" w:cs="Arial"/>
              </w:rPr>
              <w:t>Até 48x</w:t>
            </w:r>
          </w:p>
        </w:tc>
      </w:tr>
      <w:tr w:rsidR="00047F51" w:rsidRPr="00907988" w14:paraId="0B6CFE2C" w14:textId="77777777" w:rsidTr="00047F51">
        <w:tc>
          <w:tcPr>
            <w:tcW w:w="4673" w:type="dxa"/>
          </w:tcPr>
          <w:p w14:paraId="3D4A1C9B" w14:textId="77777777" w:rsidR="00047F51" w:rsidRPr="00907988" w:rsidRDefault="00047F51" w:rsidP="00977752">
            <w:pPr>
              <w:rPr>
                <w:rFonts w:ascii="Arial" w:hAnsi="Arial" w:cs="Arial"/>
                <w:b/>
              </w:rPr>
            </w:pPr>
            <w:r w:rsidRPr="00907988">
              <w:rPr>
                <w:rFonts w:ascii="Arial" w:hAnsi="Arial" w:cs="Arial"/>
                <w:b/>
              </w:rPr>
              <w:t>Parcelamento convencional</w:t>
            </w:r>
          </w:p>
        </w:tc>
        <w:tc>
          <w:tcPr>
            <w:tcW w:w="4820" w:type="dxa"/>
          </w:tcPr>
          <w:p w14:paraId="5F384128" w14:textId="77777777" w:rsidR="00047F51" w:rsidRPr="00907988" w:rsidRDefault="00047F51" w:rsidP="00977752">
            <w:pPr>
              <w:rPr>
                <w:rFonts w:ascii="Arial" w:hAnsi="Arial" w:cs="Arial"/>
              </w:rPr>
            </w:pPr>
            <w:r w:rsidRPr="00907988">
              <w:rPr>
                <w:rFonts w:ascii="Arial" w:hAnsi="Arial" w:cs="Arial"/>
              </w:rPr>
              <w:t>Até 60X</w:t>
            </w:r>
          </w:p>
        </w:tc>
      </w:tr>
      <w:tr w:rsidR="00047F51" w:rsidRPr="00907988" w14:paraId="69FC4F5D" w14:textId="77777777" w:rsidTr="00047F51">
        <w:tc>
          <w:tcPr>
            <w:tcW w:w="4673" w:type="dxa"/>
          </w:tcPr>
          <w:p w14:paraId="6F5F9C06" w14:textId="77777777" w:rsidR="00047F51" w:rsidRPr="00907988" w:rsidRDefault="00047F51" w:rsidP="00977752">
            <w:pPr>
              <w:rPr>
                <w:rFonts w:ascii="Arial" w:hAnsi="Arial" w:cs="Arial"/>
                <w:b/>
              </w:rPr>
            </w:pPr>
            <w:r w:rsidRPr="00907988">
              <w:rPr>
                <w:rFonts w:ascii="Arial" w:hAnsi="Arial" w:cs="Arial"/>
                <w:b/>
              </w:rPr>
              <w:t>Parcelamentos Especiais</w:t>
            </w:r>
          </w:p>
        </w:tc>
        <w:tc>
          <w:tcPr>
            <w:tcW w:w="4820" w:type="dxa"/>
          </w:tcPr>
          <w:p w14:paraId="41F17B4E" w14:textId="77777777" w:rsidR="00047F51" w:rsidRPr="00907988" w:rsidRDefault="00047F51" w:rsidP="00977752">
            <w:pPr>
              <w:rPr>
                <w:rFonts w:ascii="Arial" w:hAnsi="Arial" w:cs="Arial"/>
              </w:rPr>
            </w:pPr>
            <w:r w:rsidRPr="00907988">
              <w:rPr>
                <w:rFonts w:ascii="Arial" w:hAnsi="Arial" w:cs="Arial"/>
              </w:rPr>
              <w:t>Até 120x</w:t>
            </w:r>
          </w:p>
        </w:tc>
      </w:tr>
      <w:tr w:rsidR="00047F51" w:rsidRPr="00907988" w14:paraId="3BB30726" w14:textId="77777777" w:rsidTr="00047F51">
        <w:trPr>
          <w:trHeight w:val="70"/>
        </w:trPr>
        <w:tc>
          <w:tcPr>
            <w:tcW w:w="4673" w:type="dxa"/>
          </w:tcPr>
          <w:p w14:paraId="0F7D92F5" w14:textId="77777777" w:rsidR="00047F51" w:rsidRPr="00907988" w:rsidRDefault="00047F51" w:rsidP="00977752">
            <w:pPr>
              <w:rPr>
                <w:rFonts w:ascii="Arial" w:hAnsi="Arial" w:cs="Arial"/>
                <w:b/>
              </w:rPr>
            </w:pPr>
            <w:r w:rsidRPr="00907988">
              <w:rPr>
                <w:rFonts w:ascii="Arial" w:hAnsi="Arial" w:cs="Arial"/>
                <w:b/>
              </w:rPr>
              <w:t>Refis de 2000</w:t>
            </w:r>
          </w:p>
        </w:tc>
        <w:tc>
          <w:tcPr>
            <w:tcW w:w="4820" w:type="dxa"/>
          </w:tcPr>
          <w:p w14:paraId="5F7B7142" w14:textId="77777777" w:rsidR="00047F51" w:rsidRPr="00907988" w:rsidRDefault="00047F51" w:rsidP="00977752">
            <w:pPr>
              <w:rPr>
                <w:rFonts w:ascii="Arial" w:hAnsi="Arial" w:cs="Arial"/>
              </w:rPr>
            </w:pPr>
            <w:r w:rsidRPr="00907988">
              <w:rPr>
                <w:rFonts w:ascii="Arial" w:hAnsi="Arial" w:cs="Arial"/>
              </w:rPr>
              <w:t>Décadas e séculos (indeterminado)</w:t>
            </w:r>
          </w:p>
        </w:tc>
      </w:tr>
    </w:tbl>
    <w:p w14:paraId="7F8B33BE" w14:textId="77777777" w:rsidR="00C629B2" w:rsidRPr="00607F0B" w:rsidRDefault="0099248B" w:rsidP="00943A18">
      <w:pPr>
        <w:ind w:firstLine="0"/>
        <w:rPr>
          <w:rFonts w:ascii="Arial" w:hAnsi="Arial" w:cs="Arial"/>
          <w:sz w:val="22"/>
        </w:rPr>
      </w:pPr>
      <w:r w:rsidRPr="00607F0B">
        <w:rPr>
          <w:rFonts w:ascii="Arial" w:hAnsi="Arial" w:cs="Arial"/>
          <w:sz w:val="22"/>
        </w:rPr>
        <w:t xml:space="preserve">Fonte: Banco do Brasil </w:t>
      </w:r>
      <w:r w:rsidR="00047F51" w:rsidRPr="00607F0B">
        <w:rPr>
          <w:rFonts w:ascii="Arial" w:hAnsi="Arial" w:cs="Arial"/>
          <w:sz w:val="22"/>
        </w:rPr>
        <w:t>(</w:t>
      </w:r>
      <w:r w:rsidRPr="00607F0B">
        <w:rPr>
          <w:rFonts w:ascii="Arial" w:hAnsi="Arial" w:cs="Arial"/>
          <w:sz w:val="22"/>
        </w:rPr>
        <w:t>2020</w:t>
      </w:r>
      <w:r w:rsidR="00047F51" w:rsidRPr="00607F0B">
        <w:rPr>
          <w:rFonts w:ascii="Arial" w:hAnsi="Arial" w:cs="Arial"/>
          <w:sz w:val="22"/>
        </w:rPr>
        <w:t>)</w:t>
      </w:r>
      <w:r w:rsidRPr="00607F0B">
        <w:rPr>
          <w:rFonts w:ascii="Arial" w:hAnsi="Arial" w:cs="Arial"/>
          <w:sz w:val="22"/>
        </w:rPr>
        <w:t xml:space="preserve">; Banco Itaú </w:t>
      </w:r>
      <w:r w:rsidR="00047F51" w:rsidRPr="00607F0B">
        <w:rPr>
          <w:rFonts w:ascii="Arial" w:hAnsi="Arial" w:cs="Arial"/>
          <w:sz w:val="22"/>
        </w:rPr>
        <w:t>(</w:t>
      </w:r>
      <w:r w:rsidRPr="00607F0B">
        <w:rPr>
          <w:rFonts w:ascii="Arial" w:hAnsi="Arial" w:cs="Arial"/>
          <w:sz w:val="22"/>
        </w:rPr>
        <w:t>2020</w:t>
      </w:r>
      <w:r w:rsidR="00047F51" w:rsidRPr="00607F0B">
        <w:rPr>
          <w:rFonts w:ascii="Arial" w:hAnsi="Arial" w:cs="Arial"/>
          <w:sz w:val="22"/>
        </w:rPr>
        <w:t>)</w:t>
      </w:r>
      <w:r w:rsidRPr="00607F0B">
        <w:rPr>
          <w:rFonts w:ascii="Arial" w:hAnsi="Arial" w:cs="Arial"/>
          <w:sz w:val="22"/>
        </w:rPr>
        <w:t xml:space="preserve">; </w:t>
      </w:r>
      <w:hyperlink r:id="rId9" w:history="1">
        <w:r w:rsidRPr="00607F0B">
          <w:rPr>
            <w:rStyle w:val="Hyperlink"/>
            <w:rFonts w:ascii="Arial" w:hAnsi="Arial" w:cs="Arial"/>
            <w:color w:val="auto"/>
            <w:sz w:val="22"/>
            <w:u w:val="none"/>
          </w:rPr>
          <w:t>Banco</w:t>
        </w:r>
      </w:hyperlink>
      <w:r w:rsidRPr="00607F0B">
        <w:rPr>
          <w:rStyle w:val="Hyperlink"/>
          <w:rFonts w:ascii="Arial" w:hAnsi="Arial" w:cs="Arial"/>
          <w:color w:val="auto"/>
          <w:sz w:val="22"/>
          <w:u w:val="none"/>
        </w:rPr>
        <w:t xml:space="preserve"> Santander </w:t>
      </w:r>
      <w:r w:rsidR="00047F51" w:rsidRPr="00607F0B">
        <w:rPr>
          <w:rStyle w:val="Hyperlink"/>
          <w:rFonts w:ascii="Arial" w:hAnsi="Arial" w:cs="Arial"/>
          <w:color w:val="auto"/>
          <w:sz w:val="22"/>
          <w:u w:val="none"/>
        </w:rPr>
        <w:t>(</w:t>
      </w:r>
      <w:r w:rsidRPr="00607F0B">
        <w:rPr>
          <w:rStyle w:val="Hyperlink"/>
          <w:rFonts w:ascii="Arial" w:hAnsi="Arial" w:cs="Arial"/>
          <w:color w:val="auto"/>
          <w:sz w:val="22"/>
          <w:u w:val="none"/>
        </w:rPr>
        <w:t>2020</w:t>
      </w:r>
      <w:r w:rsidR="00047F51" w:rsidRPr="00607F0B">
        <w:rPr>
          <w:rStyle w:val="Hyperlink"/>
          <w:rFonts w:ascii="Arial" w:hAnsi="Arial" w:cs="Arial"/>
          <w:color w:val="auto"/>
          <w:sz w:val="22"/>
          <w:u w:val="none"/>
        </w:rPr>
        <w:t>)</w:t>
      </w:r>
      <w:r w:rsidRPr="00607F0B">
        <w:rPr>
          <w:rStyle w:val="Hyperlink"/>
          <w:rFonts w:ascii="Arial" w:hAnsi="Arial" w:cs="Arial"/>
          <w:color w:val="auto"/>
          <w:sz w:val="22"/>
          <w:u w:val="none"/>
        </w:rPr>
        <w:t xml:space="preserve">; Caixa Econômica Federal </w:t>
      </w:r>
      <w:r w:rsidR="00047F51" w:rsidRPr="00607F0B">
        <w:rPr>
          <w:rStyle w:val="Hyperlink"/>
          <w:rFonts w:ascii="Arial" w:hAnsi="Arial" w:cs="Arial"/>
          <w:color w:val="auto"/>
          <w:sz w:val="22"/>
          <w:u w:val="none"/>
        </w:rPr>
        <w:t>(</w:t>
      </w:r>
      <w:r w:rsidRPr="00607F0B">
        <w:rPr>
          <w:rStyle w:val="Hyperlink"/>
          <w:rFonts w:ascii="Arial" w:hAnsi="Arial" w:cs="Arial"/>
          <w:color w:val="auto"/>
          <w:sz w:val="22"/>
          <w:u w:val="none"/>
        </w:rPr>
        <w:t>2020</w:t>
      </w:r>
      <w:r w:rsidR="00047F51" w:rsidRPr="00607F0B">
        <w:rPr>
          <w:rStyle w:val="Hyperlink"/>
          <w:rFonts w:ascii="Arial" w:hAnsi="Arial" w:cs="Arial"/>
          <w:color w:val="auto"/>
          <w:sz w:val="22"/>
          <w:u w:val="none"/>
        </w:rPr>
        <w:t>)</w:t>
      </w:r>
      <w:r w:rsidRPr="00607F0B">
        <w:rPr>
          <w:rStyle w:val="Hyperlink"/>
          <w:rFonts w:ascii="Arial" w:hAnsi="Arial" w:cs="Arial"/>
          <w:color w:val="auto"/>
          <w:sz w:val="22"/>
          <w:u w:val="none"/>
        </w:rPr>
        <w:t xml:space="preserve">; Banco Bradesco </w:t>
      </w:r>
      <w:r w:rsidR="00047F51" w:rsidRPr="00607F0B">
        <w:rPr>
          <w:rStyle w:val="Hyperlink"/>
          <w:rFonts w:ascii="Arial" w:hAnsi="Arial" w:cs="Arial"/>
          <w:color w:val="auto"/>
          <w:sz w:val="22"/>
          <w:u w:val="none"/>
        </w:rPr>
        <w:t>(</w:t>
      </w:r>
      <w:r w:rsidRPr="00607F0B">
        <w:rPr>
          <w:rStyle w:val="Hyperlink"/>
          <w:rFonts w:ascii="Arial" w:hAnsi="Arial" w:cs="Arial"/>
          <w:color w:val="auto"/>
          <w:sz w:val="22"/>
          <w:u w:val="none"/>
        </w:rPr>
        <w:t>2020</w:t>
      </w:r>
      <w:r w:rsidR="00047F51" w:rsidRPr="00607F0B">
        <w:rPr>
          <w:rStyle w:val="Hyperlink"/>
          <w:rFonts w:ascii="Arial" w:hAnsi="Arial" w:cs="Arial"/>
          <w:color w:val="auto"/>
          <w:sz w:val="22"/>
          <w:u w:val="none"/>
        </w:rPr>
        <w:t>)</w:t>
      </w:r>
      <w:r w:rsidRPr="00607F0B">
        <w:rPr>
          <w:rStyle w:val="Hyperlink"/>
          <w:rFonts w:ascii="Arial" w:hAnsi="Arial" w:cs="Arial"/>
          <w:color w:val="auto"/>
          <w:sz w:val="22"/>
          <w:u w:val="none"/>
        </w:rPr>
        <w:t xml:space="preserve">; </w:t>
      </w:r>
      <w:r w:rsidR="00047F51" w:rsidRPr="00607F0B">
        <w:rPr>
          <w:rStyle w:val="Hyperlink"/>
          <w:rFonts w:ascii="Arial" w:hAnsi="Arial" w:cs="Arial"/>
          <w:color w:val="auto"/>
          <w:sz w:val="22"/>
          <w:u w:val="none"/>
        </w:rPr>
        <w:t xml:space="preserve">Banco Mercantil (2020); </w:t>
      </w:r>
      <w:r w:rsidR="00047F51" w:rsidRPr="00607F0B">
        <w:rPr>
          <w:rFonts w:ascii="Arial" w:hAnsi="Arial" w:cs="Arial"/>
          <w:sz w:val="22"/>
        </w:rPr>
        <w:t>RFB (2017).</w:t>
      </w:r>
    </w:p>
    <w:p w14:paraId="2B04DD33" w14:textId="77777777" w:rsidR="001547DB" w:rsidRPr="00907988" w:rsidRDefault="001547DB" w:rsidP="00C629B2">
      <w:pPr>
        <w:rPr>
          <w:rFonts w:ascii="Arial" w:hAnsi="Arial" w:cs="Arial"/>
          <w:szCs w:val="24"/>
        </w:rPr>
      </w:pPr>
    </w:p>
    <w:p w14:paraId="2593A294" w14:textId="70453B67" w:rsidR="005068C4" w:rsidRPr="00907988" w:rsidRDefault="00751583" w:rsidP="00C629B2">
      <w:pPr>
        <w:rPr>
          <w:rFonts w:ascii="Arial" w:hAnsi="Arial" w:cs="Arial"/>
          <w:szCs w:val="24"/>
        </w:rPr>
      </w:pPr>
      <w:r w:rsidRPr="00907988">
        <w:rPr>
          <w:rFonts w:ascii="Arial" w:hAnsi="Arial" w:cs="Arial"/>
          <w:szCs w:val="24"/>
        </w:rPr>
        <w:t>Vemos na tabela acima que, com exceção da CEF – empresa pública – os demais bancos só dispõem de prazos que duram no máximo quatro anos.  A depender da situação, existe a possiblidade do devedor terminar de pagar uma dívida junto a um banco</w:t>
      </w:r>
      <w:r w:rsidR="001908B3" w:rsidRPr="00907988">
        <w:rPr>
          <w:rFonts w:ascii="Arial" w:hAnsi="Arial" w:cs="Arial"/>
          <w:szCs w:val="24"/>
        </w:rPr>
        <w:t>,</w:t>
      </w:r>
      <w:r w:rsidRPr="00907988">
        <w:rPr>
          <w:rFonts w:ascii="Arial" w:hAnsi="Arial" w:cs="Arial"/>
          <w:szCs w:val="24"/>
        </w:rPr>
        <w:t xml:space="preserve"> devendo o Estado e ainda ter</w:t>
      </w:r>
      <w:r w:rsidR="001908B3" w:rsidRPr="00907988">
        <w:rPr>
          <w:rFonts w:ascii="Arial" w:hAnsi="Arial" w:cs="Arial"/>
          <w:szCs w:val="24"/>
        </w:rPr>
        <w:t xml:space="preserve"> a possibilidade de ver</w:t>
      </w:r>
      <w:r w:rsidRPr="00907988">
        <w:rPr>
          <w:rFonts w:ascii="Arial" w:hAnsi="Arial" w:cs="Arial"/>
          <w:szCs w:val="24"/>
        </w:rPr>
        <w:t xml:space="preserve"> a dívida prescr</w:t>
      </w:r>
      <w:r w:rsidR="001908B3" w:rsidRPr="00907988">
        <w:rPr>
          <w:rFonts w:ascii="Arial" w:hAnsi="Arial" w:cs="Arial"/>
          <w:szCs w:val="24"/>
        </w:rPr>
        <w:t>ever</w:t>
      </w:r>
      <w:r w:rsidRPr="00907988">
        <w:rPr>
          <w:rFonts w:ascii="Arial" w:hAnsi="Arial" w:cs="Arial"/>
          <w:szCs w:val="24"/>
        </w:rPr>
        <w:t xml:space="preserve">.   </w:t>
      </w:r>
    </w:p>
    <w:p w14:paraId="1CE384AD" w14:textId="3768A321" w:rsidR="00E47604" w:rsidRDefault="00986A9C" w:rsidP="007B2DAB">
      <w:pPr>
        <w:rPr>
          <w:rFonts w:ascii="Arial" w:hAnsi="Arial" w:cs="Arial"/>
          <w:szCs w:val="24"/>
        </w:rPr>
      </w:pPr>
      <w:r w:rsidRPr="00907988">
        <w:rPr>
          <w:rFonts w:ascii="Arial" w:hAnsi="Arial" w:cs="Arial"/>
          <w:szCs w:val="24"/>
        </w:rPr>
        <w:t xml:space="preserve"> </w:t>
      </w:r>
      <w:r w:rsidR="00751583" w:rsidRPr="00907988">
        <w:rPr>
          <w:rFonts w:ascii="Arial" w:hAnsi="Arial" w:cs="Arial"/>
          <w:szCs w:val="24"/>
        </w:rPr>
        <w:t>Quanto a ficar inadimplente, há</w:t>
      </w:r>
      <w:r w:rsidR="00F74B0C">
        <w:rPr>
          <w:rFonts w:ascii="Arial" w:hAnsi="Arial" w:cs="Arial"/>
          <w:szCs w:val="24"/>
        </w:rPr>
        <w:t xml:space="preserve"> possíveis </w:t>
      </w:r>
      <w:r w:rsidR="00751583" w:rsidRPr="00907988">
        <w:rPr>
          <w:rFonts w:ascii="Arial" w:hAnsi="Arial" w:cs="Arial"/>
          <w:szCs w:val="24"/>
        </w:rPr>
        <w:t>vantage</w:t>
      </w:r>
      <w:r w:rsidR="00F74B0C">
        <w:rPr>
          <w:rFonts w:ascii="Arial" w:hAnsi="Arial" w:cs="Arial"/>
          <w:szCs w:val="24"/>
        </w:rPr>
        <w:t>ns</w:t>
      </w:r>
      <w:r w:rsidR="00751583" w:rsidRPr="00907988">
        <w:rPr>
          <w:rFonts w:ascii="Arial" w:hAnsi="Arial" w:cs="Arial"/>
          <w:szCs w:val="24"/>
        </w:rPr>
        <w:t xml:space="preserve"> também, uma vez que não há ônus maiores em rescindir o parcelamento. Pode se parcelar novamente o valor, pois a dívida será corrigida de acordo com a taxa TJLP de 0,</w:t>
      </w:r>
      <w:r w:rsidR="00F74B0C">
        <w:rPr>
          <w:rFonts w:ascii="Arial" w:hAnsi="Arial" w:cs="Arial"/>
          <w:szCs w:val="24"/>
        </w:rPr>
        <w:t>4</w:t>
      </w:r>
      <w:r w:rsidR="00751583" w:rsidRPr="00907988">
        <w:rPr>
          <w:rFonts w:ascii="Arial" w:hAnsi="Arial" w:cs="Arial"/>
          <w:szCs w:val="24"/>
        </w:rPr>
        <w:t>1</w:t>
      </w:r>
      <w:r w:rsidR="00F74B0C" w:rsidRPr="00907988">
        <w:rPr>
          <w:rFonts w:ascii="Arial" w:hAnsi="Arial" w:cs="Arial"/>
          <w:szCs w:val="24"/>
        </w:rPr>
        <w:t>1</w:t>
      </w:r>
      <w:r w:rsidR="00751583" w:rsidRPr="00907988">
        <w:rPr>
          <w:rFonts w:ascii="Arial" w:hAnsi="Arial" w:cs="Arial"/>
          <w:szCs w:val="24"/>
        </w:rPr>
        <w:t xml:space="preserve">7% ao mês, </w:t>
      </w:r>
      <w:r w:rsidR="00F16095" w:rsidRPr="00907988">
        <w:rPr>
          <w:rFonts w:ascii="Arial" w:hAnsi="Arial" w:cs="Arial"/>
          <w:szCs w:val="24"/>
        </w:rPr>
        <w:t xml:space="preserve">e </w:t>
      </w:r>
      <w:r w:rsidR="001908B3" w:rsidRPr="00907988">
        <w:rPr>
          <w:rFonts w:ascii="Arial" w:hAnsi="Arial" w:cs="Arial"/>
          <w:szCs w:val="24"/>
        </w:rPr>
        <w:t>caso rescinda</w:t>
      </w:r>
      <w:r w:rsidR="00751583" w:rsidRPr="00907988">
        <w:rPr>
          <w:rFonts w:ascii="Arial" w:hAnsi="Arial" w:cs="Arial"/>
          <w:szCs w:val="24"/>
        </w:rPr>
        <w:t xml:space="preserve"> por algum motivo</w:t>
      </w:r>
      <w:r w:rsidR="001908B3" w:rsidRPr="00907988">
        <w:rPr>
          <w:rFonts w:ascii="Arial" w:hAnsi="Arial" w:cs="Arial"/>
          <w:szCs w:val="24"/>
        </w:rPr>
        <w:t xml:space="preserve"> o programa aderido</w:t>
      </w:r>
      <w:r w:rsidR="00751583" w:rsidRPr="00907988">
        <w:rPr>
          <w:rFonts w:ascii="Arial" w:hAnsi="Arial" w:cs="Arial"/>
          <w:szCs w:val="24"/>
        </w:rPr>
        <w:t>, começa praticamente do ponto que foi abandonado (TJLP é a taxa de correção usada para os juros dos débitos em atraso). Isso pelo fato de ser possível conseguir grandes descontos na dívida, como no PAEX que oferecia de 50% a 80% das multas e de 30% dos juros de mora</w:t>
      </w:r>
      <w:r w:rsidR="005068C4" w:rsidRPr="00907988">
        <w:rPr>
          <w:rFonts w:ascii="Arial" w:hAnsi="Arial" w:cs="Arial"/>
          <w:szCs w:val="24"/>
        </w:rPr>
        <w:t>.</w:t>
      </w:r>
    </w:p>
    <w:p w14:paraId="6573369E" w14:textId="77777777" w:rsidR="007B2DAB" w:rsidRPr="00907988" w:rsidRDefault="007B2DAB" w:rsidP="007B2DAB">
      <w:pPr>
        <w:rPr>
          <w:rFonts w:ascii="Arial" w:hAnsi="Arial" w:cs="Arial"/>
          <w:szCs w:val="24"/>
        </w:rPr>
      </w:pPr>
    </w:p>
    <w:p w14:paraId="051B232F" w14:textId="47EE4CF1" w:rsidR="00C629B2" w:rsidRPr="007B2DAB" w:rsidRDefault="00751583" w:rsidP="007B2DAB">
      <w:pPr>
        <w:spacing w:line="240" w:lineRule="auto"/>
        <w:ind w:left="2268" w:firstLine="0"/>
        <w:rPr>
          <w:rFonts w:ascii="Arial" w:hAnsi="Arial" w:cs="Arial"/>
          <w:sz w:val="22"/>
        </w:rPr>
      </w:pPr>
      <w:r w:rsidRPr="00907988">
        <w:rPr>
          <w:rFonts w:ascii="Arial" w:hAnsi="Arial" w:cs="Arial"/>
          <w:sz w:val="22"/>
        </w:rPr>
        <w:t xml:space="preserve">O altruísmo reciproco é um mecanismo de confiança: o jogador A coopera com o jogador B confiando que, no futuro, B retribua a cooperação para A. Se isso acontecer de fato, o jogador A poderá́ voltar a cooperar com B, que deverá retribuir novamente para A, e assim por diante. Mas, na vida real, o jogo não é esse pingue-pongue simples em que cada um dos jogadores bate uma vez na bolinha. Além de os jogos serem, muito frequentemente, jogados por mais de dois jogadores, os atos cooperativos não são padronizados, o tempo decorrido entre uma jogada e outra pode ser muito grande, os interesses dos jogadores podem se alterar, além de muitos outros fatores, o que faz do jogo do altruísmo recíproco algo muito mais complexo que um jogo de pingue-pongue. Essa complexidade permite </w:t>
      </w:r>
      <w:r w:rsidRPr="00907988">
        <w:rPr>
          <w:rFonts w:ascii="Arial" w:hAnsi="Arial" w:cs="Arial"/>
          <w:sz w:val="22"/>
        </w:rPr>
        <w:lastRenderedPageBreak/>
        <w:t xml:space="preserve">que um jogador desonesto encontre múltiplas formas para enganar o outro jogador, induzindo-o a cooperar quando este deveria evitar a cooperação. E como estratégias enganadoras costumam trazer altos benefícios a quem as pratica, esse é um comportamento frequentemente encontrado na vida real </w:t>
      </w:r>
      <w:r w:rsidRPr="007F7D5F">
        <w:rPr>
          <w:rFonts w:ascii="Arial" w:hAnsi="Arial" w:cs="Arial"/>
          <w:sz w:val="22"/>
        </w:rPr>
        <w:t>(M</w:t>
      </w:r>
      <w:r w:rsidR="00F76DA9" w:rsidRPr="007F7D5F">
        <w:rPr>
          <w:rFonts w:ascii="Arial" w:hAnsi="Arial" w:cs="Arial"/>
          <w:sz w:val="22"/>
        </w:rPr>
        <w:t>ARINHO</w:t>
      </w:r>
      <w:r w:rsidRPr="007F7D5F">
        <w:rPr>
          <w:rFonts w:ascii="Arial" w:hAnsi="Arial" w:cs="Arial"/>
          <w:sz w:val="22"/>
        </w:rPr>
        <w:t>, 2011, p. 273).</w:t>
      </w:r>
      <w:r w:rsidR="005068C4" w:rsidRPr="007F7D5F">
        <w:rPr>
          <w:rFonts w:ascii="Arial" w:hAnsi="Arial" w:cs="Arial"/>
          <w:sz w:val="22"/>
        </w:rPr>
        <w:t xml:space="preserve"> </w:t>
      </w:r>
    </w:p>
    <w:p w14:paraId="641D024E" w14:textId="77777777" w:rsidR="007B2DAB" w:rsidRDefault="007B2DAB" w:rsidP="00AF65BF">
      <w:pPr>
        <w:contextualSpacing/>
        <w:rPr>
          <w:rFonts w:ascii="Arial" w:hAnsi="Arial" w:cs="Arial"/>
          <w:szCs w:val="24"/>
          <w:highlight w:val="yellow"/>
        </w:rPr>
      </w:pPr>
    </w:p>
    <w:p w14:paraId="7559B408" w14:textId="557D49E2" w:rsidR="003172D5" w:rsidRPr="00907988" w:rsidRDefault="003172D5" w:rsidP="00AF65BF">
      <w:pPr>
        <w:contextualSpacing/>
        <w:rPr>
          <w:rFonts w:ascii="Arial" w:hAnsi="Arial" w:cs="Arial"/>
          <w:szCs w:val="24"/>
        </w:rPr>
      </w:pPr>
      <w:r w:rsidRPr="007F7D5F">
        <w:rPr>
          <w:rFonts w:ascii="Arial" w:hAnsi="Arial" w:cs="Arial"/>
          <w:szCs w:val="24"/>
        </w:rPr>
        <w:t>Co</w:t>
      </w:r>
      <w:r w:rsidR="00AF65BF" w:rsidRPr="007F7D5F">
        <w:rPr>
          <w:rFonts w:ascii="Arial" w:hAnsi="Arial" w:cs="Arial"/>
          <w:szCs w:val="24"/>
        </w:rPr>
        <w:t>nforme</w:t>
      </w:r>
      <w:r w:rsidRPr="007F7D5F">
        <w:rPr>
          <w:rFonts w:ascii="Arial" w:hAnsi="Arial" w:cs="Arial"/>
          <w:szCs w:val="24"/>
        </w:rPr>
        <w:t xml:space="preserve"> afirma Marinho (2011), </w:t>
      </w:r>
      <w:r w:rsidRPr="00907988">
        <w:rPr>
          <w:rFonts w:ascii="Arial" w:hAnsi="Arial" w:cs="Arial"/>
          <w:szCs w:val="24"/>
        </w:rPr>
        <w:t xml:space="preserve">as propostas que incorporam os parcelamentos os tornam muitos mais vantajosos para o contribuinte, os possibilitando de deixar de pagar o tributo para aplicar recursos no mercado financeiro, já que haverá sempre uma possibilidade futura de parcelar o débito com mais descontos e vantagens, </w:t>
      </w:r>
      <w:r w:rsidRPr="007F7D5F">
        <w:rPr>
          <w:rFonts w:ascii="Arial" w:hAnsi="Arial" w:cs="Arial"/>
          <w:szCs w:val="24"/>
        </w:rPr>
        <w:t>quiçá.</w:t>
      </w:r>
      <w:r w:rsidR="00524A95" w:rsidRPr="007F7D5F">
        <w:rPr>
          <w:rFonts w:ascii="Arial" w:hAnsi="Arial" w:cs="Arial"/>
          <w:szCs w:val="24"/>
        </w:rPr>
        <w:t xml:space="preserve"> </w:t>
      </w:r>
      <w:r w:rsidRPr="007F7D5F">
        <w:rPr>
          <w:rFonts w:ascii="Arial" w:hAnsi="Arial" w:cs="Arial"/>
          <w:szCs w:val="24"/>
        </w:rPr>
        <w:t xml:space="preserve"> </w:t>
      </w:r>
    </w:p>
    <w:p w14:paraId="6A3AEF5C" w14:textId="6B71AE21" w:rsidR="00A80636" w:rsidRDefault="00AF65BF" w:rsidP="00A80636">
      <w:pPr>
        <w:rPr>
          <w:rFonts w:ascii="Arial" w:hAnsi="Arial" w:cs="Arial"/>
          <w:szCs w:val="24"/>
        </w:rPr>
      </w:pPr>
      <w:r w:rsidRPr="00907988">
        <w:rPr>
          <w:rFonts w:ascii="Arial" w:hAnsi="Arial" w:cs="Arial"/>
          <w:szCs w:val="24"/>
        </w:rPr>
        <w:t>O</w:t>
      </w:r>
      <w:r w:rsidR="00751583" w:rsidRPr="00907988">
        <w:rPr>
          <w:rFonts w:ascii="Arial" w:hAnsi="Arial" w:cs="Arial"/>
          <w:szCs w:val="24"/>
        </w:rPr>
        <w:t>s parcelamentos cooperam bastante com os contribuintes de grande e média capacidade de pagamentos que estão em situação devedora</w:t>
      </w:r>
      <w:r w:rsidR="00914204" w:rsidRPr="00907988">
        <w:rPr>
          <w:rFonts w:ascii="Arial" w:hAnsi="Arial" w:cs="Arial"/>
          <w:szCs w:val="24"/>
        </w:rPr>
        <w:t>. E</w:t>
      </w:r>
      <w:r w:rsidR="00751583" w:rsidRPr="00907988">
        <w:rPr>
          <w:rFonts w:ascii="Arial" w:hAnsi="Arial" w:cs="Arial"/>
          <w:szCs w:val="24"/>
        </w:rPr>
        <w:t>sperar, talvez, uma cobrança da dívida em cinco anos, contrair dívidas juntos a instituições financeiras ou de outros ramos da economia, como mercado imobiliário</w:t>
      </w:r>
      <w:r w:rsidR="00914204" w:rsidRPr="00907988">
        <w:rPr>
          <w:rFonts w:ascii="Arial" w:hAnsi="Arial" w:cs="Arial"/>
          <w:szCs w:val="24"/>
        </w:rPr>
        <w:t>, mobiliário ou de direitos, se mostra bastante</w:t>
      </w:r>
      <w:r w:rsidR="00751583" w:rsidRPr="00907988">
        <w:rPr>
          <w:rFonts w:ascii="Arial" w:hAnsi="Arial" w:cs="Arial"/>
          <w:szCs w:val="24"/>
        </w:rPr>
        <w:t xml:space="preserve"> vantajoso, já que caso a dívida chegue a ser cobrada, basta tão somente parcelar </w:t>
      </w:r>
      <w:r w:rsidR="00914204" w:rsidRPr="00907988">
        <w:rPr>
          <w:rFonts w:ascii="Arial" w:hAnsi="Arial" w:cs="Arial"/>
          <w:szCs w:val="24"/>
        </w:rPr>
        <w:t xml:space="preserve">o débito </w:t>
      </w:r>
      <w:r w:rsidR="00751583" w:rsidRPr="00907988">
        <w:rPr>
          <w:rFonts w:ascii="Arial" w:hAnsi="Arial" w:cs="Arial"/>
          <w:szCs w:val="24"/>
        </w:rPr>
        <w:t xml:space="preserve">para ficar em situação </w:t>
      </w:r>
      <w:r w:rsidR="00BB5FED" w:rsidRPr="00907988">
        <w:rPr>
          <w:rFonts w:ascii="Arial" w:hAnsi="Arial" w:cs="Arial"/>
          <w:szCs w:val="24"/>
        </w:rPr>
        <w:t>regular novamente. Não existindo</w:t>
      </w:r>
      <w:r w:rsidR="00751583" w:rsidRPr="00907988">
        <w:rPr>
          <w:rFonts w:ascii="Arial" w:hAnsi="Arial" w:cs="Arial"/>
          <w:szCs w:val="24"/>
        </w:rPr>
        <w:t xml:space="preserve"> o emp</w:t>
      </w:r>
      <w:r w:rsidR="00BB5FED" w:rsidRPr="00907988">
        <w:rPr>
          <w:rFonts w:ascii="Arial" w:hAnsi="Arial" w:cs="Arial"/>
          <w:szCs w:val="24"/>
        </w:rPr>
        <w:t>rego de garantias</w:t>
      </w:r>
      <w:r w:rsidR="00751583" w:rsidRPr="00907988">
        <w:rPr>
          <w:rFonts w:ascii="Arial" w:hAnsi="Arial" w:cs="Arial"/>
          <w:szCs w:val="24"/>
        </w:rPr>
        <w:t xml:space="preserve"> qu</w:t>
      </w:r>
      <w:r w:rsidR="00BB5FED" w:rsidRPr="00907988">
        <w:rPr>
          <w:rFonts w:ascii="Arial" w:hAnsi="Arial" w:cs="Arial"/>
          <w:szCs w:val="24"/>
        </w:rPr>
        <w:t>e auxilie</w:t>
      </w:r>
      <w:r w:rsidR="00751583" w:rsidRPr="00907988">
        <w:rPr>
          <w:rFonts w:ascii="Arial" w:hAnsi="Arial" w:cs="Arial"/>
          <w:szCs w:val="24"/>
        </w:rPr>
        <w:t xml:space="preserve"> </w:t>
      </w:r>
      <w:r w:rsidR="00BB5FED" w:rsidRPr="00907988">
        <w:rPr>
          <w:rFonts w:ascii="Arial" w:hAnsi="Arial" w:cs="Arial"/>
          <w:szCs w:val="24"/>
        </w:rPr>
        <w:t>a</w:t>
      </w:r>
      <w:r w:rsidR="00751583" w:rsidRPr="00907988">
        <w:rPr>
          <w:rFonts w:ascii="Arial" w:hAnsi="Arial" w:cs="Arial"/>
          <w:szCs w:val="24"/>
        </w:rPr>
        <w:t>os contribuintes cooperarem fielmente – nos parcelamentos – até a quitação do débito.  Em tese, o contribuinte pode enganar (parcelar para demonstrar uma preocupação, quando na verdade visa rescindir/abandonar o parcelamento</w:t>
      </w:r>
      <w:r w:rsidR="00BB5FED" w:rsidRPr="00907988">
        <w:rPr>
          <w:rFonts w:ascii="Arial" w:hAnsi="Arial" w:cs="Arial"/>
          <w:szCs w:val="24"/>
        </w:rPr>
        <w:t xml:space="preserve"> futuramente</w:t>
      </w:r>
      <w:r w:rsidR="00751583" w:rsidRPr="00907988">
        <w:rPr>
          <w:rFonts w:ascii="Arial" w:hAnsi="Arial" w:cs="Arial"/>
          <w:szCs w:val="24"/>
        </w:rPr>
        <w:t>, demonstrando que não existe essa preocupação) o credor da dívida aderindo e abandonando o parcelamento sempre que quiser</w:t>
      </w:r>
      <w:r w:rsidR="00E21A6F" w:rsidRPr="00907988">
        <w:rPr>
          <w:rFonts w:ascii="Arial" w:hAnsi="Arial" w:cs="Arial"/>
          <w:szCs w:val="24"/>
        </w:rPr>
        <w:t>,</w:t>
      </w:r>
      <w:r w:rsidR="00751583" w:rsidRPr="00907988">
        <w:rPr>
          <w:rFonts w:ascii="Arial" w:hAnsi="Arial" w:cs="Arial"/>
          <w:szCs w:val="24"/>
        </w:rPr>
        <w:t xml:space="preserve"> criando assim, um círculo vicioso: parcela, paga-se as primeiras parcelas</w:t>
      </w:r>
      <w:r w:rsidR="00E21A6F" w:rsidRPr="00907988">
        <w:rPr>
          <w:rFonts w:ascii="Arial" w:hAnsi="Arial" w:cs="Arial"/>
          <w:szCs w:val="24"/>
        </w:rPr>
        <w:t xml:space="preserve"> e rescinde-o, quando o Fisco ou a Fazenda Nacional cobrá-los</w:t>
      </w:r>
      <w:r w:rsidR="00751583" w:rsidRPr="00907988">
        <w:rPr>
          <w:rFonts w:ascii="Arial" w:hAnsi="Arial" w:cs="Arial"/>
          <w:szCs w:val="24"/>
        </w:rPr>
        <w:t xml:space="preserve"> novamente, repete-se o feito</w:t>
      </w:r>
      <w:r w:rsidR="00B7079C">
        <w:rPr>
          <w:rFonts w:ascii="Arial" w:hAnsi="Arial" w:cs="Arial"/>
          <w:szCs w:val="24"/>
        </w:rPr>
        <w:t>.</w:t>
      </w:r>
    </w:p>
    <w:p w14:paraId="033223C6" w14:textId="77777777" w:rsidR="00B7079C" w:rsidRDefault="00B7079C" w:rsidP="00A80636">
      <w:pPr>
        <w:rPr>
          <w:rFonts w:ascii="Arial" w:hAnsi="Arial" w:cs="Arial"/>
          <w:szCs w:val="24"/>
        </w:rPr>
      </w:pPr>
    </w:p>
    <w:p w14:paraId="13EC4C47" w14:textId="3AE9454C" w:rsidR="00C629B2" w:rsidRPr="00907988" w:rsidRDefault="00C629B2" w:rsidP="00A80636">
      <w:pPr>
        <w:spacing w:after="200" w:line="276" w:lineRule="auto"/>
        <w:ind w:firstLine="0"/>
        <w:jc w:val="left"/>
        <w:rPr>
          <w:rFonts w:ascii="Arial" w:hAnsi="Arial" w:cs="Arial"/>
          <w:b/>
          <w:szCs w:val="24"/>
        </w:rPr>
      </w:pPr>
      <w:r w:rsidRPr="00907988">
        <w:rPr>
          <w:rFonts w:ascii="Arial" w:hAnsi="Arial" w:cs="Arial"/>
          <w:b/>
          <w:szCs w:val="24"/>
        </w:rPr>
        <w:t>5</w:t>
      </w:r>
      <w:r w:rsidR="00733951" w:rsidRPr="00907988">
        <w:rPr>
          <w:rFonts w:ascii="Arial" w:hAnsi="Arial" w:cs="Arial"/>
          <w:b/>
          <w:szCs w:val="24"/>
        </w:rPr>
        <w:t xml:space="preserve"> CONSIDERAÇÕES FINAIS</w:t>
      </w:r>
    </w:p>
    <w:p w14:paraId="4B610A75" w14:textId="77777777" w:rsidR="001106F0" w:rsidRDefault="001106F0" w:rsidP="001106F0">
      <w:pPr>
        <w:rPr>
          <w:rFonts w:ascii="Arial" w:hAnsi="Arial" w:cs="Arial"/>
          <w:szCs w:val="24"/>
        </w:rPr>
      </w:pPr>
    </w:p>
    <w:p w14:paraId="344D34C2" w14:textId="77777777" w:rsidR="00C629B2" w:rsidRPr="00907988" w:rsidRDefault="00C629B2" w:rsidP="001106F0">
      <w:pPr>
        <w:rPr>
          <w:rFonts w:ascii="Arial" w:hAnsi="Arial" w:cs="Arial"/>
          <w:szCs w:val="24"/>
        </w:rPr>
      </w:pPr>
      <w:r w:rsidRPr="00907988">
        <w:rPr>
          <w:rFonts w:ascii="Arial" w:hAnsi="Arial" w:cs="Arial"/>
          <w:szCs w:val="24"/>
        </w:rPr>
        <w:t xml:space="preserve">Através da tributação estratégica, isto é, tributar ou não de acordo com as possíveis vantagens que se podem obter, vislumbramos algumas possíveis reações dos grandes devedores com capacidade de pagamento - de Rating A ou B. Com a teoria dos jogos e o uso de dados estatísticos, pode-se compreender os possíveis comportamentos desses contribuintes em adesão a dívidas fora da seara tributária.  </w:t>
      </w:r>
    </w:p>
    <w:p w14:paraId="0EA814CE" w14:textId="51729865" w:rsidR="001A0C79" w:rsidRPr="00907988" w:rsidRDefault="000F72BF" w:rsidP="00C629B2">
      <w:pPr>
        <w:rPr>
          <w:rFonts w:ascii="Arial" w:hAnsi="Arial" w:cs="Arial"/>
          <w:szCs w:val="24"/>
        </w:rPr>
      </w:pPr>
      <w:r w:rsidRPr="00907988">
        <w:rPr>
          <w:rFonts w:ascii="Arial" w:hAnsi="Arial" w:cs="Arial"/>
          <w:szCs w:val="24"/>
        </w:rPr>
        <w:t>O</w:t>
      </w:r>
      <w:r w:rsidR="001A0C79" w:rsidRPr="00907988">
        <w:rPr>
          <w:rFonts w:ascii="Arial" w:hAnsi="Arial" w:cs="Arial"/>
          <w:szCs w:val="24"/>
        </w:rPr>
        <w:t xml:space="preserve">s parcelamentos não </w:t>
      </w:r>
      <w:r w:rsidRPr="00907988">
        <w:rPr>
          <w:rFonts w:ascii="Arial" w:hAnsi="Arial" w:cs="Arial"/>
          <w:szCs w:val="24"/>
        </w:rPr>
        <w:t>se mostram como</w:t>
      </w:r>
      <w:r w:rsidR="001A0C79" w:rsidRPr="00907988">
        <w:rPr>
          <w:rFonts w:ascii="Arial" w:hAnsi="Arial" w:cs="Arial"/>
          <w:szCs w:val="24"/>
        </w:rPr>
        <w:t xml:space="preserve"> uma forma eficiente em arrecadação já que sempre quando possível, o aderente pode desistir ou migrar de um para outro </w:t>
      </w:r>
      <w:r w:rsidR="001A0C79" w:rsidRPr="00907988">
        <w:rPr>
          <w:rFonts w:ascii="Arial" w:hAnsi="Arial" w:cs="Arial"/>
          <w:szCs w:val="24"/>
        </w:rPr>
        <w:lastRenderedPageBreak/>
        <w:t>de acordo com o que lhe for mais vantajoso (jogar). O fato</w:t>
      </w:r>
      <w:r w:rsidRPr="00907988">
        <w:rPr>
          <w:rFonts w:ascii="Arial" w:hAnsi="Arial" w:cs="Arial"/>
          <w:szCs w:val="24"/>
        </w:rPr>
        <w:t xml:space="preserve"> é que, na maioria das oportunidades</w:t>
      </w:r>
      <w:r w:rsidR="001A0C79" w:rsidRPr="00907988">
        <w:rPr>
          <w:rFonts w:ascii="Arial" w:hAnsi="Arial" w:cs="Arial"/>
          <w:szCs w:val="24"/>
        </w:rPr>
        <w:t>, os contribuintes de fato efetuam escolhas, seja de forma conscien</w:t>
      </w:r>
      <w:r w:rsidR="00327A51" w:rsidRPr="00907988">
        <w:rPr>
          <w:rFonts w:ascii="Arial" w:hAnsi="Arial" w:cs="Arial"/>
          <w:szCs w:val="24"/>
        </w:rPr>
        <w:t>te e planejada, ou de</w:t>
      </w:r>
      <w:r w:rsidR="001A0C79" w:rsidRPr="00907988">
        <w:rPr>
          <w:rFonts w:ascii="Arial" w:hAnsi="Arial" w:cs="Arial"/>
          <w:szCs w:val="24"/>
        </w:rPr>
        <w:t xml:space="preserve"> forma intuitiva. </w:t>
      </w:r>
    </w:p>
    <w:p w14:paraId="6132E11A" w14:textId="1905288D" w:rsidR="001A0C79" w:rsidRPr="00907988" w:rsidRDefault="00CE3ED5" w:rsidP="00977752">
      <w:pPr>
        <w:rPr>
          <w:rFonts w:ascii="Arial" w:hAnsi="Arial" w:cs="Arial"/>
          <w:szCs w:val="24"/>
        </w:rPr>
      </w:pPr>
      <w:r w:rsidRPr="00907988">
        <w:rPr>
          <w:rFonts w:ascii="Arial" w:hAnsi="Arial" w:cs="Arial"/>
          <w:szCs w:val="24"/>
        </w:rPr>
        <w:t xml:space="preserve">Com </w:t>
      </w:r>
      <w:r w:rsidR="007273AE" w:rsidRPr="00907988">
        <w:rPr>
          <w:rFonts w:ascii="Arial" w:hAnsi="Arial" w:cs="Arial"/>
          <w:szCs w:val="24"/>
        </w:rPr>
        <w:t xml:space="preserve">exceção do parcelamento simplificado  </w:t>
      </w:r>
      <w:r w:rsidRPr="00907988">
        <w:rPr>
          <w:rFonts w:ascii="Arial" w:hAnsi="Arial" w:cs="Arial"/>
          <w:szCs w:val="24"/>
        </w:rPr>
        <w:t>(</w:t>
      </w:r>
      <w:r w:rsidR="007273AE" w:rsidRPr="00907988">
        <w:rPr>
          <w:rFonts w:ascii="Arial" w:hAnsi="Arial" w:cs="Arial"/>
          <w:szCs w:val="24"/>
        </w:rPr>
        <w:t>Lei Nº 10.522, De 19 de Julho de 2002, com advento da P</w:t>
      </w:r>
      <w:r w:rsidRPr="00907988">
        <w:rPr>
          <w:rFonts w:ascii="Arial" w:hAnsi="Arial" w:cs="Arial"/>
          <w:szCs w:val="24"/>
        </w:rPr>
        <w:t>ortaria</w:t>
      </w:r>
      <w:r w:rsidR="007273AE" w:rsidRPr="00907988">
        <w:rPr>
          <w:rFonts w:ascii="Arial" w:hAnsi="Arial" w:cs="Arial"/>
          <w:szCs w:val="24"/>
        </w:rPr>
        <w:t xml:space="preserve"> PGFN Nº 448 </w:t>
      </w:r>
      <w:r w:rsidRPr="00907988">
        <w:rPr>
          <w:rFonts w:ascii="Arial" w:hAnsi="Arial" w:cs="Arial"/>
          <w:szCs w:val="24"/>
        </w:rPr>
        <w:t>de</w:t>
      </w:r>
      <w:r w:rsidR="007273AE" w:rsidRPr="00907988">
        <w:rPr>
          <w:rFonts w:ascii="Arial" w:hAnsi="Arial" w:cs="Arial"/>
          <w:szCs w:val="24"/>
        </w:rPr>
        <w:t xml:space="preserve"> 13 </w:t>
      </w:r>
      <w:r w:rsidRPr="00907988">
        <w:rPr>
          <w:rFonts w:ascii="Arial" w:hAnsi="Arial" w:cs="Arial"/>
          <w:szCs w:val="24"/>
        </w:rPr>
        <w:t xml:space="preserve">de maio de </w:t>
      </w:r>
      <w:r w:rsidR="007273AE" w:rsidRPr="00907988">
        <w:rPr>
          <w:rFonts w:ascii="Arial" w:hAnsi="Arial" w:cs="Arial"/>
          <w:szCs w:val="24"/>
        </w:rPr>
        <w:t>2019</w:t>
      </w:r>
      <w:r w:rsidRPr="00907988">
        <w:rPr>
          <w:rFonts w:ascii="Arial" w:hAnsi="Arial" w:cs="Arial"/>
          <w:szCs w:val="24"/>
        </w:rPr>
        <w:t>),</w:t>
      </w:r>
      <w:r w:rsidR="007273AE" w:rsidRPr="00907988">
        <w:rPr>
          <w:rFonts w:ascii="Arial" w:hAnsi="Arial" w:cs="Arial"/>
          <w:szCs w:val="24"/>
        </w:rPr>
        <w:t xml:space="preserve"> para débitos previdenciários ou não previdenciários</w:t>
      </w:r>
      <w:r w:rsidR="002E4CAB" w:rsidRPr="00907988">
        <w:rPr>
          <w:rFonts w:ascii="Arial" w:hAnsi="Arial" w:cs="Arial"/>
          <w:szCs w:val="24"/>
        </w:rPr>
        <w:t xml:space="preserve"> igual ou superior a um milhão de reais</w:t>
      </w:r>
      <w:r w:rsidR="007273AE" w:rsidRPr="00907988">
        <w:rPr>
          <w:rFonts w:ascii="Arial" w:hAnsi="Arial" w:cs="Arial"/>
          <w:szCs w:val="24"/>
        </w:rPr>
        <w:t xml:space="preserve">, </w:t>
      </w:r>
      <w:r w:rsidR="001A0C79" w:rsidRPr="00907988">
        <w:rPr>
          <w:rFonts w:ascii="Arial" w:hAnsi="Arial" w:cs="Arial"/>
          <w:szCs w:val="24"/>
        </w:rPr>
        <w:t>não se encontra</w:t>
      </w:r>
      <w:r w:rsidR="007273AE" w:rsidRPr="00907988">
        <w:rPr>
          <w:rFonts w:ascii="Arial" w:hAnsi="Arial" w:cs="Arial"/>
          <w:szCs w:val="24"/>
        </w:rPr>
        <w:t xml:space="preserve"> nenhum outro programa de parcelamento que exija alguma garantia para sua adesão, quer seja</w:t>
      </w:r>
      <w:r w:rsidR="002E4CAB" w:rsidRPr="00907988">
        <w:rPr>
          <w:rFonts w:ascii="Arial" w:hAnsi="Arial" w:cs="Arial"/>
          <w:szCs w:val="24"/>
        </w:rPr>
        <w:t xml:space="preserve"> na</w:t>
      </w:r>
      <w:r w:rsidR="007273AE" w:rsidRPr="00907988">
        <w:rPr>
          <w:rFonts w:ascii="Arial" w:hAnsi="Arial" w:cs="Arial"/>
          <w:szCs w:val="24"/>
        </w:rPr>
        <w:t xml:space="preserve"> via administrativa ou na</w:t>
      </w:r>
      <w:r w:rsidR="001A0C79" w:rsidRPr="00907988">
        <w:rPr>
          <w:rFonts w:ascii="Arial" w:hAnsi="Arial" w:cs="Arial"/>
          <w:szCs w:val="24"/>
        </w:rPr>
        <w:t xml:space="preserve"> judicial p</w:t>
      </w:r>
      <w:r w:rsidR="007273AE" w:rsidRPr="00907988">
        <w:rPr>
          <w:rFonts w:ascii="Arial" w:hAnsi="Arial" w:cs="Arial"/>
          <w:szCs w:val="24"/>
        </w:rPr>
        <w:t>ara os</w:t>
      </w:r>
      <w:r w:rsidR="001A0C79" w:rsidRPr="00907988">
        <w:rPr>
          <w:rFonts w:ascii="Arial" w:hAnsi="Arial" w:cs="Arial"/>
          <w:szCs w:val="24"/>
        </w:rPr>
        <w:t xml:space="preserve"> contribuintes</w:t>
      </w:r>
      <w:r w:rsidR="007273AE" w:rsidRPr="00907988">
        <w:rPr>
          <w:rFonts w:ascii="Arial" w:hAnsi="Arial" w:cs="Arial"/>
          <w:szCs w:val="24"/>
        </w:rPr>
        <w:t xml:space="preserve"> no geral. O</w:t>
      </w:r>
      <w:r w:rsidR="001A0C79" w:rsidRPr="00907988">
        <w:rPr>
          <w:rFonts w:ascii="Arial" w:hAnsi="Arial" w:cs="Arial"/>
          <w:szCs w:val="24"/>
        </w:rPr>
        <w:t xml:space="preserve"> aderente</w:t>
      </w:r>
      <w:r w:rsidR="007273AE" w:rsidRPr="00907988">
        <w:rPr>
          <w:rFonts w:ascii="Arial" w:hAnsi="Arial" w:cs="Arial"/>
          <w:szCs w:val="24"/>
        </w:rPr>
        <w:t xml:space="preserve"> com capacidade de pagamentos, </w:t>
      </w:r>
      <w:r w:rsidR="001A0C79" w:rsidRPr="00907988">
        <w:rPr>
          <w:rFonts w:ascii="Arial" w:hAnsi="Arial" w:cs="Arial"/>
          <w:szCs w:val="24"/>
        </w:rPr>
        <w:t>nas possibilidades</w:t>
      </w:r>
      <w:r w:rsidRPr="00907988">
        <w:rPr>
          <w:rFonts w:ascii="Arial" w:hAnsi="Arial" w:cs="Arial"/>
          <w:szCs w:val="24"/>
        </w:rPr>
        <w:t xml:space="preserve"> que se pode perceber nos quadros</w:t>
      </w:r>
      <w:r w:rsidR="007273AE" w:rsidRPr="00907988">
        <w:rPr>
          <w:rFonts w:ascii="Arial" w:hAnsi="Arial" w:cs="Arial"/>
          <w:szCs w:val="24"/>
        </w:rPr>
        <w:t xml:space="preserve"> 1 e 2</w:t>
      </w:r>
      <w:r w:rsidR="001A0C79" w:rsidRPr="00907988">
        <w:rPr>
          <w:rFonts w:ascii="Arial" w:hAnsi="Arial" w:cs="Arial"/>
          <w:szCs w:val="24"/>
        </w:rPr>
        <w:t>, se</w:t>
      </w:r>
      <w:r w:rsidR="005809F3" w:rsidRPr="00907988">
        <w:rPr>
          <w:rFonts w:ascii="Arial" w:hAnsi="Arial" w:cs="Arial"/>
          <w:szCs w:val="24"/>
        </w:rPr>
        <w:t>mpre terá liberdade de rescindir</w:t>
      </w:r>
      <w:r w:rsidR="001A0C79" w:rsidRPr="00907988">
        <w:rPr>
          <w:rFonts w:ascii="Arial" w:hAnsi="Arial" w:cs="Arial"/>
          <w:szCs w:val="24"/>
        </w:rPr>
        <w:t xml:space="preserve"> ou</w:t>
      </w:r>
      <w:r w:rsidR="002F40AD" w:rsidRPr="00907988">
        <w:rPr>
          <w:rFonts w:ascii="Arial" w:hAnsi="Arial" w:cs="Arial"/>
          <w:szCs w:val="24"/>
        </w:rPr>
        <w:t>,</w:t>
      </w:r>
      <w:r w:rsidR="001A0C79" w:rsidRPr="00907988">
        <w:rPr>
          <w:rFonts w:ascii="Arial" w:hAnsi="Arial" w:cs="Arial"/>
          <w:szCs w:val="24"/>
        </w:rPr>
        <w:t xml:space="preserve"> </w:t>
      </w:r>
      <w:r w:rsidR="005809F3" w:rsidRPr="00907988">
        <w:rPr>
          <w:rFonts w:ascii="Arial" w:hAnsi="Arial" w:cs="Arial"/>
          <w:szCs w:val="24"/>
        </w:rPr>
        <w:t xml:space="preserve">na instituição de uma nova modalidade, </w:t>
      </w:r>
      <w:r w:rsidR="001A0C79" w:rsidRPr="00907988">
        <w:rPr>
          <w:rFonts w:ascii="Arial" w:hAnsi="Arial" w:cs="Arial"/>
          <w:szCs w:val="24"/>
        </w:rPr>
        <w:t>migrar d</w:t>
      </w:r>
      <w:r w:rsidR="005809F3" w:rsidRPr="00907988">
        <w:rPr>
          <w:rFonts w:ascii="Arial" w:hAnsi="Arial" w:cs="Arial"/>
          <w:szCs w:val="24"/>
        </w:rPr>
        <w:t>e parcelamento, uma vez que não existe</w:t>
      </w:r>
      <w:r w:rsidR="002E4CAB" w:rsidRPr="00907988">
        <w:rPr>
          <w:rFonts w:ascii="Arial" w:hAnsi="Arial" w:cs="Arial"/>
          <w:szCs w:val="24"/>
        </w:rPr>
        <w:t>m</w:t>
      </w:r>
      <w:r w:rsidR="005809F3" w:rsidRPr="00907988">
        <w:rPr>
          <w:rFonts w:ascii="Arial" w:hAnsi="Arial" w:cs="Arial"/>
          <w:szCs w:val="24"/>
        </w:rPr>
        <w:t xml:space="preserve"> empecilhos</w:t>
      </w:r>
      <w:r w:rsidR="002F40AD" w:rsidRPr="00907988">
        <w:rPr>
          <w:rFonts w:ascii="Arial" w:hAnsi="Arial" w:cs="Arial"/>
          <w:szCs w:val="24"/>
        </w:rPr>
        <w:t xml:space="preserve"> maiores</w:t>
      </w:r>
      <w:r w:rsidR="001A0C79" w:rsidRPr="00907988">
        <w:rPr>
          <w:rFonts w:ascii="Arial" w:hAnsi="Arial" w:cs="Arial"/>
          <w:szCs w:val="24"/>
        </w:rPr>
        <w:t xml:space="preserve"> </w:t>
      </w:r>
      <w:r w:rsidR="005809F3" w:rsidRPr="00907988">
        <w:rPr>
          <w:rFonts w:ascii="Arial" w:hAnsi="Arial" w:cs="Arial"/>
          <w:szCs w:val="24"/>
        </w:rPr>
        <w:t xml:space="preserve">que </w:t>
      </w:r>
      <w:r w:rsidR="001A0C79" w:rsidRPr="00907988">
        <w:rPr>
          <w:rFonts w:ascii="Arial" w:hAnsi="Arial" w:cs="Arial"/>
          <w:szCs w:val="24"/>
        </w:rPr>
        <w:t>o</w:t>
      </w:r>
      <w:r w:rsidR="002E4CAB" w:rsidRPr="00907988">
        <w:rPr>
          <w:rFonts w:ascii="Arial" w:hAnsi="Arial" w:cs="Arial"/>
          <w:szCs w:val="24"/>
        </w:rPr>
        <w:t>s obriguem a cumprir o acordo</w:t>
      </w:r>
      <w:r w:rsidR="001A0C79" w:rsidRPr="00907988">
        <w:rPr>
          <w:rFonts w:ascii="Arial" w:hAnsi="Arial" w:cs="Arial"/>
          <w:szCs w:val="24"/>
        </w:rPr>
        <w:t xml:space="preserve"> fielmente.</w:t>
      </w:r>
      <w:r w:rsidR="00C629B2" w:rsidRPr="00907988">
        <w:rPr>
          <w:rFonts w:ascii="Arial" w:hAnsi="Arial" w:cs="Arial"/>
        </w:rPr>
        <w:t xml:space="preserve"> </w:t>
      </w:r>
    </w:p>
    <w:p w14:paraId="21ED8319" w14:textId="77777777" w:rsidR="008E2A7D" w:rsidRPr="00907988" w:rsidRDefault="008E2A7D" w:rsidP="00977752">
      <w:pPr>
        <w:rPr>
          <w:rFonts w:ascii="Arial" w:hAnsi="Arial" w:cs="Arial"/>
          <w:szCs w:val="24"/>
        </w:rPr>
      </w:pPr>
      <w:r w:rsidRPr="00907988">
        <w:rPr>
          <w:rFonts w:ascii="Arial" w:hAnsi="Arial" w:cs="Arial"/>
          <w:szCs w:val="24"/>
        </w:rPr>
        <w:t xml:space="preserve">As leis instituidoras de parcelamentos no âmbito federal, por exemplo, Programa de Recuperação Fiscal – REFIS, Parcelamento Especial – PAES e Parcelamento Extraordinário – PAEX, não exigiam – ao tempo de suas instituições – alguma forma de garantia para a sua adesão pelos grandes devedores com capacidade de pagamentos. </w:t>
      </w:r>
    </w:p>
    <w:p w14:paraId="2FCB1B3E" w14:textId="049FD8E6" w:rsidR="008E2A7D" w:rsidRPr="00907988" w:rsidRDefault="008E2A7D" w:rsidP="00977752">
      <w:pPr>
        <w:rPr>
          <w:rFonts w:ascii="Arial" w:hAnsi="Arial" w:cs="Arial"/>
          <w:szCs w:val="24"/>
        </w:rPr>
      </w:pPr>
      <w:r w:rsidRPr="00907988">
        <w:rPr>
          <w:rFonts w:ascii="Arial" w:hAnsi="Arial" w:cs="Arial"/>
          <w:szCs w:val="24"/>
        </w:rPr>
        <w:t xml:space="preserve">Os grandes devedores com capacidade de pagamentos são aqueles que possuem dívidas acima de quinze milhões de reais junto à Procuradoria da Fazenda Nacional, inscritos em dívida ativa da união, cobradas administrativamente ou judicialmente em execução fiscal. A capacidade de pagamento está pautada na capacidade destes devedores estarem aptos a qualquer momento saldar suas dívidas por serem detentores de bens ou direitos úteis, de grandes receitas, negócios, ou domínio de mercado em âmbito regional e nacional.  </w:t>
      </w:r>
    </w:p>
    <w:p w14:paraId="46A90521" w14:textId="1DE0E61A" w:rsidR="008E2A7D" w:rsidRPr="00907988" w:rsidRDefault="008E2A7D" w:rsidP="00977752">
      <w:pPr>
        <w:rPr>
          <w:rFonts w:ascii="Arial" w:hAnsi="Arial" w:cs="Arial"/>
          <w:szCs w:val="24"/>
        </w:rPr>
      </w:pPr>
      <w:r w:rsidRPr="00907988">
        <w:rPr>
          <w:rFonts w:ascii="Arial" w:hAnsi="Arial" w:cs="Arial"/>
          <w:szCs w:val="24"/>
        </w:rPr>
        <w:t xml:space="preserve">Ter capacidade de regular suas dívidas possibilita a estes contribuintes a chance de procrastinar suas dívidas ao invés de quitá-las, fazendo surgir uma cultura de inadimplência. Ainda que o Fisco esteja evidenciado quanto à dívida devidamente constituída, a depender de suas circunstâncias, é vantajoso regular as dívidas quitando-as por meio de parcelas a pagar regularmente os tributos – não esquecendo que pode haver a cobrança de dívida prescrita. Havendo um pagamento pequeno por meio das parcelas mensais, caso não esteja prescrita a exigibilidade, o que resta para o contribuinte com grande capacidade é a oportunidade de aplicar o que não foi direcionado ao Fisco aos mais diversos ramos da economia, como aquisição de bens </w:t>
      </w:r>
      <w:r w:rsidRPr="00907988">
        <w:rPr>
          <w:rFonts w:ascii="Arial" w:hAnsi="Arial" w:cs="Arial"/>
          <w:szCs w:val="24"/>
        </w:rPr>
        <w:lastRenderedPageBreak/>
        <w:t>móveis, imóveis ou direitos, a aplicação em bolsas de valores e assim sucessivamente, enquanto a arrecadação fica comprometida.</w:t>
      </w:r>
    </w:p>
    <w:p w14:paraId="77F27A1C" w14:textId="77777777" w:rsidR="00CD0F83" w:rsidRPr="00907988" w:rsidRDefault="002F40AD" w:rsidP="00977752">
      <w:pPr>
        <w:rPr>
          <w:rFonts w:ascii="Arial" w:hAnsi="Arial" w:cs="Arial"/>
          <w:szCs w:val="24"/>
        </w:rPr>
      </w:pPr>
      <w:r w:rsidRPr="00907988">
        <w:rPr>
          <w:rFonts w:ascii="Arial" w:hAnsi="Arial" w:cs="Arial"/>
          <w:szCs w:val="24"/>
        </w:rPr>
        <w:t>A garantia se mostra</w:t>
      </w:r>
      <w:r w:rsidR="001A0C79" w:rsidRPr="00907988">
        <w:rPr>
          <w:rFonts w:ascii="Arial" w:hAnsi="Arial" w:cs="Arial"/>
          <w:szCs w:val="24"/>
        </w:rPr>
        <w:t xml:space="preserve"> boa opção em reduzir a atuação estratégic</w:t>
      </w:r>
      <w:r w:rsidR="009A6719" w:rsidRPr="00907988">
        <w:rPr>
          <w:rFonts w:ascii="Arial" w:hAnsi="Arial" w:cs="Arial"/>
          <w:szCs w:val="24"/>
        </w:rPr>
        <w:t>a dos devedores com alta</w:t>
      </w:r>
      <w:r w:rsidR="001A0C79" w:rsidRPr="00907988">
        <w:rPr>
          <w:rFonts w:ascii="Arial" w:hAnsi="Arial" w:cs="Arial"/>
          <w:szCs w:val="24"/>
        </w:rPr>
        <w:t xml:space="preserve"> capacidade contributiva na seara dos parcelamentos, evitando os jogos entre credor e devedor</w:t>
      </w:r>
      <w:r w:rsidR="003B3618" w:rsidRPr="00907988">
        <w:rPr>
          <w:rFonts w:ascii="Arial" w:hAnsi="Arial" w:cs="Arial"/>
          <w:szCs w:val="24"/>
        </w:rPr>
        <w:t>, pois</w:t>
      </w:r>
      <w:r w:rsidR="009A6719" w:rsidRPr="00907988">
        <w:rPr>
          <w:rFonts w:ascii="Arial" w:hAnsi="Arial" w:cs="Arial"/>
          <w:szCs w:val="24"/>
        </w:rPr>
        <w:t xml:space="preserve">, </w:t>
      </w:r>
      <w:r w:rsidR="003B3618" w:rsidRPr="00907988">
        <w:rPr>
          <w:rFonts w:ascii="Arial" w:hAnsi="Arial" w:cs="Arial"/>
          <w:szCs w:val="24"/>
        </w:rPr>
        <w:t>os juros e descontos</w:t>
      </w:r>
      <w:r w:rsidR="00CD0F83" w:rsidRPr="00907988">
        <w:rPr>
          <w:rFonts w:ascii="Arial" w:hAnsi="Arial" w:cs="Arial"/>
          <w:szCs w:val="24"/>
        </w:rPr>
        <w:t xml:space="preserve"> se mostram</w:t>
      </w:r>
      <w:r w:rsidR="003B3618" w:rsidRPr="00907988">
        <w:rPr>
          <w:rFonts w:ascii="Arial" w:hAnsi="Arial" w:cs="Arial"/>
          <w:szCs w:val="24"/>
        </w:rPr>
        <w:t xml:space="preserve"> vantajosos para aqueles que possuem capacidade de pagamento. </w:t>
      </w:r>
      <w:r w:rsidRPr="00907988">
        <w:rPr>
          <w:rFonts w:ascii="Arial" w:hAnsi="Arial" w:cs="Arial"/>
          <w:szCs w:val="24"/>
        </w:rPr>
        <w:t>Uma</w:t>
      </w:r>
      <w:r w:rsidR="001A0C79" w:rsidRPr="00907988">
        <w:rPr>
          <w:rFonts w:ascii="Arial" w:hAnsi="Arial" w:cs="Arial"/>
          <w:szCs w:val="24"/>
        </w:rPr>
        <w:t xml:space="preserve"> vez que deixasse de cumprir o parcelamento por qualquer que fosse o motivo, o devedor com grande capacidade, certamente teria maior cuidado em romper o parcelamento aderido, sabendo que possui um bem</w:t>
      </w:r>
      <w:r w:rsidR="00C7288F" w:rsidRPr="00907988">
        <w:rPr>
          <w:rFonts w:ascii="Arial" w:hAnsi="Arial" w:cs="Arial"/>
          <w:szCs w:val="24"/>
        </w:rPr>
        <w:t xml:space="preserve"> ou direito</w:t>
      </w:r>
      <w:r w:rsidR="001A0C79" w:rsidRPr="00907988">
        <w:rPr>
          <w:rFonts w:ascii="Arial" w:hAnsi="Arial" w:cs="Arial"/>
          <w:szCs w:val="24"/>
        </w:rPr>
        <w:t xml:space="preserve"> constrito em virtude de sua adesão. </w:t>
      </w:r>
    </w:p>
    <w:p w14:paraId="2C4371F1" w14:textId="4FE6652E" w:rsidR="00E42372" w:rsidRPr="00907988" w:rsidRDefault="00157FC1" w:rsidP="00977752">
      <w:pPr>
        <w:rPr>
          <w:rFonts w:ascii="Arial" w:hAnsi="Arial" w:cs="Arial"/>
          <w:szCs w:val="24"/>
        </w:rPr>
      </w:pPr>
      <w:r w:rsidRPr="00907988">
        <w:rPr>
          <w:rFonts w:ascii="Arial" w:hAnsi="Arial" w:cs="Arial"/>
          <w:szCs w:val="24"/>
        </w:rPr>
        <w:t xml:space="preserve">Seria possível se conceber a uma concorrência desleal se compararmos a vantagem do comportamento evasivo dos que não pagam seus tributos regularmente aos que pagam, esta possibilidade seria diminuída. </w:t>
      </w:r>
      <w:r w:rsidR="00CD0F83" w:rsidRPr="00907988">
        <w:rPr>
          <w:rFonts w:ascii="Arial" w:hAnsi="Arial" w:cs="Arial"/>
          <w:szCs w:val="24"/>
        </w:rPr>
        <w:t>Como pode observar n</w:t>
      </w:r>
      <w:r w:rsidRPr="00907988">
        <w:rPr>
          <w:rFonts w:ascii="Arial" w:hAnsi="Arial" w:cs="Arial"/>
          <w:szCs w:val="24"/>
        </w:rPr>
        <w:t>o Quadro</w:t>
      </w:r>
      <w:r w:rsidR="008F5289" w:rsidRPr="00907988">
        <w:rPr>
          <w:rFonts w:ascii="Arial" w:hAnsi="Arial" w:cs="Arial"/>
          <w:szCs w:val="24"/>
        </w:rPr>
        <w:t xml:space="preserve"> 5</w:t>
      </w:r>
      <w:r w:rsidR="00C90A75" w:rsidRPr="00907988">
        <w:rPr>
          <w:rFonts w:ascii="Arial" w:hAnsi="Arial" w:cs="Arial"/>
          <w:szCs w:val="24"/>
        </w:rPr>
        <w:t xml:space="preserve">, o contribuinte dispõe da possibilidade de pagar, e ainda que muito dificilmente o Fisco negligencie e incorra na decadência, o devedor pode priorizar as possíveis dívidas ou empréstimos bancários aderidos e quitá-los </w:t>
      </w:r>
      <w:r w:rsidR="00205C48" w:rsidRPr="00907988">
        <w:rPr>
          <w:rFonts w:ascii="Arial" w:hAnsi="Arial" w:cs="Arial"/>
          <w:szCs w:val="24"/>
        </w:rPr>
        <w:t xml:space="preserve">ao invés de priorizar o parcelamento. Isso </w:t>
      </w:r>
      <w:r w:rsidRPr="00907988">
        <w:rPr>
          <w:rFonts w:ascii="Arial" w:hAnsi="Arial" w:cs="Arial"/>
          <w:szCs w:val="24"/>
        </w:rPr>
        <w:t xml:space="preserve">ocorre </w:t>
      </w:r>
      <w:r w:rsidR="00205C48" w:rsidRPr="00907988">
        <w:rPr>
          <w:rFonts w:ascii="Arial" w:hAnsi="Arial" w:cs="Arial"/>
          <w:szCs w:val="24"/>
        </w:rPr>
        <w:t xml:space="preserve">pelo fato de o contribuinte ter a ciência </w:t>
      </w:r>
      <w:r w:rsidR="00803FF4" w:rsidRPr="00907988">
        <w:rPr>
          <w:rFonts w:ascii="Arial" w:hAnsi="Arial" w:cs="Arial"/>
          <w:szCs w:val="24"/>
        </w:rPr>
        <w:t xml:space="preserve">que os parcelamentos sempre vão estar disponíveis para sua adesão e munido de vantagens.  </w:t>
      </w:r>
    </w:p>
    <w:p w14:paraId="32770870" w14:textId="1005E83D" w:rsidR="001A0C79" w:rsidRPr="00907988" w:rsidRDefault="00695481" w:rsidP="00977752">
      <w:pPr>
        <w:rPr>
          <w:rFonts w:ascii="Arial" w:hAnsi="Arial" w:cs="Arial"/>
          <w:szCs w:val="24"/>
        </w:rPr>
      </w:pPr>
      <w:r w:rsidRPr="00907988">
        <w:rPr>
          <w:rFonts w:ascii="Arial" w:hAnsi="Arial" w:cs="Arial"/>
          <w:szCs w:val="24"/>
        </w:rPr>
        <w:t>Frente a essa possibilidade, se o devedor pensar em adquirir bens e direitos</w:t>
      </w:r>
      <w:r w:rsidR="00E42372" w:rsidRPr="00907988">
        <w:rPr>
          <w:rFonts w:ascii="Arial" w:hAnsi="Arial" w:cs="Arial"/>
          <w:szCs w:val="24"/>
        </w:rPr>
        <w:t xml:space="preserve"> para crescimento do negócio, e lhe sobrevier</w:t>
      </w:r>
      <w:r w:rsidRPr="00907988">
        <w:rPr>
          <w:rFonts w:ascii="Arial" w:hAnsi="Arial" w:cs="Arial"/>
          <w:szCs w:val="24"/>
        </w:rPr>
        <w:t xml:space="preserve"> </w:t>
      </w:r>
      <w:r w:rsidR="00974FFE" w:rsidRPr="00907988">
        <w:rPr>
          <w:rFonts w:ascii="Arial" w:hAnsi="Arial" w:cs="Arial"/>
          <w:szCs w:val="24"/>
        </w:rPr>
        <w:t>a cobrança, não há maiores preocupações</w:t>
      </w:r>
      <w:r w:rsidRPr="00907988">
        <w:rPr>
          <w:rFonts w:ascii="Arial" w:hAnsi="Arial" w:cs="Arial"/>
          <w:szCs w:val="24"/>
        </w:rPr>
        <w:t>, já que ele</w:t>
      </w:r>
      <w:r w:rsidR="00974FFE" w:rsidRPr="00907988">
        <w:rPr>
          <w:rFonts w:ascii="Arial" w:hAnsi="Arial" w:cs="Arial"/>
          <w:szCs w:val="24"/>
        </w:rPr>
        <w:t xml:space="preserve"> poderá parcelar</w:t>
      </w:r>
      <w:r w:rsidRPr="00907988">
        <w:rPr>
          <w:rFonts w:ascii="Arial" w:hAnsi="Arial" w:cs="Arial"/>
          <w:szCs w:val="24"/>
        </w:rPr>
        <w:t xml:space="preserve"> e </w:t>
      </w:r>
      <w:r w:rsidR="00EB7156" w:rsidRPr="00907988">
        <w:rPr>
          <w:rFonts w:ascii="Arial" w:hAnsi="Arial" w:cs="Arial"/>
          <w:szCs w:val="24"/>
        </w:rPr>
        <w:t>continuará a concluir esses possíveis investimentos. Já os contribuintes que se sujeitam</w:t>
      </w:r>
      <w:r w:rsidR="00157FC1" w:rsidRPr="00907988">
        <w:rPr>
          <w:rFonts w:ascii="Arial" w:hAnsi="Arial" w:cs="Arial"/>
          <w:szCs w:val="24"/>
        </w:rPr>
        <w:t xml:space="preserve"> ao pagamento regular da sua carga tributária, s</w:t>
      </w:r>
      <w:r w:rsidR="001A32F8" w:rsidRPr="00907988">
        <w:rPr>
          <w:rFonts w:ascii="Arial" w:hAnsi="Arial" w:cs="Arial"/>
          <w:szCs w:val="24"/>
        </w:rPr>
        <w:t>empre estarão restr</w:t>
      </w:r>
      <w:r w:rsidR="009A59F8" w:rsidRPr="00907988">
        <w:rPr>
          <w:rFonts w:ascii="Arial" w:hAnsi="Arial" w:cs="Arial"/>
          <w:szCs w:val="24"/>
        </w:rPr>
        <w:t>itos a cumprir corriqueiramente suas obrigações</w:t>
      </w:r>
      <w:r w:rsidR="001A32F8" w:rsidRPr="00907988">
        <w:rPr>
          <w:rFonts w:ascii="Arial" w:hAnsi="Arial" w:cs="Arial"/>
          <w:szCs w:val="24"/>
        </w:rPr>
        <w:t xml:space="preserve"> e</w:t>
      </w:r>
      <w:r w:rsidR="009A59F8" w:rsidRPr="00907988">
        <w:rPr>
          <w:rFonts w:ascii="Arial" w:hAnsi="Arial" w:cs="Arial"/>
          <w:szCs w:val="24"/>
        </w:rPr>
        <w:t xml:space="preserve"> os possibilitando a</w:t>
      </w:r>
      <w:r w:rsidR="001A32F8" w:rsidRPr="00907988">
        <w:rPr>
          <w:rFonts w:ascii="Arial" w:hAnsi="Arial" w:cs="Arial"/>
          <w:szCs w:val="24"/>
        </w:rPr>
        <w:t xml:space="preserve"> investir</w:t>
      </w:r>
      <w:r w:rsidR="009A59F8" w:rsidRPr="00907988">
        <w:rPr>
          <w:rFonts w:ascii="Arial" w:hAnsi="Arial" w:cs="Arial"/>
          <w:szCs w:val="24"/>
        </w:rPr>
        <w:t xml:space="preserve"> menos, o que pode desencadear</w:t>
      </w:r>
      <w:r w:rsidR="001A32F8" w:rsidRPr="00907988">
        <w:rPr>
          <w:rFonts w:ascii="Arial" w:hAnsi="Arial" w:cs="Arial"/>
          <w:szCs w:val="24"/>
        </w:rPr>
        <w:t xml:space="preserve"> o interesse em jogar nas regras do parcelamento</w:t>
      </w:r>
      <w:r w:rsidR="009A59F8" w:rsidRPr="00907988">
        <w:rPr>
          <w:rFonts w:ascii="Arial" w:hAnsi="Arial" w:cs="Arial"/>
          <w:szCs w:val="24"/>
        </w:rPr>
        <w:t xml:space="preserve"> e</w:t>
      </w:r>
      <w:r w:rsidR="00B161FA" w:rsidRPr="00907988">
        <w:rPr>
          <w:rFonts w:ascii="Arial" w:hAnsi="Arial" w:cs="Arial"/>
          <w:szCs w:val="24"/>
        </w:rPr>
        <w:t xml:space="preserve"> seguir</w:t>
      </w:r>
      <w:r w:rsidR="009A59F8" w:rsidRPr="00907988">
        <w:rPr>
          <w:rFonts w:ascii="Arial" w:hAnsi="Arial" w:cs="Arial"/>
          <w:szCs w:val="24"/>
        </w:rPr>
        <w:t xml:space="preserve"> ao exemplo dos que parcelam</w:t>
      </w:r>
      <w:r w:rsidR="00B161FA" w:rsidRPr="00907988">
        <w:rPr>
          <w:rFonts w:ascii="Arial" w:hAnsi="Arial" w:cs="Arial"/>
          <w:szCs w:val="24"/>
        </w:rPr>
        <w:t xml:space="preserve"> no sentido de propor as dívidas, findando por</w:t>
      </w:r>
      <w:r w:rsidR="00E42372" w:rsidRPr="00907988">
        <w:rPr>
          <w:rFonts w:ascii="Arial" w:hAnsi="Arial" w:cs="Arial"/>
          <w:szCs w:val="24"/>
        </w:rPr>
        <w:t xml:space="preserve"> adentrar </w:t>
      </w:r>
      <w:r w:rsidR="00B161FA" w:rsidRPr="00907988">
        <w:rPr>
          <w:rFonts w:ascii="Arial" w:hAnsi="Arial" w:cs="Arial"/>
          <w:szCs w:val="24"/>
        </w:rPr>
        <w:t xml:space="preserve">nessa esfera de </w:t>
      </w:r>
      <w:r w:rsidR="00314675" w:rsidRPr="00907988">
        <w:rPr>
          <w:rFonts w:ascii="Arial" w:hAnsi="Arial" w:cs="Arial"/>
          <w:szCs w:val="24"/>
        </w:rPr>
        <w:t>protrair seus débitos ou obrigações</w:t>
      </w:r>
      <w:r w:rsidR="00E42372" w:rsidRPr="00907988">
        <w:rPr>
          <w:rFonts w:ascii="Arial" w:hAnsi="Arial" w:cs="Arial"/>
          <w:szCs w:val="24"/>
        </w:rPr>
        <w:t xml:space="preserve">. </w:t>
      </w:r>
    </w:p>
    <w:p w14:paraId="1B8B7B05" w14:textId="05B241AA" w:rsidR="001A0C79" w:rsidRPr="00907988" w:rsidRDefault="001A0C79" w:rsidP="00977752">
      <w:pPr>
        <w:rPr>
          <w:rFonts w:ascii="Arial" w:hAnsi="Arial" w:cs="Arial"/>
          <w:szCs w:val="24"/>
        </w:rPr>
      </w:pPr>
      <w:r w:rsidRPr="00907988">
        <w:rPr>
          <w:rFonts w:ascii="Arial" w:hAnsi="Arial" w:cs="Arial"/>
          <w:szCs w:val="24"/>
        </w:rPr>
        <w:t>Usando o equilíbrio de Nash, os contribuintes ao solicitar</w:t>
      </w:r>
      <w:r w:rsidR="00C7288F" w:rsidRPr="00907988">
        <w:rPr>
          <w:rFonts w:ascii="Arial" w:hAnsi="Arial" w:cs="Arial"/>
          <w:szCs w:val="24"/>
        </w:rPr>
        <w:t xml:space="preserve"> a adesão de</w:t>
      </w:r>
      <w:r w:rsidRPr="00907988">
        <w:rPr>
          <w:rFonts w:ascii="Arial" w:hAnsi="Arial" w:cs="Arial"/>
          <w:szCs w:val="24"/>
        </w:rPr>
        <w:t xml:space="preserve"> parcelamento, ofereceriam garantias suficientes</w:t>
      </w:r>
      <w:r w:rsidR="00157FC1" w:rsidRPr="00907988">
        <w:rPr>
          <w:rFonts w:ascii="Arial" w:hAnsi="Arial" w:cs="Arial"/>
          <w:szCs w:val="24"/>
        </w:rPr>
        <w:t>.</w:t>
      </w:r>
      <w:r w:rsidR="005B12C9" w:rsidRPr="00907988">
        <w:rPr>
          <w:rFonts w:ascii="Arial" w:hAnsi="Arial" w:cs="Arial"/>
          <w:szCs w:val="24"/>
        </w:rPr>
        <w:t xml:space="preserve"> </w:t>
      </w:r>
      <w:r w:rsidR="00157FC1" w:rsidRPr="00907988">
        <w:rPr>
          <w:rFonts w:ascii="Arial" w:hAnsi="Arial" w:cs="Arial"/>
          <w:szCs w:val="24"/>
        </w:rPr>
        <w:t>A</w:t>
      </w:r>
      <w:r w:rsidR="005B12C9" w:rsidRPr="00907988">
        <w:rPr>
          <w:rFonts w:ascii="Arial" w:hAnsi="Arial" w:cs="Arial"/>
          <w:szCs w:val="24"/>
        </w:rPr>
        <w:t xml:space="preserve"> maior parte dos aderentes a </w:t>
      </w:r>
      <w:r w:rsidR="006530A8" w:rsidRPr="00907988">
        <w:rPr>
          <w:rFonts w:ascii="Arial" w:hAnsi="Arial" w:cs="Arial"/>
          <w:szCs w:val="24"/>
        </w:rPr>
        <w:t>parcelamentos especiais no Brasil</w:t>
      </w:r>
      <w:r w:rsidR="005B12C9" w:rsidRPr="00907988">
        <w:rPr>
          <w:rFonts w:ascii="Arial" w:hAnsi="Arial" w:cs="Arial"/>
          <w:szCs w:val="24"/>
        </w:rPr>
        <w:t>, por exemplo</w:t>
      </w:r>
      <w:r w:rsidR="006530A8" w:rsidRPr="00907988">
        <w:rPr>
          <w:rFonts w:ascii="Arial" w:hAnsi="Arial" w:cs="Arial"/>
          <w:szCs w:val="24"/>
        </w:rPr>
        <w:t>, são aqueles com capacidade de arcar com os tributos ainda que a carga tributária nacional seja alta</w:t>
      </w:r>
      <w:r w:rsidRPr="00907988">
        <w:rPr>
          <w:rFonts w:ascii="Arial" w:hAnsi="Arial" w:cs="Arial"/>
          <w:szCs w:val="24"/>
        </w:rPr>
        <w:t xml:space="preserve">. Os parcelamentos de forma demonstrada até aqui, são vantajosos </w:t>
      </w:r>
      <w:r w:rsidR="001B7FE5" w:rsidRPr="00907988">
        <w:rPr>
          <w:rFonts w:ascii="Arial" w:hAnsi="Arial" w:cs="Arial"/>
          <w:szCs w:val="24"/>
        </w:rPr>
        <w:t xml:space="preserve">para todo aquele que dispõe de </w:t>
      </w:r>
      <w:r w:rsidR="00DF60CE" w:rsidRPr="00907988">
        <w:rPr>
          <w:rFonts w:ascii="Arial" w:hAnsi="Arial" w:cs="Arial"/>
          <w:szCs w:val="24"/>
        </w:rPr>
        <w:t>condições suficientes para manterem-se regulares ante suas dívidas inscritas no âmbito da União. O</w:t>
      </w:r>
      <w:r w:rsidRPr="00907988">
        <w:rPr>
          <w:rFonts w:ascii="Arial" w:hAnsi="Arial" w:cs="Arial"/>
          <w:szCs w:val="24"/>
        </w:rPr>
        <w:t>s que mais</w:t>
      </w:r>
      <w:r w:rsidR="00DF60CE" w:rsidRPr="00907988">
        <w:rPr>
          <w:rFonts w:ascii="Arial" w:hAnsi="Arial" w:cs="Arial"/>
          <w:szCs w:val="24"/>
        </w:rPr>
        <w:t xml:space="preserve"> têm parcelado</w:t>
      </w:r>
      <w:r w:rsidRPr="00907988">
        <w:rPr>
          <w:rFonts w:ascii="Arial" w:hAnsi="Arial" w:cs="Arial"/>
          <w:szCs w:val="24"/>
        </w:rPr>
        <w:t xml:space="preserve"> as dívidas são os devedores com alta capacidade de pagamentos. Existiria equilíbrio entre beneficiário do parcelamento e </w:t>
      </w:r>
      <w:r w:rsidRPr="00907988">
        <w:rPr>
          <w:rFonts w:ascii="Arial" w:hAnsi="Arial" w:cs="Arial"/>
          <w:szCs w:val="24"/>
        </w:rPr>
        <w:lastRenderedPageBreak/>
        <w:t>Fisco, existindo garantias (certeza)</w:t>
      </w:r>
      <w:r w:rsidR="001F16D4" w:rsidRPr="00907988">
        <w:rPr>
          <w:rFonts w:ascii="Arial" w:hAnsi="Arial" w:cs="Arial"/>
          <w:szCs w:val="24"/>
        </w:rPr>
        <w:t xml:space="preserve"> </w:t>
      </w:r>
      <w:r w:rsidRPr="00907988">
        <w:rPr>
          <w:rFonts w:ascii="Arial" w:hAnsi="Arial" w:cs="Arial"/>
          <w:szCs w:val="24"/>
        </w:rPr>
        <w:t>a respeito da adesão e da eventual quitação dos débitos.</w:t>
      </w:r>
    </w:p>
    <w:p w14:paraId="50FB297C" w14:textId="55E75CB3" w:rsidR="0041281A" w:rsidRPr="00907988" w:rsidRDefault="001A0C79" w:rsidP="00977752">
      <w:pPr>
        <w:rPr>
          <w:rFonts w:ascii="Arial" w:hAnsi="Arial" w:cs="Arial"/>
          <w:szCs w:val="24"/>
        </w:rPr>
      </w:pPr>
      <w:r w:rsidRPr="00907988">
        <w:rPr>
          <w:rFonts w:ascii="Arial" w:hAnsi="Arial" w:cs="Arial"/>
          <w:szCs w:val="24"/>
        </w:rPr>
        <w:t xml:space="preserve">Ou seja, o Estado poderia equilibrar esse jogo exigindo </w:t>
      </w:r>
      <w:r w:rsidR="00B12A58" w:rsidRPr="00907988">
        <w:rPr>
          <w:rFonts w:ascii="Arial" w:hAnsi="Arial" w:cs="Arial"/>
          <w:szCs w:val="24"/>
        </w:rPr>
        <w:t>bens ou direitos à adesão dos</w:t>
      </w:r>
      <w:r w:rsidRPr="00907988">
        <w:rPr>
          <w:rFonts w:ascii="Arial" w:hAnsi="Arial" w:cs="Arial"/>
          <w:szCs w:val="24"/>
        </w:rPr>
        <w:t xml:space="preserve"> parcelamentos</w:t>
      </w:r>
      <w:r w:rsidR="006E0CD3" w:rsidRPr="00907988">
        <w:rPr>
          <w:rFonts w:ascii="Arial" w:hAnsi="Arial" w:cs="Arial"/>
          <w:szCs w:val="24"/>
        </w:rPr>
        <w:t>, no geral, para todos com capacidade de pagamento</w:t>
      </w:r>
      <w:r w:rsidRPr="00907988">
        <w:rPr>
          <w:rFonts w:ascii="Arial" w:hAnsi="Arial" w:cs="Arial"/>
          <w:szCs w:val="24"/>
        </w:rPr>
        <w:t>.</w:t>
      </w:r>
      <w:r w:rsidR="006E0CD3" w:rsidRPr="00907988">
        <w:rPr>
          <w:rFonts w:ascii="Arial" w:hAnsi="Arial" w:cs="Arial"/>
          <w:szCs w:val="24"/>
        </w:rPr>
        <w:t xml:space="preserve"> De</w:t>
      </w:r>
      <w:r w:rsidR="00B12A58" w:rsidRPr="00907988">
        <w:rPr>
          <w:rFonts w:ascii="Arial" w:hAnsi="Arial" w:cs="Arial"/>
          <w:szCs w:val="24"/>
        </w:rPr>
        <w:t>duz-se que, mesmo que já exista exigência de garantias</w:t>
      </w:r>
      <w:r w:rsidR="006E0CD3" w:rsidRPr="00907988">
        <w:rPr>
          <w:rFonts w:ascii="Arial" w:hAnsi="Arial" w:cs="Arial"/>
          <w:szCs w:val="24"/>
        </w:rPr>
        <w:t xml:space="preserve"> como demonstrado anteriormente, </w:t>
      </w:r>
      <w:r w:rsidR="00F90770" w:rsidRPr="00907988">
        <w:rPr>
          <w:rFonts w:ascii="Arial" w:hAnsi="Arial" w:cs="Arial"/>
          <w:szCs w:val="24"/>
        </w:rPr>
        <w:t xml:space="preserve">ainda </w:t>
      </w:r>
      <w:r w:rsidR="006E0CD3" w:rsidRPr="00907988">
        <w:rPr>
          <w:rFonts w:ascii="Arial" w:hAnsi="Arial" w:cs="Arial"/>
          <w:szCs w:val="24"/>
        </w:rPr>
        <w:t>que de forma disc</w:t>
      </w:r>
      <w:r w:rsidR="00F90770" w:rsidRPr="00907988">
        <w:rPr>
          <w:rFonts w:ascii="Arial" w:hAnsi="Arial" w:cs="Arial"/>
          <w:szCs w:val="24"/>
        </w:rPr>
        <w:t>reta –</w:t>
      </w:r>
      <w:r w:rsidR="00B12A58" w:rsidRPr="00907988">
        <w:rPr>
          <w:rFonts w:ascii="Arial" w:hAnsi="Arial" w:cs="Arial"/>
          <w:szCs w:val="24"/>
        </w:rPr>
        <w:t xml:space="preserve"> prevista na Lei 10.522,</w:t>
      </w:r>
      <w:r w:rsidR="006E0CD3" w:rsidRPr="00907988">
        <w:rPr>
          <w:rFonts w:ascii="Arial" w:hAnsi="Arial" w:cs="Arial"/>
          <w:szCs w:val="24"/>
        </w:rPr>
        <w:t xml:space="preserve"> iguais ou acima de um milhão</w:t>
      </w:r>
      <w:r w:rsidR="00F90770" w:rsidRPr="00907988">
        <w:rPr>
          <w:rFonts w:ascii="Arial" w:hAnsi="Arial" w:cs="Arial"/>
          <w:szCs w:val="24"/>
        </w:rPr>
        <w:t xml:space="preserve"> para dívidas previdenciárias ou não</w:t>
      </w:r>
      <w:r w:rsidR="006E0CD3" w:rsidRPr="00907988">
        <w:rPr>
          <w:rFonts w:ascii="Arial" w:hAnsi="Arial" w:cs="Arial"/>
          <w:szCs w:val="24"/>
        </w:rPr>
        <w:t>,</w:t>
      </w:r>
      <w:r w:rsidR="002A30A7" w:rsidRPr="00907988">
        <w:rPr>
          <w:rFonts w:ascii="Arial" w:hAnsi="Arial" w:cs="Arial"/>
          <w:szCs w:val="24"/>
        </w:rPr>
        <w:t xml:space="preserve"> a importância dessa instituição merece</w:t>
      </w:r>
      <w:r w:rsidR="00157FC1" w:rsidRPr="00907988">
        <w:rPr>
          <w:rFonts w:ascii="Arial" w:hAnsi="Arial" w:cs="Arial"/>
          <w:szCs w:val="24"/>
        </w:rPr>
        <w:t xml:space="preserve"> preocupação por parte do poder público.</w:t>
      </w:r>
      <w:r w:rsidR="00F90770" w:rsidRPr="00907988">
        <w:rPr>
          <w:rFonts w:ascii="Arial" w:hAnsi="Arial" w:cs="Arial"/>
          <w:szCs w:val="24"/>
        </w:rPr>
        <w:t xml:space="preserve"> </w:t>
      </w:r>
      <w:r w:rsidR="00157FC1" w:rsidRPr="00907988">
        <w:rPr>
          <w:rFonts w:ascii="Arial" w:hAnsi="Arial" w:cs="Arial"/>
          <w:szCs w:val="24"/>
        </w:rPr>
        <w:t xml:space="preserve"> </w:t>
      </w:r>
    </w:p>
    <w:p w14:paraId="69BFD570" w14:textId="77777777" w:rsidR="00133E83" w:rsidRPr="00907988" w:rsidRDefault="00133E83" w:rsidP="00133E83">
      <w:pPr>
        <w:spacing w:after="200" w:line="276" w:lineRule="auto"/>
        <w:ind w:firstLine="0"/>
        <w:jc w:val="left"/>
        <w:rPr>
          <w:rFonts w:ascii="Arial" w:hAnsi="Arial" w:cs="Arial"/>
          <w:b/>
          <w:szCs w:val="24"/>
        </w:rPr>
      </w:pPr>
    </w:p>
    <w:p w14:paraId="6F936F68" w14:textId="163C2545" w:rsidR="00133E83" w:rsidRPr="00907988" w:rsidRDefault="00133E83">
      <w:pPr>
        <w:spacing w:after="200" w:line="276" w:lineRule="auto"/>
        <w:ind w:firstLine="0"/>
        <w:jc w:val="left"/>
        <w:rPr>
          <w:rFonts w:ascii="Arial" w:hAnsi="Arial" w:cs="Arial"/>
          <w:b/>
          <w:szCs w:val="24"/>
        </w:rPr>
      </w:pPr>
    </w:p>
    <w:p w14:paraId="57B11C35" w14:textId="77777777" w:rsidR="007B2DAB" w:rsidRDefault="007B2DAB" w:rsidP="007B2DAB">
      <w:pPr>
        <w:contextualSpacing/>
        <w:jc w:val="center"/>
        <w:rPr>
          <w:rFonts w:ascii="Arial" w:hAnsi="Arial" w:cs="Arial"/>
          <w:b/>
          <w:szCs w:val="24"/>
        </w:rPr>
      </w:pPr>
    </w:p>
    <w:p w14:paraId="08F3B474" w14:textId="676416FF" w:rsidR="007B2DAB" w:rsidRPr="007B2DAB" w:rsidRDefault="007B2DAB" w:rsidP="007B2DAB">
      <w:pPr>
        <w:pStyle w:val="Ttulo2"/>
        <w:ind w:firstLine="0"/>
        <w:jc w:val="center"/>
        <w:rPr>
          <w:b/>
          <w:bCs w:val="0"/>
        </w:rPr>
      </w:pPr>
      <w:r w:rsidRPr="007B2DAB">
        <w:rPr>
          <w:b/>
          <w:bCs w:val="0"/>
        </w:rPr>
        <w:lastRenderedPageBreak/>
        <w:t>REFERÊNCIAS</w:t>
      </w:r>
    </w:p>
    <w:p w14:paraId="3A8EC80B" w14:textId="409400E9" w:rsidR="00F7495E" w:rsidRPr="007B2DAB" w:rsidRDefault="00B8148B" w:rsidP="007B2DAB">
      <w:pPr>
        <w:pStyle w:val="Ttulo2"/>
        <w:ind w:firstLine="0"/>
        <w:rPr>
          <w:rFonts w:cs="Arial"/>
          <w:b/>
          <w:szCs w:val="24"/>
        </w:rPr>
      </w:pPr>
      <w:r w:rsidRPr="00907988">
        <w:t>ALEXANDRE, R. </w:t>
      </w:r>
      <w:r w:rsidRPr="00907988">
        <w:rPr>
          <w:b/>
        </w:rPr>
        <w:t>Direito Tributário. </w:t>
      </w:r>
      <w:r w:rsidRPr="00907988">
        <w:t>11. ed. Salvador: Juspodivm, 2017. 864 p.</w:t>
      </w:r>
    </w:p>
    <w:p w14:paraId="129D328E" w14:textId="117B2D7D" w:rsidR="00F7495E" w:rsidRPr="00907988" w:rsidRDefault="00B8148B" w:rsidP="007B2DAB">
      <w:pPr>
        <w:pStyle w:val="Ttulo2"/>
        <w:ind w:firstLine="0"/>
      </w:pPr>
      <w:r w:rsidRPr="00907988">
        <w:t>ANDRADE FILHO, E. O. </w:t>
      </w:r>
      <w:r w:rsidRPr="00907988">
        <w:rPr>
          <w:b/>
        </w:rPr>
        <w:t>Direito Penal Tributário: </w:t>
      </w:r>
      <w:r w:rsidRPr="00907988">
        <w:t>Crimes Contra a Ordem Tributária e Contra a Previdência Social. 7. ed. São Paulo: Atlas, 2015. 181 p. Disponível em: &lt;https://integrada.minhabiblioteca.com.br/#/books/9788522499748/cfi/191!/4/4@0.00:78.3&gt;. Acesso em: 24 mar. 2019.</w:t>
      </w:r>
    </w:p>
    <w:p w14:paraId="33A91BEC" w14:textId="09F04625" w:rsidR="00F7495E" w:rsidRPr="00907988" w:rsidRDefault="00B8148B" w:rsidP="007B2DAB">
      <w:pPr>
        <w:pStyle w:val="Ttulo2"/>
        <w:ind w:firstLine="0"/>
      </w:pPr>
      <w:r w:rsidRPr="00907988">
        <w:t>ANTUNES, C.</w:t>
      </w:r>
      <w:r w:rsidRPr="00907988">
        <w:rPr>
          <w:b/>
        </w:rPr>
        <w:t xml:space="preserve"> Parcelamentos</w:t>
      </w:r>
      <w:r w:rsidRPr="00907988">
        <w:t>. 2019. Procuradoria-Geral da Fazenda Nacional. Disponível em: &lt;http://www.pgfn.fazenda.gov.br/servicos-e-orientacoes/servicos-da-divida-ativa-da-uniao-dau/parcelamentos-1&gt;. Acesso em: 02 out. 2019.</w:t>
      </w:r>
    </w:p>
    <w:p w14:paraId="4E938310" w14:textId="77777777" w:rsidR="00B8148B" w:rsidRPr="00907988" w:rsidRDefault="00B8148B" w:rsidP="007B2DAB">
      <w:pPr>
        <w:pStyle w:val="Ttulo2"/>
        <w:ind w:firstLine="0"/>
      </w:pPr>
      <w:r w:rsidRPr="00907988">
        <w:t xml:space="preserve">BANCO CENTRAL. </w:t>
      </w:r>
      <w:r w:rsidRPr="00907988">
        <w:rPr>
          <w:b/>
        </w:rPr>
        <w:t>Taxas de juros</w:t>
      </w:r>
      <w:r w:rsidRPr="00907988">
        <w:t>. Disponível em: https://www.bcb.gov.br/estatisticas/txjuros. Acesso em: 22 maio 2020.</w:t>
      </w:r>
    </w:p>
    <w:p w14:paraId="79A0F842" w14:textId="61BFBEC0" w:rsidR="00F7495E" w:rsidRPr="00907988" w:rsidRDefault="00B8148B" w:rsidP="007B2DAB">
      <w:pPr>
        <w:pStyle w:val="Ttulo2"/>
        <w:ind w:firstLine="0"/>
      </w:pPr>
      <w:r w:rsidRPr="00907988">
        <w:t xml:space="preserve">BANCO DO BRASIL. </w:t>
      </w:r>
      <w:r w:rsidRPr="00907988">
        <w:rPr>
          <w:b/>
        </w:rPr>
        <w:t>Parcelar Boletos</w:t>
      </w:r>
      <w:r w:rsidRPr="00907988">
        <w:t>. Disponível em: https://www.bb.com.br/pbb/pagina-inicial/voce/produtos-e-servicos/emprestimo/organizar-meus-compromissos/parcelar-boletos#/. Acesso em: 20 mai. 2020.</w:t>
      </w:r>
    </w:p>
    <w:p w14:paraId="37413C40" w14:textId="1405A644" w:rsidR="00F7495E" w:rsidRPr="00907988" w:rsidRDefault="00B8148B" w:rsidP="007B2DAB">
      <w:pPr>
        <w:pStyle w:val="Ttulo2"/>
        <w:ind w:firstLine="0"/>
      </w:pPr>
      <w:r w:rsidRPr="00907988">
        <w:t>BASILIO, A. T. </w:t>
      </w:r>
      <w:r w:rsidRPr="00907988">
        <w:rPr>
          <w:b/>
        </w:rPr>
        <w:t>Sonegação e Concorrência Desleal. </w:t>
      </w:r>
      <w:r w:rsidRPr="00907988">
        <w:t>2012. Disponível em: &lt;https://www.editorajc.com.br/sonegacao-e-concorrencia-desleal/&gt;. Acesso em: 23 fev. 2019.</w:t>
      </w:r>
    </w:p>
    <w:p w14:paraId="2F60FFC7" w14:textId="37C8425D" w:rsidR="00F7495E" w:rsidRPr="00907988" w:rsidRDefault="00B8148B" w:rsidP="007B2DAB">
      <w:pPr>
        <w:pStyle w:val="Ttulo2"/>
        <w:ind w:firstLine="0"/>
      </w:pPr>
      <w:r w:rsidRPr="00907988">
        <w:t xml:space="preserve">BÊRNI, D. A.; FERNANDEZ, B. P. </w:t>
      </w:r>
      <w:proofErr w:type="gramStart"/>
      <w:r w:rsidRPr="00907988">
        <w:t>M..</w:t>
      </w:r>
      <w:proofErr w:type="gramEnd"/>
      <w:r w:rsidRPr="00907988">
        <w:t> </w:t>
      </w:r>
      <w:r w:rsidRPr="00907988">
        <w:rPr>
          <w:b/>
        </w:rPr>
        <w:t>Teoria dos Jogos: </w:t>
      </w:r>
      <w:r w:rsidRPr="00907988">
        <w:t>Crenças, Desejos, Escolhas. São Paulo: Saraiva, 2014. 312 p. Disponível em: &lt;https://integrada.minhabiblioteca.com.br/#/books/9788502220577/cfi/2!/4/4@0.00:6.30&gt;. Acesso em: 24 mar. 2019.</w:t>
      </w:r>
    </w:p>
    <w:p w14:paraId="5CB13D9D" w14:textId="5C35DB77" w:rsidR="00F7495E" w:rsidRPr="00907988" w:rsidRDefault="00B8148B" w:rsidP="007B2DAB">
      <w:pPr>
        <w:pStyle w:val="Ttulo2"/>
        <w:ind w:firstLine="0"/>
      </w:pPr>
      <w:r w:rsidRPr="00907988">
        <w:t xml:space="preserve">BRADESCO, Banco. </w:t>
      </w:r>
      <w:r w:rsidRPr="00907988">
        <w:rPr>
          <w:b/>
        </w:rPr>
        <w:t>Parcelamento de fatura de cartão de crédito.</w:t>
      </w:r>
      <w:r w:rsidRPr="00907988">
        <w:t xml:space="preserve"> Disponível em: https://banco.bradesco/html/classic/produtos-servicos/cartoes/servicos/servicos-financeiros/parcelamento-exclusivo-de-fatura.shtm. Acesso em: 22 maio 2020.</w:t>
      </w:r>
    </w:p>
    <w:p w14:paraId="16958C20" w14:textId="7F18244F" w:rsidR="00F7495E" w:rsidRPr="00907988" w:rsidRDefault="00B8148B" w:rsidP="007B2DAB">
      <w:pPr>
        <w:pStyle w:val="Ttulo2"/>
        <w:ind w:firstLine="0"/>
      </w:pPr>
      <w:r w:rsidRPr="00907988">
        <w:lastRenderedPageBreak/>
        <w:t xml:space="preserve">BRASIL. </w:t>
      </w:r>
      <w:r w:rsidRPr="00907988">
        <w:rPr>
          <w:b/>
        </w:rPr>
        <w:t>Lei 9.430/96, de 27 de dezembro de 1996: </w:t>
      </w:r>
      <w:r w:rsidRPr="00907988">
        <w:t>Dispõe sobre a legislação tributária federal, as contribuições para a seguridade social, o processo administrativo de consulta e dá outras providências. Brasília: Diário Oficial [da] Republica Federativa do Brasil, 1996. Disponível em: &lt;http://www.planalto.gov.br/ccivil_03/LEIS/L9430.htm&gt;. Acesso em: 28 mar. 2019.</w:t>
      </w:r>
    </w:p>
    <w:p w14:paraId="2CB30030" w14:textId="5A8D7040" w:rsidR="00F7495E" w:rsidRPr="00907988" w:rsidRDefault="00F7495E" w:rsidP="007B2DAB">
      <w:pPr>
        <w:pStyle w:val="Ttulo2"/>
        <w:ind w:firstLine="0"/>
      </w:pPr>
      <w:r w:rsidRPr="00907988">
        <w:t>________.</w:t>
      </w:r>
      <w:r w:rsidR="006A552C" w:rsidRPr="00907988">
        <w:t> </w:t>
      </w:r>
      <w:r w:rsidR="006A552C" w:rsidRPr="00907988">
        <w:rPr>
          <w:b/>
        </w:rPr>
        <w:t>Lei 9.249, de 26 de dezembro 1995: </w:t>
      </w:r>
      <w:r w:rsidR="006A552C" w:rsidRPr="00907988">
        <w:t>Altera a legislação do imposto de renda das pessoas jurídicas, bem como da contribuição social sobre o lucro líquido, e dá outras providências. Brasília: Diário Oficial [da] Republica Federativa do Brasil, 1995. Disponível em: &lt;http://www.planalto.gov.br/ccivil_03/leis/l9249.htm&gt;. Acesso em: 28 mar. 2019.</w:t>
      </w:r>
    </w:p>
    <w:p w14:paraId="3A03D997" w14:textId="6618A561" w:rsidR="00F7495E" w:rsidRPr="00907988" w:rsidRDefault="00F7495E" w:rsidP="007B2DAB">
      <w:pPr>
        <w:pStyle w:val="Ttulo2"/>
        <w:ind w:firstLine="0"/>
      </w:pPr>
      <w:r w:rsidRPr="00907988">
        <w:t>________.</w:t>
      </w:r>
      <w:r w:rsidR="006A552C" w:rsidRPr="00907988">
        <w:t> </w:t>
      </w:r>
      <w:r w:rsidR="006A552C" w:rsidRPr="00907988">
        <w:rPr>
          <w:b/>
        </w:rPr>
        <w:t>Lei Nº 11.941, de 27 de maio de 2009</w:t>
      </w:r>
      <w:proofErr w:type="gramStart"/>
      <w:r w:rsidR="006A552C" w:rsidRPr="00907988">
        <w:rPr>
          <w:b/>
        </w:rPr>
        <w:t>: </w:t>
      </w:r>
      <w:r w:rsidR="006A552C" w:rsidRPr="00907988">
        <w:t>;</w:t>
      </w:r>
      <w:proofErr w:type="gramEnd"/>
      <w:r w:rsidR="006A552C" w:rsidRPr="00907988">
        <w:t xml:space="preserve"> e dá outras providências. Brasília: Diário Oficial [da] Republica Federativa do Brasil, 2009. Disponível em: &lt;http://www.planalto.gov.br/ccivil_03/_Ato2007-2010/2009/Lei/L11941.htm&gt;. Acesso em: 28 mar. 2019.</w:t>
      </w:r>
    </w:p>
    <w:p w14:paraId="284F8F6F" w14:textId="63F9A18F" w:rsidR="00F7495E" w:rsidRPr="00907988" w:rsidRDefault="00F7495E" w:rsidP="007B2DAB">
      <w:pPr>
        <w:pStyle w:val="Ttulo2"/>
        <w:ind w:firstLine="0"/>
      </w:pPr>
      <w:r w:rsidRPr="00907988">
        <w:t>_______</w:t>
      </w:r>
      <w:proofErr w:type="gramStart"/>
      <w:r w:rsidRPr="00907988">
        <w:t>_.</w:t>
      </w:r>
      <w:r w:rsidR="006A552C" w:rsidRPr="00907988">
        <w:rPr>
          <w:b/>
        </w:rPr>
        <w:t>Lei</w:t>
      </w:r>
      <w:proofErr w:type="gramEnd"/>
      <w:r w:rsidR="006A552C" w:rsidRPr="00907988">
        <w:rPr>
          <w:b/>
        </w:rPr>
        <w:t xml:space="preserve"> nº 5.172, de 25 de outubro de 1966 - Código Tributário Nacional: </w:t>
      </w:r>
      <w:r w:rsidR="006A552C" w:rsidRPr="00907988">
        <w:t>Dispõe sobre o Sistema Tributário Nacional e institui normas gerais de direito tributário aplicáveis à União, Estados e Municípios.. Brasília: Diário Oficial [da] Republica Federativa do Brasil, 1966. Disponível em: &lt;http://www.planalto.gov.br/ccivil_03/LEIS/L5172.htm&gt;. Acesso em: 26 fev. 2019.</w:t>
      </w:r>
    </w:p>
    <w:p w14:paraId="0F3E594A" w14:textId="7AB7CB4E" w:rsidR="00F7495E" w:rsidRPr="00907988" w:rsidRDefault="00B8148B" w:rsidP="007B2DAB">
      <w:pPr>
        <w:pStyle w:val="Ttulo2"/>
        <w:ind w:firstLine="0"/>
      </w:pPr>
      <w:r w:rsidRPr="00907988">
        <w:t xml:space="preserve">CAIXA ECONÔMICA FEDERAL. </w:t>
      </w:r>
      <w:r w:rsidRPr="00907988">
        <w:rPr>
          <w:b/>
        </w:rPr>
        <w:t>Negocie suas dívidas</w:t>
      </w:r>
      <w:r w:rsidRPr="00907988">
        <w:t>. Disponível em: http://www.caixa.gov.br/voce/negociacao/paginas/default.aspx. Acesso em: 22 maio 2020.</w:t>
      </w:r>
    </w:p>
    <w:p w14:paraId="65F415B1" w14:textId="77FF5FCD" w:rsidR="00F7495E" w:rsidRPr="00907988" w:rsidRDefault="00B8148B" w:rsidP="007B2DAB">
      <w:pPr>
        <w:pStyle w:val="Ttulo2"/>
        <w:ind w:firstLine="0"/>
      </w:pPr>
      <w:r w:rsidRPr="00907988">
        <w:t>CARVALHO, C. R. de. </w:t>
      </w:r>
      <w:r w:rsidRPr="00907988">
        <w:rPr>
          <w:b/>
        </w:rPr>
        <w:t>A Tributação Estratégica. Introdução à Teoria dos Jogos no Direito Tributário. </w:t>
      </w:r>
      <w:r w:rsidRPr="00907988">
        <w:t>2014. University Of Sao Paulo, Brazil. Disponível em: &lt;https://works.bepress.com/cristiano_carvalho/31/&gt;. Acesso em: 14 fev. 2019.</w:t>
      </w:r>
    </w:p>
    <w:p w14:paraId="5FF10EC6" w14:textId="1B0B2E0A" w:rsidR="00F7495E" w:rsidRPr="00907988" w:rsidRDefault="00B8148B" w:rsidP="007B2DAB">
      <w:pPr>
        <w:pStyle w:val="Ttulo2"/>
        <w:ind w:firstLine="0"/>
      </w:pPr>
      <w:r w:rsidRPr="00907988">
        <w:t xml:space="preserve">GODOY, C. L. B. de et al. </w:t>
      </w:r>
      <w:r w:rsidRPr="00907988">
        <w:rPr>
          <w:b/>
        </w:rPr>
        <w:t>Código Civil Comentado: Doutrina e Jurisprudência</w:t>
      </w:r>
      <w:r w:rsidRPr="00907988">
        <w:t>. 13. ed. Barueri: Manole, 2019. 2379 p. Disponível em: &lt;https://integrada.minhabiblioteca.com.br/#/books/9788520460184/cfi/2392!/4/4@0.00:0.00&gt;. Acesso em: 02 nov. 2019.</w:t>
      </w:r>
    </w:p>
    <w:p w14:paraId="3DD0BC37" w14:textId="16F20522" w:rsidR="00F7495E" w:rsidRPr="00907988" w:rsidRDefault="00B8148B" w:rsidP="007B2DAB">
      <w:pPr>
        <w:pStyle w:val="Ttulo2"/>
        <w:ind w:firstLine="0"/>
      </w:pPr>
      <w:r w:rsidRPr="00907988">
        <w:lastRenderedPageBreak/>
        <w:t xml:space="preserve">ITAÚ, Banco. </w:t>
      </w:r>
      <w:r w:rsidRPr="00907988">
        <w:rPr>
          <w:b/>
        </w:rPr>
        <w:t>Parcelamento de Fatura de Cartão de Crédito</w:t>
      </w:r>
      <w:r w:rsidRPr="00907988">
        <w:t>. Disponível em: https://www.itau.com.br/cartoes/servicos/parcelamento-de-fatura/. Acesso em: 22 maio 2020.</w:t>
      </w:r>
    </w:p>
    <w:p w14:paraId="0BD14E3E" w14:textId="5DBBB879" w:rsidR="00F7495E" w:rsidRPr="00907988" w:rsidRDefault="00B8148B" w:rsidP="007B2DAB">
      <w:pPr>
        <w:pStyle w:val="Ttulo2"/>
        <w:ind w:firstLine="0"/>
      </w:pPr>
      <w:r w:rsidRPr="00907988">
        <w:t xml:space="preserve">JAKOBI, K. B.; RIBEIRO, M. C. P. </w:t>
      </w:r>
      <w:r w:rsidRPr="00907988">
        <w:rPr>
          <w:b/>
        </w:rPr>
        <w:t>Análise Econômica do Direito e a Regulação do Mercado de Capitais</w:t>
      </w:r>
      <w:r w:rsidRPr="00907988">
        <w:t>. São Paulo: Atlas, 2014. 162 p. Disponível em: &lt;https://integrada.minhabiblioteca.com.br/#/books/9788522487721/cfi/8!/4/2@100:0.00&gt;. Acesso em: 02 nov. 2019.</w:t>
      </w:r>
    </w:p>
    <w:p w14:paraId="77B36634" w14:textId="05A0F2F8" w:rsidR="00F7495E" w:rsidRPr="00907988" w:rsidRDefault="00B8148B" w:rsidP="007B2DAB">
      <w:pPr>
        <w:pStyle w:val="Ttulo2"/>
        <w:ind w:firstLine="0"/>
      </w:pPr>
      <w:r w:rsidRPr="00907988">
        <w:t xml:space="preserve">MACKAAY, E.; ROUSSEAU, S. </w:t>
      </w:r>
      <w:r w:rsidRPr="00907988">
        <w:rPr>
          <w:b/>
        </w:rPr>
        <w:t>Análise Econômica do Direito</w:t>
      </w:r>
      <w:r w:rsidRPr="00907988">
        <w:t>. 2. ed. São Paulo: Altas, 2015. 780 p. Tradução de: Rachel Sztajn. Disponível em: &lt;https://integrada.minhabiblioteca.com.br/#/books/9788522497652/cfi/2!/4/4@0.00:0.00&gt;. Acesso em: 27 out. 2019.</w:t>
      </w:r>
    </w:p>
    <w:p w14:paraId="3864D63F" w14:textId="0A95D4FC" w:rsidR="00F7495E" w:rsidRPr="00907988" w:rsidRDefault="00B8148B" w:rsidP="007B2DAB">
      <w:pPr>
        <w:pStyle w:val="Ttulo2"/>
        <w:ind w:firstLine="0"/>
      </w:pPr>
      <w:r w:rsidRPr="00907988">
        <w:t>MARINHO, R. </w:t>
      </w:r>
      <w:r w:rsidRPr="00907988">
        <w:rPr>
          <w:b/>
        </w:rPr>
        <w:t>Teoria Na Prática: </w:t>
      </w:r>
      <w:r w:rsidRPr="00907988">
        <w:t>Aplicação da teoria dos jogos e da evolução aos negócios. 2. ed. São Paulo: Saraiva, 2011. 310 p. Disponível em: &lt;https://integrada.minhabiblioteca.com.br/#/books/9788502126114/cfi/310!/4/4@0.00:60.5&gt;. Acesso em: 30 mar. 2019</w:t>
      </w:r>
    </w:p>
    <w:p w14:paraId="0F7C0462" w14:textId="31188690" w:rsidR="00F7495E" w:rsidRPr="00907988" w:rsidRDefault="00B8148B" w:rsidP="007B2DAB">
      <w:pPr>
        <w:pStyle w:val="Ttulo2"/>
        <w:ind w:firstLine="0"/>
      </w:pPr>
      <w:r w:rsidRPr="00907988">
        <w:t xml:space="preserve">MAZZA, </w:t>
      </w:r>
      <w:proofErr w:type="gramStart"/>
      <w:r w:rsidRPr="00907988">
        <w:t>A..</w:t>
      </w:r>
      <w:proofErr w:type="gramEnd"/>
      <w:r w:rsidRPr="00907988">
        <w:t> </w:t>
      </w:r>
      <w:r w:rsidRPr="00907988">
        <w:rPr>
          <w:b/>
        </w:rPr>
        <w:t>Manual de Direito Tributário. </w:t>
      </w:r>
      <w:r w:rsidRPr="00907988">
        <w:t>4. ed. São Paulo: Saraiva, 2018. 870 p.</w:t>
      </w:r>
    </w:p>
    <w:p w14:paraId="23C0E0BF" w14:textId="14EF12F0" w:rsidR="00F7495E" w:rsidRPr="00907988" w:rsidRDefault="00B8148B" w:rsidP="007B2DAB">
      <w:pPr>
        <w:pStyle w:val="Ttulo2"/>
        <w:ind w:firstLine="0"/>
      </w:pPr>
      <w:r w:rsidRPr="00907988">
        <w:t xml:space="preserve">MERCANTIL, Banco. </w:t>
      </w:r>
      <w:r w:rsidRPr="00907988">
        <w:rPr>
          <w:b/>
        </w:rPr>
        <w:t>FINANCIAMENTO DE VEÍCULOS</w:t>
      </w:r>
      <w:r w:rsidRPr="00907988">
        <w:t>. Disponível em: https://mercantildobrasil.com.br/Voce/Emprestimos/FinanciamentoVeiculo/Paginas/Financiamento-de-Veiculos.aspx. Acesso em: 22 maio 2020.</w:t>
      </w:r>
    </w:p>
    <w:p w14:paraId="397ABB41" w14:textId="32B645BF" w:rsidR="00F7495E" w:rsidRPr="00907988" w:rsidRDefault="007C557B" w:rsidP="007B2DAB">
      <w:pPr>
        <w:pStyle w:val="Ttulo2"/>
        <w:ind w:firstLine="0"/>
      </w:pPr>
      <w:r w:rsidRPr="007F7D5F">
        <w:rPr>
          <w:lang w:val="en-US"/>
        </w:rPr>
        <w:t>ORGANIZATION FOR ECONOMIC CO-OPERATION AND DEVELOPMENT. </w:t>
      </w:r>
      <w:r w:rsidR="00B8148B" w:rsidRPr="00907988">
        <w:rPr>
          <w:b/>
          <w:lang w:val="en-US"/>
        </w:rPr>
        <w:t>Working Smarter in Tax Debt Management: </w:t>
      </w:r>
      <w:r w:rsidR="00B8148B" w:rsidRPr="00907988">
        <w:rPr>
          <w:lang w:val="en-US"/>
        </w:rPr>
        <w:t xml:space="preserve">Comparison of payment arrangements - annex B. Paris: Oecd Publishing, 2014. </w:t>
      </w:r>
      <w:r w:rsidR="00B8148B" w:rsidRPr="00907988">
        <w:t>Disponível em: &lt;https://read.oecd-ilibrary.org/taxation/working-smarter-in-tax-debt-management/comparison-of-payment-arrangements_9789264223257-14-en#page1&gt;. Acesso em: 25 fev. 2019.</w:t>
      </w:r>
    </w:p>
    <w:p w14:paraId="346E8B79" w14:textId="159E91F2" w:rsidR="00F7495E" w:rsidRPr="00907988" w:rsidRDefault="00B8148B" w:rsidP="007B2DAB">
      <w:pPr>
        <w:pStyle w:val="Ttulo2"/>
        <w:ind w:firstLine="0"/>
      </w:pPr>
      <w:r w:rsidRPr="00907988">
        <w:lastRenderedPageBreak/>
        <w:t>PASSOS FILHO, E. S. </w:t>
      </w:r>
      <w:r w:rsidRPr="00907988">
        <w:rPr>
          <w:b/>
        </w:rPr>
        <w:t>Nota SEI Nº 58/2018/PGDAU-CDA-COAGED/PGDAU-CDA/PGDAU/PGFN-MF: </w:t>
      </w:r>
      <w:r w:rsidRPr="00907988">
        <w:t>ATO PÚBLICO. ANALISA EFEITOS DOS PARCELAMENTOS ESPECIAIS DEFERIDOS EM 2017 SOBRE A RECUPERAÇÃO DE CRÉDITOS EM 2018. 2018. Disponível em: &lt;h#p://sei.fazenda.gov.br/sei/controlador_externo.php?acao=documento_conferir&amp;id_orgao_acesso_externo=0&gt;. Acesso em: 14 dez. 2018.</w:t>
      </w:r>
    </w:p>
    <w:p w14:paraId="0FE97927" w14:textId="7F51B76B" w:rsidR="00F7495E" w:rsidRPr="00907988" w:rsidRDefault="00B8148B" w:rsidP="007B2DAB">
      <w:pPr>
        <w:pStyle w:val="Ttulo2"/>
        <w:ind w:firstLine="0"/>
      </w:pPr>
      <w:r w:rsidRPr="00907988">
        <w:t>PAULSEN, L. </w:t>
      </w:r>
      <w:r w:rsidRPr="00907988">
        <w:rPr>
          <w:b/>
        </w:rPr>
        <w:t>Curso de Direito Tributário Completo. </w:t>
      </w:r>
      <w:r w:rsidRPr="00907988">
        <w:t>8. ed. São Paulo: Saraiva, 2017. 560p.</w:t>
      </w:r>
    </w:p>
    <w:p w14:paraId="0AD978A1" w14:textId="6E42F0AF" w:rsidR="00F7495E" w:rsidRPr="00907988" w:rsidRDefault="00AF65BF" w:rsidP="007B2DAB">
      <w:pPr>
        <w:pStyle w:val="Ttulo2"/>
        <w:ind w:firstLine="0"/>
      </w:pPr>
      <w:r w:rsidRPr="007F7D5F">
        <w:t>RECEITA FEDERAL DO BRASIL</w:t>
      </w:r>
      <w:r w:rsidR="00B8148B" w:rsidRPr="007F7D5F">
        <w:t>.</w:t>
      </w:r>
      <w:r w:rsidR="00B8148B" w:rsidRPr="007F7D5F">
        <w:rPr>
          <w:b/>
        </w:rPr>
        <w:t xml:space="preserve"> </w:t>
      </w:r>
      <w:r w:rsidR="00B8148B" w:rsidRPr="00907988">
        <w:rPr>
          <w:b/>
        </w:rPr>
        <w:t>Taxa de Juros de Longo Prazo - TJLP</w:t>
      </w:r>
      <w:r w:rsidR="00B8148B" w:rsidRPr="00907988">
        <w:t>. Disponível em: http://receita.economia.gov.br/orientacao/tributaria/pagamentos-e-parcelamentos/taxa-de-juros-de-longo-prazo-tjlp. Acesso em: 22 maio 2020.</w:t>
      </w:r>
    </w:p>
    <w:p w14:paraId="338BEF73" w14:textId="4D84C6BD" w:rsidR="007B2DAB" w:rsidRDefault="00AF65BF" w:rsidP="007B2DAB">
      <w:pPr>
        <w:pStyle w:val="Ttulo2"/>
        <w:ind w:firstLine="0"/>
      </w:pPr>
      <w:r w:rsidRPr="00907988">
        <w:t>RECEITA FEDERAL DO BRASIL</w:t>
      </w:r>
      <w:r w:rsidR="00B8148B" w:rsidRPr="00907988">
        <w:t>. </w:t>
      </w:r>
      <w:r w:rsidR="00B8148B" w:rsidRPr="00907988">
        <w:rPr>
          <w:b/>
        </w:rPr>
        <w:t>Estudo sobre Impactos dos Parcelamentos Especiais. </w:t>
      </w:r>
      <w:r w:rsidR="00B8148B" w:rsidRPr="00907988">
        <w:t>2017. Disponível em: &lt;http://receita.economia.gov.br/dados/20171229-estudo-parcelamentos-especiais.pdf&gt;. Acesso em: 10 fev. 2019</w:t>
      </w:r>
      <w:r w:rsidR="007B2DAB">
        <w:t>.</w:t>
      </w:r>
    </w:p>
    <w:p w14:paraId="0B411D21" w14:textId="1A6DCADF" w:rsidR="00F7495E" w:rsidRPr="00907988" w:rsidRDefault="00B8148B" w:rsidP="007B2DAB">
      <w:pPr>
        <w:pStyle w:val="Ttulo2"/>
        <w:ind w:firstLine="0"/>
      </w:pPr>
      <w:r w:rsidRPr="00907988">
        <w:t>ROBERTO, W. </w:t>
      </w:r>
      <w:r w:rsidRPr="00907988">
        <w:rPr>
          <w:b/>
        </w:rPr>
        <w:t>Adesão a parcelamento de débito tributário interrompe o curso do prazo prescricional. </w:t>
      </w:r>
      <w:r w:rsidRPr="00907988">
        <w:t>2018. Disponível em: &lt;https://juristas.com.br/2018/01/01/adesao-parcelamento-de-debito-tributario-interrompe-o-curso-do-prazo-prescricional/&gt;. Acesso em: 14 mar. 2019.</w:t>
      </w:r>
    </w:p>
    <w:p w14:paraId="5C072120" w14:textId="010C9A6B" w:rsidR="00F7495E" w:rsidRPr="00907988" w:rsidRDefault="00B8148B" w:rsidP="007B2DAB">
      <w:pPr>
        <w:pStyle w:val="Ttulo2"/>
        <w:ind w:firstLine="0"/>
      </w:pPr>
      <w:r w:rsidRPr="00907988">
        <w:t>SABBAG, E. </w:t>
      </w:r>
      <w:r w:rsidRPr="00907988">
        <w:rPr>
          <w:b/>
        </w:rPr>
        <w:t>Coleção Saberes do Direito: </w:t>
      </w:r>
      <w:r w:rsidRPr="00907988">
        <w:t>Direito tributário I. São Paulo: Saraiva, 2012. 309 p. (42).</w:t>
      </w:r>
    </w:p>
    <w:p w14:paraId="188EB3ED" w14:textId="5B8CA055" w:rsidR="00F7495E" w:rsidRPr="00907988" w:rsidRDefault="00B8148B" w:rsidP="007B2DAB">
      <w:pPr>
        <w:pStyle w:val="Ttulo2"/>
        <w:ind w:firstLine="0"/>
      </w:pPr>
      <w:r w:rsidRPr="00907988">
        <w:t xml:space="preserve">SANTANDER, Banco. </w:t>
      </w:r>
      <w:r w:rsidRPr="00907988">
        <w:rPr>
          <w:b/>
        </w:rPr>
        <w:t>Total Parcelado</w:t>
      </w:r>
      <w:r w:rsidRPr="00907988">
        <w:t>. Disponível em: https://www.santander.com.br/cartoes-santander/solucoes-de-pagamento/total-parcelado. Acesso em: 22 maio 2020.</w:t>
      </w:r>
    </w:p>
    <w:p w14:paraId="4ACD71F5" w14:textId="77777777" w:rsidR="00B8148B" w:rsidRPr="00907988" w:rsidRDefault="00B8148B" w:rsidP="007B2DAB">
      <w:pPr>
        <w:pStyle w:val="Ttulo2"/>
        <w:ind w:firstLine="0"/>
      </w:pPr>
      <w:r w:rsidRPr="00907988">
        <w:t xml:space="preserve">SOUZA, D. N. N. de. </w:t>
      </w:r>
      <w:r w:rsidRPr="00907988">
        <w:rPr>
          <w:b/>
        </w:rPr>
        <w:t>Neurodireito, Psicologia e Economia Comportamental no Combate à Evasão Fiscal</w:t>
      </w:r>
      <w:r w:rsidRPr="00907988">
        <w:t>. Rio de Janeiro: Lumen Juris, 2019. 212 p.</w:t>
      </w:r>
    </w:p>
    <w:sectPr w:rsidR="00B8148B" w:rsidRPr="00907988" w:rsidSect="00D342B5">
      <w:pgSz w:w="11906" w:h="16838" w:code="9"/>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8CF59" w14:textId="77777777" w:rsidR="00612115" w:rsidRDefault="00612115" w:rsidP="00CC65F9">
      <w:pPr>
        <w:spacing w:line="240" w:lineRule="auto"/>
      </w:pPr>
      <w:r>
        <w:separator/>
      </w:r>
    </w:p>
  </w:endnote>
  <w:endnote w:type="continuationSeparator" w:id="0">
    <w:p w14:paraId="5FB70EDD" w14:textId="77777777" w:rsidR="00612115" w:rsidRDefault="00612115" w:rsidP="00CC6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MoolBoran">
    <w:panose1 w:val="020B0100010101010101"/>
    <w:charset w:val="00"/>
    <w:family w:val="swiss"/>
    <w:pitch w:val="variable"/>
    <w:sig w:usb0="8000000F" w:usb1="0000204A" w:usb2="0001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3D729" w14:textId="77777777" w:rsidR="00612115" w:rsidRDefault="00612115" w:rsidP="00CC65F9">
      <w:pPr>
        <w:spacing w:line="240" w:lineRule="auto"/>
      </w:pPr>
      <w:r>
        <w:separator/>
      </w:r>
    </w:p>
  </w:footnote>
  <w:footnote w:type="continuationSeparator" w:id="0">
    <w:p w14:paraId="1A335C99" w14:textId="77777777" w:rsidR="00612115" w:rsidRDefault="00612115" w:rsidP="00CC65F9">
      <w:pPr>
        <w:spacing w:line="240" w:lineRule="auto"/>
      </w:pPr>
      <w:r>
        <w:continuationSeparator/>
      </w:r>
    </w:p>
  </w:footnote>
  <w:footnote w:id="1">
    <w:p w14:paraId="7F4BD2F2" w14:textId="79EF7CAC" w:rsidR="00A06148" w:rsidRPr="00E23215" w:rsidRDefault="00A06148" w:rsidP="00E23215">
      <w:pPr>
        <w:pStyle w:val="Textodenotaderodap"/>
        <w:jc w:val="both"/>
        <w:rPr>
          <w:rFonts w:ascii="Arial" w:hAnsi="Arial" w:cs="Arial"/>
        </w:rPr>
      </w:pPr>
      <w:r>
        <w:rPr>
          <w:rStyle w:val="Refdenotaderodap"/>
        </w:rPr>
        <w:footnoteRef/>
      </w:r>
      <w:r>
        <w:t xml:space="preserve"> </w:t>
      </w:r>
      <w:r w:rsidR="00E23215" w:rsidRPr="00E23215">
        <w:rPr>
          <w:rFonts w:ascii="Arial" w:hAnsi="Arial" w:cs="Arial"/>
        </w:rPr>
        <w:t>Bacharel em Ciências Aeronáuticas, Piloto Privado Avião, pela ESAC-PB – Escola Superior de Aviação Civil e Graduando em Direito, pelo Centro Universitário UNIFACISA-PB, welberk87@gmail.com.</w:t>
      </w:r>
    </w:p>
  </w:footnote>
  <w:footnote w:id="2">
    <w:p w14:paraId="45A553B3" w14:textId="738EDCB9" w:rsidR="00A06148" w:rsidRDefault="00A06148" w:rsidP="00E23215">
      <w:pPr>
        <w:pStyle w:val="Textodenotaderodap"/>
        <w:spacing w:line="240" w:lineRule="auto"/>
        <w:jc w:val="both"/>
      </w:pPr>
      <w:r w:rsidRPr="00E23215">
        <w:rPr>
          <w:rStyle w:val="Refdenotaderodap"/>
          <w:rFonts w:ascii="Arial" w:hAnsi="Arial" w:cs="Arial"/>
        </w:rPr>
        <w:footnoteRef/>
      </w:r>
      <w:r w:rsidRPr="00E23215">
        <w:rPr>
          <w:rFonts w:ascii="Arial" w:hAnsi="Arial" w:cs="Arial"/>
        </w:rPr>
        <w:t xml:space="preserve"> </w:t>
      </w:r>
      <w:r w:rsidR="00762ACB" w:rsidRPr="00E23215">
        <w:rPr>
          <w:rFonts w:ascii="Arial" w:hAnsi="Arial" w:cs="Arial"/>
          <w:color w:val="000000" w:themeColor="text1"/>
        </w:rPr>
        <w:t>Professor Orientador, Graduado em Direito, pela Universidade Estadual da Paraíba (URPB), Especialista em Direito Tributário, pela Pontifícia Universidade Católica de Minas Gerais (PUC Minas); Mestrado em Desenvolvimento Regional, pela Universidade Estadual da Paraíba (UEPB); Docente do Curso Superior de Direito da Unifacisa. dmoreiramendes@gmail.com</w:t>
      </w:r>
      <w:r w:rsidR="00E23215" w:rsidRPr="00E23215">
        <w:rPr>
          <w:rFonts w:ascii="Arial" w:hAnsi="Arial" w:cs="Arial"/>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6DCE"/>
    <w:multiLevelType w:val="hybridMultilevel"/>
    <w:tmpl w:val="F06E4E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CA2CDE"/>
    <w:multiLevelType w:val="hybridMultilevel"/>
    <w:tmpl w:val="5B7C3112"/>
    <w:lvl w:ilvl="0" w:tplc="2D72D0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4F07ED"/>
    <w:multiLevelType w:val="hybridMultilevel"/>
    <w:tmpl w:val="319E0526"/>
    <w:lvl w:ilvl="0" w:tplc="A13E365E">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823A77"/>
    <w:multiLevelType w:val="hybridMultilevel"/>
    <w:tmpl w:val="FA0C3E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AD06EA"/>
    <w:multiLevelType w:val="hybridMultilevel"/>
    <w:tmpl w:val="AF46C5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1606406"/>
    <w:multiLevelType w:val="hybridMultilevel"/>
    <w:tmpl w:val="0DF01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DCD106E"/>
    <w:multiLevelType w:val="multilevel"/>
    <w:tmpl w:val="31669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4"/>
  </w:num>
  <w:num w:numId="4">
    <w:abstractNumId w:val="1"/>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8F5"/>
    <w:rsid w:val="000020C6"/>
    <w:rsid w:val="00002D16"/>
    <w:rsid w:val="000037D0"/>
    <w:rsid w:val="00004B04"/>
    <w:rsid w:val="00010C3A"/>
    <w:rsid w:val="0001196C"/>
    <w:rsid w:val="00014B26"/>
    <w:rsid w:val="00024879"/>
    <w:rsid w:val="00030135"/>
    <w:rsid w:val="00030A35"/>
    <w:rsid w:val="000360A1"/>
    <w:rsid w:val="000407B3"/>
    <w:rsid w:val="00045BCE"/>
    <w:rsid w:val="00047F51"/>
    <w:rsid w:val="000530C1"/>
    <w:rsid w:val="00056127"/>
    <w:rsid w:val="00060D1F"/>
    <w:rsid w:val="000613C8"/>
    <w:rsid w:val="0006376A"/>
    <w:rsid w:val="000647F0"/>
    <w:rsid w:val="00064BB8"/>
    <w:rsid w:val="000750C4"/>
    <w:rsid w:val="00087235"/>
    <w:rsid w:val="00090962"/>
    <w:rsid w:val="00094F3B"/>
    <w:rsid w:val="000958DC"/>
    <w:rsid w:val="000976FE"/>
    <w:rsid w:val="000A0128"/>
    <w:rsid w:val="000B4E84"/>
    <w:rsid w:val="000B4EBB"/>
    <w:rsid w:val="000C0776"/>
    <w:rsid w:val="000C3CF2"/>
    <w:rsid w:val="000D5465"/>
    <w:rsid w:val="000D5792"/>
    <w:rsid w:val="000E6FB2"/>
    <w:rsid w:val="000F05C2"/>
    <w:rsid w:val="000F3521"/>
    <w:rsid w:val="000F5561"/>
    <w:rsid w:val="000F5AB7"/>
    <w:rsid w:val="000F62AF"/>
    <w:rsid w:val="000F72BF"/>
    <w:rsid w:val="00103CE7"/>
    <w:rsid w:val="00103ED7"/>
    <w:rsid w:val="00106101"/>
    <w:rsid w:val="001106F0"/>
    <w:rsid w:val="00113443"/>
    <w:rsid w:val="001143D3"/>
    <w:rsid w:val="0011597C"/>
    <w:rsid w:val="001230D4"/>
    <w:rsid w:val="00126DAC"/>
    <w:rsid w:val="00133C47"/>
    <w:rsid w:val="00133E83"/>
    <w:rsid w:val="00134AA5"/>
    <w:rsid w:val="00137040"/>
    <w:rsid w:val="00142046"/>
    <w:rsid w:val="001422DC"/>
    <w:rsid w:val="001451A6"/>
    <w:rsid w:val="00147132"/>
    <w:rsid w:val="001471F0"/>
    <w:rsid w:val="00151461"/>
    <w:rsid w:val="00152567"/>
    <w:rsid w:val="001532D2"/>
    <w:rsid w:val="001547DB"/>
    <w:rsid w:val="00155302"/>
    <w:rsid w:val="00157C7E"/>
    <w:rsid w:val="00157FC1"/>
    <w:rsid w:val="001637A6"/>
    <w:rsid w:val="00166F3C"/>
    <w:rsid w:val="0016788F"/>
    <w:rsid w:val="001723B0"/>
    <w:rsid w:val="001736C7"/>
    <w:rsid w:val="00175E19"/>
    <w:rsid w:val="00181674"/>
    <w:rsid w:val="001873E1"/>
    <w:rsid w:val="001908B3"/>
    <w:rsid w:val="001925DD"/>
    <w:rsid w:val="00195556"/>
    <w:rsid w:val="0019563C"/>
    <w:rsid w:val="001A0C79"/>
    <w:rsid w:val="001A32F8"/>
    <w:rsid w:val="001A6FAF"/>
    <w:rsid w:val="001B2613"/>
    <w:rsid w:val="001B3521"/>
    <w:rsid w:val="001B3DBA"/>
    <w:rsid w:val="001B7FE5"/>
    <w:rsid w:val="001C0D5D"/>
    <w:rsid w:val="001D7721"/>
    <w:rsid w:val="001E3E61"/>
    <w:rsid w:val="001F16D4"/>
    <w:rsid w:val="001F4F72"/>
    <w:rsid w:val="002002BB"/>
    <w:rsid w:val="00200FCC"/>
    <w:rsid w:val="00201B89"/>
    <w:rsid w:val="00205C48"/>
    <w:rsid w:val="00212944"/>
    <w:rsid w:val="002139B6"/>
    <w:rsid w:val="00216E4C"/>
    <w:rsid w:val="00231CD7"/>
    <w:rsid w:val="002418C7"/>
    <w:rsid w:val="00242AAC"/>
    <w:rsid w:val="0025090F"/>
    <w:rsid w:val="0025146C"/>
    <w:rsid w:val="00253D62"/>
    <w:rsid w:val="00255ACE"/>
    <w:rsid w:val="0026405B"/>
    <w:rsid w:val="0026423C"/>
    <w:rsid w:val="002734AA"/>
    <w:rsid w:val="00276DAA"/>
    <w:rsid w:val="00277884"/>
    <w:rsid w:val="00281737"/>
    <w:rsid w:val="00281B5A"/>
    <w:rsid w:val="002853A7"/>
    <w:rsid w:val="00290BFA"/>
    <w:rsid w:val="00290DE8"/>
    <w:rsid w:val="0029315E"/>
    <w:rsid w:val="002A30A7"/>
    <w:rsid w:val="002A5526"/>
    <w:rsid w:val="002A776F"/>
    <w:rsid w:val="002B1151"/>
    <w:rsid w:val="002B28A3"/>
    <w:rsid w:val="002B3DA6"/>
    <w:rsid w:val="002B66CD"/>
    <w:rsid w:val="002C1492"/>
    <w:rsid w:val="002C1B2C"/>
    <w:rsid w:val="002C5698"/>
    <w:rsid w:val="002D15D4"/>
    <w:rsid w:val="002D3AE7"/>
    <w:rsid w:val="002D49F2"/>
    <w:rsid w:val="002D7BFA"/>
    <w:rsid w:val="002E4CAB"/>
    <w:rsid w:val="002E5471"/>
    <w:rsid w:val="002E6988"/>
    <w:rsid w:val="002F40AD"/>
    <w:rsid w:val="002F5AFA"/>
    <w:rsid w:val="0030673E"/>
    <w:rsid w:val="00306C49"/>
    <w:rsid w:val="0030737F"/>
    <w:rsid w:val="00310BD2"/>
    <w:rsid w:val="00311695"/>
    <w:rsid w:val="00314675"/>
    <w:rsid w:val="003172D5"/>
    <w:rsid w:val="003264C1"/>
    <w:rsid w:val="00326CF4"/>
    <w:rsid w:val="00327A51"/>
    <w:rsid w:val="00327FB7"/>
    <w:rsid w:val="003333D1"/>
    <w:rsid w:val="003349B8"/>
    <w:rsid w:val="00343F89"/>
    <w:rsid w:val="003534F6"/>
    <w:rsid w:val="00357324"/>
    <w:rsid w:val="00361917"/>
    <w:rsid w:val="00361992"/>
    <w:rsid w:val="00364C91"/>
    <w:rsid w:val="00365567"/>
    <w:rsid w:val="00365953"/>
    <w:rsid w:val="00367FF6"/>
    <w:rsid w:val="00370CE0"/>
    <w:rsid w:val="00373BA7"/>
    <w:rsid w:val="00382DE8"/>
    <w:rsid w:val="00383C8B"/>
    <w:rsid w:val="003845DF"/>
    <w:rsid w:val="003939DE"/>
    <w:rsid w:val="003A1147"/>
    <w:rsid w:val="003A1494"/>
    <w:rsid w:val="003A4D1C"/>
    <w:rsid w:val="003A545D"/>
    <w:rsid w:val="003B3618"/>
    <w:rsid w:val="003C0F4F"/>
    <w:rsid w:val="003C41C9"/>
    <w:rsid w:val="003C7168"/>
    <w:rsid w:val="003D13D6"/>
    <w:rsid w:val="003D1D95"/>
    <w:rsid w:val="003E0D33"/>
    <w:rsid w:val="003F0664"/>
    <w:rsid w:val="003F1865"/>
    <w:rsid w:val="003F3C45"/>
    <w:rsid w:val="003F6A08"/>
    <w:rsid w:val="003F7C16"/>
    <w:rsid w:val="004060E6"/>
    <w:rsid w:val="004120CB"/>
    <w:rsid w:val="0041281A"/>
    <w:rsid w:val="00420BD5"/>
    <w:rsid w:val="00427CA8"/>
    <w:rsid w:val="00431DBD"/>
    <w:rsid w:val="004361AF"/>
    <w:rsid w:val="0043627E"/>
    <w:rsid w:val="0044323E"/>
    <w:rsid w:val="00443E72"/>
    <w:rsid w:val="004461BE"/>
    <w:rsid w:val="004504C5"/>
    <w:rsid w:val="00462808"/>
    <w:rsid w:val="00467777"/>
    <w:rsid w:val="004727C7"/>
    <w:rsid w:val="00472C8F"/>
    <w:rsid w:val="00476E18"/>
    <w:rsid w:val="00482FDC"/>
    <w:rsid w:val="00485502"/>
    <w:rsid w:val="00497AD7"/>
    <w:rsid w:val="004B03FE"/>
    <w:rsid w:val="004B12C4"/>
    <w:rsid w:val="004C7BD1"/>
    <w:rsid w:val="004D2CBE"/>
    <w:rsid w:val="004D32F1"/>
    <w:rsid w:val="004D33D1"/>
    <w:rsid w:val="004D48CE"/>
    <w:rsid w:val="004D7097"/>
    <w:rsid w:val="004F1433"/>
    <w:rsid w:val="005031B9"/>
    <w:rsid w:val="00504ADA"/>
    <w:rsid w:val="005068C4"/>
    <w:rsid w:val="005120ED"/>
    <w:rsid w:val="00513B95"/>
    <w:rsid w:val="005168E3"/>
    <w:rsid w:val="00524A95"/>
    <w:rsid w:val="00525DF7"/>
    <w:rsid w:val="00533F01"/>
    <w:rsid w:val="00533FFF"/>
    <w:rsid w:val="0053638F"/>
    <w:rsid w:val="00537D8E"/>
    <w:rsid w:val="0055089C"/>
    <w:rsid w:val="00551847"/>
    <w:rsid w:val="005574DE"/>
    <w:rsid w:val="0056259D"/>
    <w:rsid w:val="0056443E"/>
    <w:rsid w:val="005649EF"/>
    <w:rsid w:val="00564D1A"/>
    <w:rsid w:val="005727B8"/>
    <w:rsid w:val="005809F3"/>
    <w:rsid w:val="00582609"/>
    <w:rsid w:val="00583041"/>
    <w:rsid w:val="00583170"/>
    <w:rsid w:val="005863F6"/>
    <w:rsid w:val="005864CB"/>
    <w:rsid w:val="005926C0"/>
    <w:rsid w:val="005B05AC"/>
    <w:rsid w:val="005B12C9"/>
    <w:rsid w:val="005B6865"/>
    <w:rsid w:val="005B7EA2"/>
    <w:rsid w:val="005C2C16"/>
    <w:rsid w:val="005C680B"/>
    <w:rsid w:val="005D0832"/>
    <w:rsid w:val="005D4DAA"/>
    <w:rsid w:val="005E1EFF"/>
    <w:rsid w:val="005E3701"/>
    <w:rsid w:val="005E4933"/>
    <w:rsid w:val="005F14BE"/>
    <w:rsid w:val="005F2802"/>
    <w:rsid w:val="006054C3"/>
    <w:rsid w:val="00605918"/>
    <w:rsid w:val="00605FCB"/>
    <w:rsid w:val="00607F0B"/>
    <w:rsid w:val="00612115"/>
    <w:rsid w:val="0061229F"/>
    <w:rsid w:val="006243DA"/>
    <w:rsid w:val="006314CC"/>
    <w:rsid w:val="00631731"/>
    <w:rsid w:val="00632AAD"/>
    <w:rsid w:val="00636F5A"/>
    <w:rsid w:val="00642ED0"/>
    <w:rsid w:val="00644D25"/>
    <w:rsid w:val="00644E63"/>
    <w:rsid w:val="00652117"/>
    <w:rsid w:val="006530A8"/>
    <w:rsid w:val="00654508"/>
    <w:rsid w:val="006571CF"/>
    <w:rsid w:val="00670598"/>
    <w:rsid w:val="00670AAC"/>
    <w:rsid w:val="00670F09"/>
    <w:rsid w:val="00672332"/>
    <w:rsid w:val="00676336"/>
    <w:rsid w:val="00684532"/>
    <w:rsid w:val="00687133"/>
    <w:rsid w:val="00693009"/>
    <w:rsid w:val="006935AC"/>
    <w:rsid w:val="00695481"/>
    <w:rsid w:val="006A552C"/>
    <w:rsid w:val="006B122C"/>
    <w:rsid w:val="006B1C7F"/>
    <w:rsid w:val="006B211A"/>
    <w:rsid w:val="006B5A6C"/>
    <w:rsid w:val="006B625D"/>
    <w:rsid w:val="006B6946"/>
    <w:rsid w:val="006B7235"/>
    <w:rsid w:val="006C3D1D"/>
    <w:rsid w:val="006C650D"/>
    <w:rsid w:val="006C69BE"/>
    <w:rsid w:val="006D3BFD"/>
    <w:rsid w:val="006E0CD3"/>
    <w:rsid w:val="006E2698"/>
    <w:rsid w:val="006E3F52"/>
    <w:rsid w:val="006F4D93"/>
    <w:rsid w:val="006F504E"/>
    <w:rsid w:val="006F69CB"/>
    <w:rsid w:val="006F71DF"/>
    <w:rsid w:val="00702F56"/>
    <w:rsid w:val="00703832"/>
    <w:rsid w:val="00703A91"/>
    <w:rsid w:val="007108B1"/>
    <w:rsid w:val="007243AA"/>
    <w:rsid w:val="007273AE"/>
    <w:rsid w:val="00727E1F"/>
    <w:rsid w:val="00732DEF"/>
    <w:rsid w:val="00733951"/>
    <w:rsid w:val="00733D35"/>
    <w:rsid w:val="00736F81"/>
    <w:rsid w:val="007377B2"/>
    <w:rsid w:val="00751583"/>
    <w:rsid w:val="007516A4"/>
    <w:rsid w:val="0076105F"/>
    <w:rsid w:val="00762056"/>
    <w:rsid w:val="00762ACB"/>
    <w:rsid w:val="00773388"/>
    <w:rsid w:val="00780860"/>
    <w:rsid w:val="00794AE5"/>
    <w:rsid w:val="007A1227"/>
    <w:rsid w:val="007A3786"/>
    <w:rsid w:val="007A5274"/>
    <w:rsid w:val="007A7CDD"/>
    <w:rsid w:val="007B1769"/>
    <w:rsid w:val="007B2CBF"/>
    <w:rsid w:val="007B2DAB"/>
    <w:rsid w:val="007B4D96"/>
    <w:rsid w:val="007C17D2"/>
    <w:rsid w:val="007C557B"/>
    <w:rsid w:val="007D6375"/>
    <w:rsid w:val="007D6BCF"/>
    <w:rsid w:val="007D7EB8"/>
    <w:rsid w:val="007E35F7"/>
    <w:rsid w:val="007E39C2"/>
    <w:rsid w:val="007E39E0"/>
    <w:rsid w:val="007E41C4"/>
    <w:rsid w:val="007F1F7C"/>
    <w:rsid w:val="007F2953"/>
    <w:rsid w:val="007F35DC"/>
    <w:rsid w:val="007F38C4"/>
    <w:rsid w:val="007F6CD8"/>
    <w:rsid w:val="007F7D5F"/>
    <w:rsid w:val="0080145E"/>
    <w:rsid w:val="00802B6A"/>
    <w:rsid w:val="00803174"/>
    <w:rsid w:val="008037FF"/>
    <w:rsid w:val="00803FF4"/>
    <w:rsid w:val="00804CD5"/>
    <w:rsid w:val="00807AED"/>
    <w:rsid w:val="008127B2"/>
    <w:rsid w:val="00812DC7"/>
    <w:rsid w:val="00825F99"/>
    <w:rsid w:val="0082770D"/>
    <w:rsid w:val="00832E87"/>
    <w:rsid w:val="00833B05"/>
    <w:rsid w:val="00840EF7"/>
    <w:rsid w:val="008432F6"/>
    <w:rsid w:val="0084679C"/>
    <w:rsid w:val="00847D8A"/>
    <w:rsid w:val="00856826"/>
    <w:rsid w:val="00862A70"/>
    <w:rsid w:val="00866D04"/>
    <w:rsid w:val="00871198"/>
    <w:rsid w:val="0087402D"/>
    <w:rsid w:val="00874A43"/>
    <w:rsid w:val="00875B91"/>
    <w:rsid w:val="0087657C"/>
    <w:rsid w:val="00881F97"/>
    <w:rsid w:val="00892D78"/>
    <w:rsid w:val="008936EE"/>
    <w:rsid w:val="00897A2A"/>
    <w:rsid w:val="008A228A"/>
    <w:rsid w:val="008A5025"/>
    <w:rsid w:val="008B0918"/>
    <w:rsid w:val="008B3D1A"/>
    <w:rsid w:val="008B3FF4"/>
    <w:rsid w:val="008B49B5"/>
    <w:rsid w:val="008D0598"/>
    <w:rsid w:val="008D1ADD"/>
    <w:rsid w:val="008D1E32"/>
    <w:rsid w:val="008D5B0B"/>
    <w:rsid w:val="008D6068"/>
    <w:rsid w:val="008D6CAF"/>
    <w:rsid w:val="008E2A7D"/>
    <w:rsid w:val="008E6C0F"/>
    <w:rsid w:val="008E7B24"/>
    <w:rsid w:val="008F4030"/>
    <w:rsid w:val="008F5289"/>
    <w:rsid w:val="00900341"/>
    <w:rsid w:val="00903030"/>
    <w:rsid w:val="00907988"/>
    <w:rsid w:val="00913573"/>
    <w:rsid w:val="00914204"/>
    <w:rsid w:val="009151F5"/>
    <w:rsid w:val="009164D7"/>
    <w:rsid w:val="0091655B"/>
    <w:rsid w:val="00923755"/>
    <w:rsid w:val="00937861"/>
    <w:rsid w:val="009379D0"/>
    <w:rsid w:val="00942E71"/>
    <w:rsid w:val="00943A18"/>
    <w:rsid w:val="009463BF"/>
    <w:rsid w:val="00946B47"/>
    <w:rsid w:val="00957880"/>
    <w:rsid w:val="009603C2"/>
    <w:rsid w:val="00964484"/>
    <w:rsid w:val="00965F83"/>
    <w:rsid w:val="0096660A"/>
    <w:rsid w:val="0096669E"/>
    <w:rsid w:val="00973DA1"/>
    <w:rsid w:val="00974B82"/>
    <w:rsid w:val="00974FFE"/>
    <w:rsid w:val="00977752"/>
    <w:rsid w:val="0098167A"/>
    <w:rsid w:val="00981F6E"/>
    <w:rsid w:val="00982122"/>
    <w:rsid w:val="00986080"/>
    <w:rsid w:val="00986A9C"/>
    <w:rsid w:val="009918F7"/>
    <w:rsid w:val="0099248B"/>
    <w:rsid w:val="0099276D"/>
    <w:rsid w:val="00992EC5"/>
    <w:rsid w:val="00996EA5"/>
    <w:rsid w:val="009A1DF9"/>
    <w:rsid w:val="009A2558"/>
    <w:rsid w:val="009A59F8"/>
    <w:rsid w:val="009A6719"/>
    <w:rsid w:val="009A7341"/>
    <w:rsid w:val="009A7818"/>
    <w:rsid w:val="009A78C6"/>
    <w:rsid w:val="009A7D49"/>
    <w:rsid w:val="009B46FA"/>
    <w:rsid w:val="009B79CB"/>
    <w:rsid w:val="009C0C1D"/>
    <w:rsid w:val="009C59A4"/>
    <w:rsid w:val="009C638A"/>
    <w:rsid w:val="009C6D55"/>
    <w:rsid w:val="009D28C1"/>
    <w:rsid w:val="009D6ADC"/>
    <w:rsid w:val="009D78D4"/>
    <w:rsid w:val="009E5AD4"/>
    <w:rsid w:val="009E7C83"/>
    <w:rsid w:val="009F19E7"/>
    <w:rsid w:val="009F2546"/>
    <w:rsid w:val="009F62D1"/>
    <w:rsid w:val="00A00B25"/>
    <w:rsid w:val="00A02C72"/>
    <w:rsid w:val="00A04C65"/>
    <w:rsid w:val="00A05470"/>
    <w:rsid w:val="00A06148"/>
    <w:rsid w:val="00A171C9"/>
    <w:rsid w:val="00A17DB2"/>
    <w:rsid w:val="00A210A0"/>
    <w:rsid w:val="00A21B90"/>
    <w:rsid w:val="00A2255D"/>
    <w:rsid w:val="00A22D31"/>
    <w:rsid w:val="00A25AFF"/>
    <w:rsid w:val="00A3491F"/>
    <w:rsid w:val="00A41F89"/>
    <w:rsid w:val="00A4512B"/>
    <w:rsid w:val="00A474CF"/>
    <w:rsid w:val="00A51C4B"/>
    <w:rsid w:val="00A57307"/>
    <w:rsid w:val="00A57D71"/>
    <w:rsid w:val="00A67D1E"/>
    <w:rsid w:val="00A7099C"/>
    <w:rsid w:val="00A73722"/>
    <w:rsid w:val="00A74125"/>
    <w:rsid w:val="00A7649D"/>
    <w:rsid w:val="00A77C7B"/>
    <w:rsid w:val="00A80636"/>
    <w:rsid w:val="00A81BA4"/>
    <w:rsid w:val="00A81D83"/>
    <w:rsid w:val="00A83B46"/>
    <w:rsid w:val="00A84180"/>
    <w:rsid w:val="00A902AE"/>
    <w:rsid w:val="00A92901"/>
    <w:rsid w:val="00A9510A"/>
    <w:rsid w:val="00AB3777"/>
    <w:rsid w:val="00AC7196"/>
    <w:rsid w:val="00AD1B38"/>
    <w:rsid w:val="00AD4078"/>
    <w:rsid w:val="00AE2E54"/>
    <w:rsid w:val="00AE60D7"/>
    <w:rsid w:val="00AF07C0"/>
    <w:rsid w:val="00AF21E2"/>
    <w:rsid w:val="00AF4F19"/>
    <w:rsid w:val="00AF56A5"/>
    <w:rsid w:val="00AF65BF"/>
    <w:rsid w:val="00B05186"/>
    <w:rsid w:val="00B059F6"/>
    <w:rsid w:val="00B12A58"/>
    <w:rsid w:val="00B161FA"/>
    <w:rsid w:val="00B2279F"/>
    <w:rsid w:val="00B259B0"/>
    <w:rsid w:val="00B32286"/>
    <w:rsid w:val="00B339BA"/>
    <w:rsid w:val="00B40E66"/>
    <w:rsid w:val="00B52918"/>
    <w:rsid w:val="00B578DC"/>
    <w:rsid w:val="00B6518C"/>
    <w:rsid w:val="00B7079C"/>
    <w:rsid w:val="00B70D9A"/>
    <w:rsid w:val="00B7225A"/>
    <w:rsid w:val="00B727CE"/>
    <w:rsid w:val="00B8148B"/>
    <w:rsid w:val="00B846F7"/>
    <w:rsid w:val="00B85E7D"/>
    <w:rsid w:val="00B92DC2"/>
    <w:rsid w:val="00B9332B"/>
    <w:rsid w:val="00BA423E"/>
    <w:rsid w:val="00BA4872"/>
    <w:rsid w:val="00BA64A2"/>
    <w:rsid w:val="00BA7958"/>
    <w:rsid w:val="00BB0443"/>
    <w:rsid w:val="00BB1A4F"/>
    <w:rsid w:val="00BB3B74"/>
    <w:rsid w:val="00BB5FED"/>
    <w:rsid w:val="00BB7150"/>
    <w:rsid w:val="00BD6E60"/>
    <w:rsid w:val="00BE0306"/>
    <w:rsid w:val="00BE18A2"/>
    <w:rsid w:val="00BE2D34"/>
    <w:rsid w:val="00BE4953"/>
    <w:rsid w:val="00BE6CFF"/>
    <w:rsid w:val="00BF0D8E"/>
    <w:rsid w:val="00BF70EB"/>
    <w:rsid w:val="00BF7898"/>
    <w:rsid w:val="00C029C8"/>
    <w:rsid w:val="00C02FEF"/>
    <w:rsid w:val="00C11E83"/>
    <w:rsid w:val="00C1509B"/>
    <w:rsid w:val="00C2185D"/>
    <w:rsid w:val="00C2291B"/>
    <w:rsid w:val="00C325EE"/>
    <w:rsid w:val="00C338F5"/>
    <w:rsid w:val="00C3788F"/>
    <w:rsid w:val="00C5667D"/>
    <w:rsid w:val="00C611DE"/>
    <w:rsid w:val="00C62478"/>
    <w:rsid w:val="00C629B2"/>
    <w:rsid w:val="00C65BFC"/>
    <w:rsid w:val="00C662FE"/>
    <w:rsid w:val="00C7001E"/>
    <w:rsid w:val="00C71B03"/>
    <w:rsid w:val="00C7288F"/>
    <w:rsid w:val="00C75854"/>
    <w:rsid w:val="00C76523"/>
    <w:rsid w:val="00C77233"/>
    <w:rsid w:val="00C77D5F"/>
    <w:rsid w:val="00C81B8F"/>
    <w:rsid w:val="00C84CCA"/>
    <w:rsid w:val="00C90A75"/>
    <w:rsid w:val="00C9219E"/>
    <w:rsid w:val="00C923F5"/>
    <w:rsid w:val="00C93E09"/>
    <w:rsid w:val="00CA5986"/>
    <w:rsid w:val="00CA763D"/>
    <w:rsid w:val="00CB1AF5"/>
    <w:rsid w:val="00CB4C33"/>
    <w:rsid w:val="00CB60B4"/>
    <w:rsid w:val="00CB6364"/>
    <w:rsid w:val="00CC1593"/>
    <w:rsid w:val="00CC65F9"/>
    <w:rsid w:val="00CC6E64"/>
    <w:rsid w:val="00CC720F"/>
    <w:rsid w:val="00CC78A2"/>
    <w:rsid w:val="00CC7941"/>
    <w:rsid w:val="00CD0F83"/>
    <w:rsid w:val="00CD576A"/>
    <w:rsid w:val="00CE100E"/>
    <w:rsid w:val="00CE2891"/>
    <w:rsid w:val="00CE382F"/>
    <w:rsid w:val="00CE3ED5"/>
    <w:rsid w:val="00CE4870"/>
    <w:rsid w:val="00CE4FE6"/>
    <w:rsid w:val="00CF3A6A"/>
    <w:rsid w:val="00D00444"/>
    <w:rsid w:val="00D05E6C"/>
    <w:rsid w:val="00D06C6D"/>
    <w:rsid w:val="00D16DB2"/>
    <w:rsid w:val="00D22776"/>
    <w:rsid w:val="00D22B29"/>
    <w:rsid w:val="00D3098B"/>
    <w:rsid w:val="00D342B5"/>
    <w:rsid w:val="00D35335"/>
    <w:rsid w:val="00D3615D"/>
    <w:rsid w:val="00D36D14"/>
    <w:rsid w:val="00D44A62"/>
    <w:rsid w:val="00D45081"/>
    <w:rsid w:val="00D505CD"/>
    <w:rsid w:val="00D563F3"/>
    <w:rsid w:val="00D6012A"/>
    <w:rsid w:val="00D63EB2"/>
    <w:rsid w:val="00D7023E"/>
    <w:rsid w:val="00D727A3"/>
    <w:rsid w:val="00D73DA6"/>
    <w:rsid w:val="00D74713"/>
    <w:rsid w:val="00D74B2D"/>
    <w:rsid w:val="00D76ACD"/>
    <w:rsid w:val="00D850BC"/>
    <w:rsid w:val="00D85187"/>
    <w:rsid w:val="00D9118E"/>
    <w:rsid w:val="00D94144"/>
    <w:rsid w:val="00D96DB1"/>
    <w:rsid w:val="00DA06B4"/>
    <w:rsid w:val="00DA1B92"/>
    <w:rsid w:val="00DA206A"/>
    <w:rsid w:val="00DA3637"/>
    <w:rsid w:val="00DB0166"/>
    <w:rsid w:val="00DB0337"/>
    <w:rsid w:val="00DB5F43"/>
    <w:rsid w:val="00DC0119"/>
    <w:rsid w:val="00DC12A6"/>
    <w:rsid w:val="00DC3C07"/>
    <w:rsid w:val="00DC6A82"/>
    <w:rsid w:val="00DC7F6B"/>
    <w:rsid w:val="00DD5CEF"/>
    <w:rsid w:val="00DD6A5E"/>
    <w:rsid w:val="00DE09C2"/>
    <w:rsid w:val="00DE262F"/>
    <w:rsid w:val="00DE60C0"/>
    <w:rsid w:val="00DE62C1"/>
    <w:rsid w:val="00DF044E"/>
    <w:rsid w:val="00DF149B"/>
    <w:rsid w:val="00DF60CE"/>
    <w:rsid w:val="00E020C5"/>
    <w:rsid w:val="00E0240A"/>
    <w:rsid w:val="00E03041"/>
    <w:rsid w:val="00E03F1A"/>
    <w:rsid w:val="00E07847"/>
    <w:rsid w:val="00E107B5"/>
    <w:rsid w:val="00E13205"/>
    <w:rsid w:val="00E21A6F"/>
    <w:rsid w:val="00E23215"/>
    <w:rsid w:val="00E23681"/>
    <w:rsid w:val="00E26191"/>
    <w:rsid w:val="00E310BF"/>
    <w:rsid w:val="00E31581"/>
    <w:rsid w:val="00E36BEA"/>
    <w:rsid w:val="00E36F69"/>
    <w:rsid w:val="00E42372"/>
    <w:rsid w:val="00E45604"/>
    <w:rsid w:val="00E45967"/>
    <w:rsid w:val="00E467F1"/>
    <w:rsid w:val="00E47604"/>
    <w:rsid w:val="00E51B00"/>
    <w:rsid w:val="00E54149"/>
    <w:rsid w:val="00E557C8"/>
    <w:rsid w:val="00E602CA"/>
    <w:rsid w:val="00E64F3E"/>
    <w:rsid w:val="00E70A44"/>
    <w:rsid w:val="00E7580A"/>
    <w:rsid w:val="00E8068B"/>
    <w:rsid w:val="00E80FDD"/>
    <w:rsid w:val="00E83246"/>
    <w:rsid w:val="00E85154"/>
    <w:rsid w:val="00E94979"/>
    <w:rsid w:val="00E95895"/>
    <w:rsid w:val="00EA5212"/>
    <w:rsid w:val="00EB0F16"/>
    <w:rsid w:val="00EB1F6A"/>
    <w:rsid w:val="00EB4310"/>
    <w:rsid w:val="00EB7156"/>
    <w:rsid w:val="00EC5659"/>
    <w:rsid w:val="00EC5B80"/>
    <w:rsid w:val="00EC76A0"/>
    <w:rsid w:val="00ED0A7B"/>
    <w:rsid w:val="00ED159E"/>
    <w:rsid w:val="00ED2BF5"/>
    <w:rsid w:val="00ED38EF"/>
    <w:rsid w:val="00ED54BE"/>
    <w:rsid w:val="00ED7E3B"/>
    <w:rsid w:val="00EE3594"/>
    <w:rsid w:val="00EF086C"/>
    <w:rsid w:val="00EF7570"/>
    <w:rsid w:val="00F004E4"/>
    <w:rsid w:val="00F01F21"/>
    <w:rsid w:val="00F049CA"/>
    <w:rsid w:val="00F11F6F"/>
    <w:rsid w:val="00F16095"/>
    <w:rsid w:val="00F4544F"/>
    <w:rsid w:val="00F5537D"/>
    <w:rsid w:val="00F56065"/>
    <w:rsid w:val="00F6167F"/>
    <w:rsid w:val="00F626E5"/>
    <w:rsid w:val="00F64DC5"/>
    <w:rsid w:val="00F72FEC"/>
    <w:rsid w:val="00F7495E"/>
    <w:rsid w:val="00F74B0C"/>
    <w:rsid w:val="00F76DA9"/>
    <w:rsid w:val="00F8474A"/>
    <w:rsid w:val="00F84D6B"/>
    <w:rsid w:val="00F86AF2"/>
    <w:rsid w:val="00F90770"/>
    <w:rsid w:val="00F91496"/>
    <w:rsid w:val="00F951EE"/>
    <w:rsid w:val="00FA0205"/>
    <w:rsid w:val="00FA43BE"/>
    <w:rsid w:val="00FB09C0"/>
    <w:rsid w:val="00FB4381"/>
    <w:rsid w:val="00FB6503"/>
    <w:rsid w:val="00FC1AE6"/>
    <w:rsid w:val="00FC7DCF"/>
    <w:rsid w:val="00FD121F"/>
    <w:rsid w:val="00FD4E93"/>
    <w:rsid w:val="00FD5B01"/>
    <w:rsid w:val="00FD7A3F"/>
    <w:rsid w:val="00FE224B"/>
    <w:rsid w:val="00FF17B9"/>
    <w:rsid w:val="00FF1A79"/>
    <w:rsid w:val="00FF5EE5"/>
    <w:rsid w:val="00FF61F4"/>
    <w:rsid w:val="00FF7603"/>
  </w:rsids>
  <m:mathPr>
    <m:mathFont m:val="Cambria Math"/>
    <m:brkBin m:val="before"/>
    <m:brkBinSub m:val="--"/>
    <m:smallFrac m:val="0"/>
    <m:dispDef/>
    <m:lMargin m:val="0"/>
    <m:rMargin m:val="0"/>
    <m:defJc m:val="centerGroup"/>
    <m:wrapIndent m:val="1440"/>
    <m:intLim m:val="subSup"/>
    <m:naryLim m:val="undOvr"/>
  </m:mathPr>
  <w:themeFontLang w:val="pt-B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CA8F"/>
  <w15:docId w15:val="{E697C62B-CD0B-48BF-92E4-DD3EEBE2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2B5"/>
    <w:pPr>
      <w:spacing w:after="0" w:line="360" w:lineRule="auto"/>
      <w:ind w:firstLine="709"/>
      <w:jc w:val="both"/>
    </w:pPr>
    <w:rPr>
      <w:rFonts w:ascii="Times New Roman" w:hAnsi="Times New Roman"/>
      <w:sz w:val="24"/>
    </w:rPr>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B2DAB"/>
    <w:pPr>
      <w:keepNext/>
      <w:keepLines/>
      <w:spacing w:before="200"/>
      <w:outlineLvl w:val="1"/>
    </w:pPr>
    <w:rPr>
      <w:rFonts w:ascii="Arial" w:eastAsiaTheme="majorEastAsia" w:hAnsi="Arial" w:cstheme="majorBidi"/>
      <w:bCs/>
      <w:color w:val="000000" w:themeColor="text1"/>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customStyle="1" w:styleId="Ttulo2Char">
    <w:name w:val="Título 2 Char"/>
    <w:basedOn w:val="Fontepargpadro"/>
    <w:link w:val="Ttulo2"/>
    <w:uiPriority w:val="9"/>
    <w:rsid w:val="007B2DAB"/>
    <w:rPr>
      <w:rFonts w:ascii="Arial" w:eastAsiaTheme="majorEastAsia" w:hAnsi="Arial" w:cstheme="majorBidi"/>
      <w:bCs/>
      <w:color w:val="000000" w:themeColor="text1"/>
      <w:sz w:val="24"/>
      <w:szCs w:val="26"/>
    </w:rPr>
  </w:style>
  <w:style w:type="character" w:styleId="Hyperlink">
    <w:name w:val="Hyperlink"/>
    <w:basedOn w:val="Fontepargpadro"/>
    <w:uiPriority w:val="99"/>
    <w:unhideWhenUsed/>
    <w:rsid w:val="00654508"/>
    <w:rPr>
      <w:color w:val="0000FF" w:themeColor="hyperlink"/>
      <w:u w:val="single"/>
    </w:rPr>
  </w:style>
  <w:style w:type="paragraph" w:styleId="Cabealho">
    <w:name w:val="header"/>
    <w:basedOn w:val="Normal"/>
    <w:link w:val="CabealhoChar"/>
    <w:uiPriority w:val="99"/>
    <w:unhideWhenUsed/>
    <w:rsid w:val="006B6946"/>
    <w:pPr>
      <w:tabs>
        <w:tab w:val="center" w:pos="4252"/>
        <w:tab w:val="right" w:pos="8504"/>
      </w:tabs>
      <w:spacing w:line="240" w:lineRule="auto"/>
    </w:pPr>
  </w:style>
  <w:style w:type="character" w:customStyle="1" w:styleId="CabealhoChar">
    <w:name w:val="Cabeçalho Char"/>
    <w:basedOn w:val="Fontepargpadro"/>
    <w:link w:val="Cabealho"/>
    <w:uiPriority w:val="99"/>
    <w:rsid w:val="006B6946"/>
  </w:style>
  <w:style w:type="paragraph" w:styleId="Rodap">
    <w:name w:val="footer"/>
    <w:basedOn w:val="Normal"/>
    <w:link w:val="RodapChar"/>
    <w:uiPriority w:val="99"/>
    <w:unhideWhenUsed/>
    <w:rsid w:val="006B6946"/>
    <w:pPr>
      <w:tabs>
        <w:tab w:val="center" w:pos="4252"/>
        <w:tab w:val="right" w:pos="8504"/>
      </w:tabs>
      <w:spacing w:line="240" w:lineRule="auto"/>
    </w:pPr>
  </w:style>
  <w:style w:type="character" w:customStyle="1" w:styleId="RodapChar">
    <w:name w:val="Rodapé Char"/>
    <w:basedOn w:val="Fontepargpadro"/>
    <w:link w:val="Rodap"/>
    <w:uiPriority w:val="99"/>
    <w:rsid w:val="006B6946"/>
  </w:style>
  <w:style w:type="table" w:styleId="Tabelacomgrade">
    <w:name w:val="Table Grid"/>
    <w:basedOn w:val="Tabelanormal"/>
    <w:uiPriority w:val="59"/>
    <w:rsid w:val="007515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11F6F"/>
    <w:rPr>
      <w:color w:val="800080" w:themeColor="followedHyperlink"/>
      <w:u w:val="single"/>
    </w:rPr>
  </w:style>
  <w:style w:type="character" w:styleId="Refdecomentrio">
    <w:name w:val="annotation reference"/>
    <w:basedOn w:val="Fontepargpadro"/>
    <w:uiPriority w:val="99"/>
    <w:semiHidden/>
    <w:unhideWhenUsed/>
    <w:rsid w:val="00FA0205"/>
    <w:rPr>
      <w:sz w:val="16"/>
      <w:szCs w:val="16"/>
    </w:rPr>
  </w:style>
  <w:style w:type="paragraph" w:styleId="Textodecomentrio">
    <w:name w:val="annotation text"/>
    <w:basedOn w:val="Normal"/>
    <w:link w:val="TextodecomentrioChar"/>
    <w:uiPriority w:val="99"/>
    <w:unhideWhenUsed/>
    <w:rsid w:val="00FA0205"/>
    <w:pPr>
      <w:spacing w:line="240" w:lineRule="auto"/>
    </w:pPr>
    <w:rPr>
      <w:sz w:val="20"/>
      <w:szCs w:val="20"/>
    </w:rPr>
  </w:style>
  <w:style w:type="character" w:customStyle="1" w:styleId="TextodecomentrioChar">
    <w:name w:val="Texto de comentário Char"/>
    <w:basedOn w:val="Fontepargpadro"/>
    <w:link w:val="Textodecomentrio"/>
    <w:uiPriority w:val="99"/>
    <w:rsid w:val="00FA0205"/>
    <w:rPr>
      <w:sz w:val="20"/>
      <w:szCs w:val="20"/>
    </w:rPr>
  </w:style>
  <w:style w:type="paragraph" w:styleId="Assuntodocomentrio">
    <w:name w:val="annotation subject"/>
    <w:basedOn w:val="Textodecomentrio"/>
    <w:next w:val="Textodecomentrio"/>
    <w:link w:val="AssuntodocomentrioChar"/>
    <w:uiPriority w:val="99"/>
    <w:semiHidden/>
    <w:unhideWhenUsed/>
    <w:rsid w:val="00FA0205"/>
    <w:rPr>
      <w:b/>
      <w:bCs/>
    </w:rPr>
  </w:style>
  <w:style w:type="character" w:customStyle="1" w:styleId="AssuntodocomentrioChar">
    <w:name w:val="Assunto do comentário Char"/>
    <w:basedOn w:val="TextodecomentrioChar"/>
    <w:link w:val="Assuntodocomentrio"/>
    <w:uiPriority w:val="99"/>
    <w:semiHidden/>
    <w:rsid w:val="00FA0205"/>
    <w:rPr>
      <w:b/>
      <w:bCs/>
      <w:sz w:val="20"/>
      <w:szCs w:val="20"/>
    </w:rPr>
  </w:style>
  <w:style w:type="paragraph" w:styleId="SemEspaamento">
    <w:name w:val="No Spacing"/>
    <w:uiPriority w:val="1"/>
    <w:qFormat/>
    <w:rsid w:val="00D342B5"/>
    <w:pPr>
      <w:spacing w:after="0" w:line="240" w:lineRule="auto"/>
      <w:ind w:firstLine="709"/>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9447">
      <w:bodyDiv w:val="1"/>
      <w:marLeft w:val="0"/>
      <w:marRight w:val="0"/>
      <w:marTop w:val="0"/>
      <w:marBottom w:val="0"/>
      <w:divBdr>
        <w:top w:val="none" w:sz="0" w:space="0" w:color="auto"/>
        <w:left w:val="none" w:sz="0" w:space="0" w:color="auto"/>
        <w:bottom w:val="none" w:sz="0" w:space="0" w:color="auto"/>
        <w:right w:val="none" w:sz="0" w:space="0" w:color="auto"/>
      </w:divBdr>
    </w:div>
    <w:div w:id="344747202">
      <w:bodyDiv w:val="1"/>
      <w:marLeft w:val="0"/>
      <w:marRight w:val="0"/>
      <w:marTop w:val="0"/>
      <w:marBottom w:val="0"/>
      <w:divBdr>
        <w:top w:val="none" w:sz="0" w:space="0" w:color="auto"/>
        <w:left w:val="none" w:sz="0" w:space="0" w:color="auto"/>
        <w:bottom w:val="none" w:sz="0" w:space="0" w:color="auto"/>
        <w:right w:val="none" w:sz="0" w:space="0" w:color="auto"/>
      </w:divBdr>
    </w:div>
    <w:div w:id="439224611">
      <w:bodyDiv w:val="1"/>
      <w:marLeft w:val="0"/>
      <w:marRight w:val="0"/>
      <w:marTop w:val="0"/>
      <w:marBottom w:val="0"/>
      <w:divBdr>
        <w:top w:val="none" w:sz="0" w:space="0" w:color="auto"/>
        <w:left w:val="none" w:sz="0" w:space="0" w:color="auto"/>
        <w:bottom w:val="none" w:sz="0" w:space="0" w:color="auto"/>
        <w:right w:val="none" w:sz="0" w:space="0" w:color="auto"/>
      </w:divBdr>
    </w:div>
    <w:div w:id="601838184">
      <w:bodyDiv w:val="1"/>
      <w:marLeft w:val="0"/>
      <w:marRight w:val="0"/>
      <w:marTop w:val="0"/>
      <w:marBottom w:val="0"/>
      <w:divBdr>
        <w:top w:val="none" w:sz="0" w:space="0" w:color="auto"/>
        <w:left w:val="none" w:sz="0" w:space="0" w:color="auto"/>
        <w:bottom w:val="none" w:sz="0" w:space="0" w:color="auto"/>
        <w:right w:val="none" w:sz="0" w:space="0" w:color="auto"/>
      </w:divBdr>
    </w:div>
    <w:div w:id="1729261490">
      <w:bodyDiv w:val="1"/>
      <w:marLeft w:val="0"/>
      <w:marRight w:val="0"/>
      <w:marTop w:val="0"/>
      <w:marBottom w:val="0"/>
      <w:divBdr>
        <w:top w:val="none" w:sz="0" w:space="0" w:color="auto"/>
        <w:left w:val="none" w:sz="0" w:space="0" w:color="auto"/>
        <w:bottom w:val="none" w:sz="0" w:space="0" w:color="auto"/>
        <w:right w:val="none" w:sz="0" w:space="0" w:color="auto"/>
      </w:divBdr>
    </w:div>
    <w:div w:id="2066827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ntander.com.br/cartoes-santander/solucoes-de-pagamento/total-parcelado"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Coluna1</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ACC-461A-9262-F7A0D5464814}"/>
              </c:ext>
            </c:extLst>
          </c:dPt>
          <c:dPt>
            <c:idx val="1"/>
            <c:bubble3D val="0"/>
            <c:explosion val="11"/>
            <c:spPr>
              <a:solidFill>
                <a:schemeClr val="accent5"/>
              </a:solidFill>
              <a:ln w="19050">
                <a:solidFill>
                  <a:schemeClr val="lt1"/>
                </a:solidFill>
              </a:ln>
              <a:effectLst/>
            </c:spPr>
            <c:extLst>
              <c:ext xmlns:c16="http://schemas.microsoft.com/office/drawing/2014/chart" uri="{C3380CC4-5D6E-409C-BE32-E72D297353CC}">
                <c16:uniqueId val="{00000003-9ACC-461A-9262-F7A0D5464814}"/>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ACC-461A-9262-F7A0D5464814}"/>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ACC-461A-9262-F7A0D5464814}"/>
              </c:ext>
            </c:extLst>
          </c:dPt>
          <c:dLbls>
            <c:dLbl>
              <c:idx val="0"/>
              <c:layout>
                <c:manualLayout>
                  <c:x val="5.524571859456727E-3"/>
                  <c:y val="8.963916095853871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54D9CF40-6699-462C-B336-24D0F9759B17}" type="VALUE">
                      <a:rPr lang="en-US" sz="1200">
                        <a:latin typeface="Times New Roman" panose="02020603050405020304" pitchFamily="18" charset="0"/>
                        <a:cs typeface="Times New Roman" panose="02020603050405020304" pitchFamily="18" charset="0"/>
                      </a:rPr>
                      <a:pPr>
                        <a:defRPr/>
                      </a:pPr>
                      <a:t>[VALOR]</a:t>
                    </a:fld>
                    <a:endParaRPr lang="pt-B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1"/>
              <c:showCatName val="0"/>
              <c:showSerName val="0"/>
              <c:showPercent val="0"/>
              <c:showBubbleSize val="0"/>
              <c:extLst>
                <c:ext xmlns:c15="http://schemas.microsoft.com/office/drawing/2012/chart" uri="{CE6537A1-D6FC-4f65-9D91-7224C49458BB}">
                  <c15:layout>
                    <c:manualLayout>
                      <c:w val="0.38885311987935212"/>
                      <c:h val="0.18044128630262682"/>
                    </c:manualLayout>
                  </c15:layout>
                  <c15:dlblFieldTable/>
                  <c15:showDataLabelsRange val="0"/>
                </c:ext>
                <c:ext xmlns:c16="http://schemas.microsoft.com/office/drawing/2014/chart" uri="{C3380CC4-5D6E-409C-BE32-E72D297353CC}">
                  <c16:uniqueId val="{00000001-9ACC-461A-9262-F7A0D5464814}"/>
                </c:ext>
              </c:extLst>
            </c:dLbl>
            <c:dLbl>
              <c:idx val="1"/>
              <c:layout>
                <c:manualLayout>
                  <c:x val="0.53690419222459074"/>
                  <c:y val="-2.988413033736636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5EAD41CB-184C-4C8E-826C-7B0A256B5E4F}" type="VALUE">
                      <a:rPr lang="en-US" sz="1200">
                        <a:latin typeface="Times New Roman" panose="02020603050405020304" pitchFamily="18" charset="0"/>
                        <a:cs typeface="Times New Roman" panose="02020603050405020304" pitchFamily="18" charset="0"/>
                      </a:rPr>
                      <a:pPr>
                        <a:defRPr/>
                      </a:pPr>
                      <a:t>[VALOR]</a:t>
                    </a:fld>
                    <a:endParaRPr lang="pt-B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1"/>
              <c:showCatName val="0"/>
              <c:showSerName val="0"/>
              <c:showPercent val="0"/>
              <c:showBubbleSize val="0"/>
              <c:extLst>
                <c:ext xmlns:c15="http://schemas.microsoft.com/office/drawing/2012/chart" uri="{CE6537A1-D6FC-4f65-9D91-7224C49458BB}">
                  <c15:layout>
                    <c:manualLayout>
                      <c:w val="0.41744377256710308"/>
                      <c:h val="0.17189979301367816"/>
                    </c:manualLayout>
                  </c15:layout>
                  <c15:dlblFieldTable/>
                  <c15:showDataLabelsRange val="0"/>
                </c:ext>
                <c:ext xmlns:c16="http://schemas.microsoft.com/office/drawing/2014/chart" uri="{C3380CC4-5D6E-409C-BE32-E72D297353CC}">
                  <c16:uniqueId val="{00000003-9ACC-461A-9262-F7A0D54648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Planilha1!$A$2:$A$5</c:f>
              <c:strCache>
                <c:ptCount val="2"/>
                <c:pt idx="0">
                  <c:v>A e B</c:v>
                </c:pt>
                <c:pt idx="1">
                  <c:v>C e D</c:v>
                </c:pt>
              </c:strCache>
            </c:strRef>
          </c:cat>
          <c:val>
            <c:numRef>
              <c:f>Planilha1!$B$2:$B$5</c:f>
              <c:numCache>
                <c:formatCode>#,##0.00</c:formatCode>
                <c:ptCount val="4"/>
                <c:pt idx="0">
                  <c:v>42751773212.029999</c:v>
                </c:pt>
                <c:pt idx="1">
                  <c:v>212758112997.81</c:v>
                </c:pt>
              </c:numCache>
            </c:numRef>
          </c:val>
          <c:extLst>
            <c:ext xmlns:c16="http://schemas.microsoft.com/office/drawing/2014/chart" uri="{C3380CC4-5D6E-409C-BE32-E72D297353CC}">
              <c16:uniqueId val="{00000008-9ACC-461A-9262-F7A0D546481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ayout>
        <c:manualLayout>
          <c:xMode val="edge"/>
          <c:yMode val="edge"/>
          <c:x val="0.74779165035309814"/>
          <c:y val="0.38289823528156541"/>
          <c:w val="0.20755499485216281"/>
          <c:h val="0.253958133282120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61478-042A-4886-A1F8-E8DBD28B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26</Pages>
  <Words>7787</Words>
  <Characters>42050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Welber Nogueira</cp:lastModifiedBy>
  <cp:revision>24</cp:revision>
  <dcterms:created xsi:type="dcterms:W3CDTF">2020-05-30T18:02:00Z</dcterms:created>
  <dcterms:modified xsi:type="dcterms:W3CDTF">2020-06-05T01:28:00Z</dcterms:modified>
</cp:coreProperties>
</file>