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A9" w:rsidRDefault="006C2EF5" w:rsidP="006C2EF5">
      <w:pPr>
        <w:pStyle w:val="SemEspaamento"/>
        <w:tabs>
          <w:tab w:val="center" w:pos="4535"/>
          <w:tab w:val="left" w:pos="804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="00A81FA9"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Colecistite</w:t>
      </w:r>
      <w:proofErr w:type="spellEnd"/>
      <w:r w:rsidR="00A81FA9"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por Volvo de Vesícula Biliar em Paciente Jovem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C2EF5" w:rsidRPr="00A8248A" w:rsidRDefault="006C2EF5" w:rsidP="006C2EF5">
      <w:pPr>
        <w:pStyle w:val="SemEspaamento"/>
        <w:tabs>
          <w:tab w:val="center" w:pos="4535"/>
          <w:tab w:val="left" w:pos="804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F9E" w:rsidRDefault="00EF3F9E" w:rsidP="00E640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F5" w:rsidRPr="00A8248A" w:rsidRDefault="006C2EF5" w:rsidP="00E640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87E" w:rsidRPr="00A8248A" w:rsidRDefault="0015187E" w:rsidP="00E64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INTRODUÇÃO</w:t>
      </w:r>
    </w:p>
    <w:p w:rsidR="00EF3F9E" w:rsidRPr="00A8248A" w:rsidRDefault="00EF3F9E" w:rsidP="00E640C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Colecistite aguda é uma entidade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nosológica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qual a vesícula biliar sofre um processo inflamatório que pode ser causada ou não por cálculos biliares (JACKSON; EVANS, 201</w:t>
      </w:r>
      <w:r w:rsidR="0089602E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). O Volvo ou torção de vesícula biliar é uma rara causa de colecistite aguda que, desde a sua primeira descrição em 1898 por Wendel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(WENDEL 1898)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, foram relatados apenas aproximadamente 500 casos (</w:t>
      </w:r>
      <w:r w:rsidR="00013D93" w:rsidRPr="00A8248A">
        <w:rPr>
          <w:rFonts w:ascii="Times New Roman" w:hAnsi="Times New Roman" w:cs="Times New Roman"/>
          <w:color w:val="000000" w:themeColor="text1"/>
        </w:rPr>
        <w:t>BEKKI</w:t>
      </w:r>
      <w:r w:rsidR="00013D93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013D93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 situação ocorre frequentemente em virtude de uma variação anatômica congênita chamada vesícula biliar flutuante que, quando associado a outros fatores de riscos, o órgão pode girar sobre seu próprio eixo causando um quadro</w:t>
      </w:r>
      <w:r w:rsidR="009B489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abdome agudo (GROSS, 1936).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colecistite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aguda ocasionada por torção da vesícula biliar </w:t>
      </w:r>
      <w:r w:rsidR="009B489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 </w:t>
      </w:r>
      <w:r w:rsidR="009B4892" w:rsidRPr="00A8248A">
        <w:rPr>
          <w:rFonts w:ascii="Times New Roman" w:hAnsi="Times New Roman" w:cs="Times New Roman"/>
          <w:color w:val="000000" w:themeColor="text1"/>
          <w:shd w:val="clear" w:color="auto" w:fill="FFFFFF"/>
        </w:rPr>
        <w:t>uma incidência de 0,1% (BELIAEV,</w:t>
      </w:r>
      <w:r w:rsidR="007C41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B4892" w:rsidRPr="00A8248A">
        <w:rPr>
          <w:rFonts w:ascii="Times New Roman" w:hAnsi="Times New Roman" w:cs="Times New Roman"/>
          <w:color w:val="000000" w:themeColor="text1"/>
          <w:shd w:val="clear" w:color="auto" w:fill="FFFFFF"/>
        </w:rPr>
        <w:t>2015</w:t>
      </w:r>
      <w:r w:rsidR="009B489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maior frequência em mulheres mais velhas, porém está associado ao sexo masculino em menores de idade (REILLY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2012).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A apresentação clíni</w:t>
      </w:r>
      <w:r w:rsidR="006A107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ca desta doença é inespecífica e seu diagnóstico pré-operatório desafiador devido a baixa prevalência, achados radiográficos inespecíficos e uma apres</w:t>
      </w:r>
      <w:r w:rsidR="00653F56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6A107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tação clínica que imita </w:t>
      </w:r>
      <w:proofErr w:type="spellStart"/>
      <w:r w:rsidR="006A107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colecistite</w:t>
      </w:r>
      <w:proofErr w:type="spellEnd"/>
      <w:r w:rsidR="006A107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aguda (SCOT</w:t>
      </w:r>
      <w:r w:rsidR="007C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proofErr w:type="spellStart"/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</w:t>
      </w:r>
      <w:proofErr w:type="spellEnd"/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al.</w:t>
      </w:r>
      <w:r w:rsidR="007C41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A107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2019).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Exames laboratoriais também são inespecíficos podendo ter aumento da PCR e leucocitose sem alterações da função hepática ou enzimas biliares (SHAIKH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2015). Exames de imagem podem auxiliar no diagnóstico por sugerirem a distorção anatômica bem co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mo identificar a</w:t>
      </w:r>
      <w:r w:rsidR="009B489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</w:t>
      </w:r>
      <w:r w:rsidR="009B489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complicaç</w:t>
      </w:r>
      <w:r w:rsidR="009B4892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ões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infarto e necrose.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(HWANG</w:t>
      </w:r>
      <w:r w:rsidR="007C4127">
        <w:t xml:space="preserve"> </w:t>
      </w:r>
      <w:r w:rsidR="009A0D37" w:rsidRPr="009A0D37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7C4127" w:rsidRPr="007C41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639A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artigo relatou um caso pouco comum dentro da própria raridade da doença por se tratar de um adolescente do sexo masculino admitido no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Hospital Regional de Emergência e Trauma Dom Luiz Gonzaga Fernandes - HRETDLGF, em Campina Grande-PB,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quadro de abdome agudo por torção de vesícula biliar descoberto somente no intra-operatório. 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 objetivo deste estudo foi relatar o caso clínico a fim de subsidiar as pesquisas em cirurgia geral para casos de colecistite aguda ocasionada por torção de vesícula biliar.</w:t>
      </w:r>
    </w:p>
    <w:p w:rsidR="00EF3F9E" w:rsidRPr="00A8248A" w:rsidRDefault="00EF3F9E" w:rsidP="00E640C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F9E" w:rsidRDefault="00EF3F9E" w:rsidP="00E640C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MATERIAIS E MÉTODOS</w:t>
      </w:r>
    </w:p>
    <w:p w:rsidR="00F344E0" w:rsidRPr="00A8248A" w:rsidRDefault="00F344E0" w:rsidP="00F344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pesquisa possui um caráter descritivo analítico do tipo relato de caso. 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 informações para o relato de caso foram obtidas por meio de revisão do prontuário, entrevista com o paciente e sua genitora, registro fotográfico dos métodos diagnósticos aos quais o paciente foi submetido e revisão da literatura sobre o tema.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revisão de literatura foram utilizadas as plataformas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Scielo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®,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Medline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® e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Pubmed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® com os termos “colecistite aguda”, “torção de vesícula biliar” e “vesícula biliar flutuante”.</w:t>
      </w:r>
    </w:p>
    <w:p w:rsidR="00EF3F9E" w:rsidRPr="00A8248A" w:rsidRDefault="00EF3F9E" w:rsidP="00F344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Hospital Regional de Emergência e Trauma Dom Luiz Gonzaga Fernandes - HRETDLGF, localizado na avenida Floriano Peixoto, s/n – bairro das Malvinas,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Campina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Grande – PB,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realizado todo tratamento e acompanhamento do paciente bem como foram colhidas as informações através da entrevista com o paciente e sua genitora além da análise de prontuário.  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Hospital Universitário Alcides Carneiro – HUAC, localizado na rua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Carlos Chagas, s/n – bairro São José, Campina Grande – PB,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foram realizados estudos bibliográficos.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Os aspectos que envolveram a cirurgia foram enquadrados nos dispositivos contidos na resolução 466 de 12 de Dezembro de 2012 (BRASIL, 2012).</w:t>
      </w:r>
    </w:p>
    <w:p w:rsidR="00F344E0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O trabalho teve registro na Plataforma Brasil® com CAAE (Certificado de apresentação para apreciação ética) de número 83424518.4.0000.5182 e aprovação pelo Comitê de Ética e Pesquisa (CEP) do HUAC. (ANEXO</w:t>
      </w:r>
      <w:r w:rsidR="007C4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3F9E" w:rsidRDefault="00EF3F9E" w:rsidP="00E640C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RELATO DO CASO</w:t>
      </w:r>
    </w:p>
    <w:p w:rsidR="00F344E0" w:rsidRPr="00A8248A" w:rsidRDefault="00F344E0" w:rsidP="00F344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J.M.B.S., masculino, 16 anos, pardo, oriundo de zona rural, admitido no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Hospital Regional de Emergência e Trauma Dom Luiz Gonzaga Fernandes - HRETDLGF, em Campina grande-PB,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história de dor insidiosa do tipo cólica de forte intensidade em hipocôndrio direito, não irradiada, precipitada pela alimentação e que melhorava com uso de escopolamina. Este sintoma estava associado a inapetência e a dois episódios de vômitos, há 48 horas da entrada no serviço. Previamente hígido, referia episódios de plenitude gástrica ao alimentar-se há cerca de dois meses. Negava alterações do hábito intestinal, pirose, regurgitação ácida, febre, sintomas respiratórios ou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genito-urinários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Sem outras queixas. Antecedentes pessoais e familiares sem dados significativos. 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exame físico da admissão observou-se um paciente longilíneo, em bom estado geral,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eupneico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anictérico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acianótico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afebril,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normocorado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hidratado. Aparelho cardiorrespiratório sem alterações, extremidades bem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perfundidas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sem edemas. No exame do abdome o mesmo encontrava-se plano, depressível, timpânico, ruídos hidroaéreos hipoativos, doloroso à palpação superficial e profunda de todo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hemi-abdome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direito, sem sinais de peritonite e sem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visceromegalias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palpáveis. 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Durante o seguimento, a dor tornou-se progressivamente mais intensa com tendência a ficar difusa, sem novos episódios eméticos. </w:t>
      </w:r>
    </w:p>
    <w:p w:rsidR="00F344E0" w:rsidRDefault="00EF3F9E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Foram solicitados exames laboratoriais</w:t>
      </w:r>
      <w:r w:rsidRPr="00A824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 evidenciaram leucocitose sem desvio à esquerda, desidrogenase lática - DHL e proteína C reativa - PCR aumentados. (Tabela 1)</w:t>
      </w:r>
      <w:r w:rsidR="00373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6C2EF5" w:rsidRDefault="006C2EF5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C2EF5" w:rsidRDefault="006C2EF5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C2EF5" w:rsidRDefault="006C2EF5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C2EF5" w:rsidRDefault="006C2EF5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C2EF5" w:rsidRDefault="006C2EF5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C2EF5" w:rsidRPr="00373870" w:rsidRDefault="006C2EF5" w:rsidP="00373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344E0" w:rsidRPr="00373870" w:rsidRDefault="00F344E0" w:rsidP="00E640CB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pt-BR"/>
        </w:rPr>
      </w:pPr>
      <w:r w:rsidRPr="003738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Tabela 1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Resultados dos exames laboratoriais do paciente.</w:t>
      </w:r>
    </w:p>
    <w:tbl>
      <w:tblPr>
        <w:tblStyle w:val="Tabelacomgrade"/>
        <w:tblpPr w:leftFromText="141" w:rightFromText="141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:rsidR="00EF3F9E" w:rsidRPr="00A8248A" w:rsidTr="00013D93">
        <w:tc>
          <w:tcPr>
            <w:tcW w:w="2831" w:type="dxa"/>
            <w:tcBorders>
              <w:bottom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Bioquímica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Resultado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VR para sexo e idade</w:t>
            </w:r>
          </w:p>
        </w:tc>
      </w:tr>
      <w:tr w:rsidR="00EF3F9E" w:rsidRPr="00A8248A" w:rsidTr="00013D93">
        <w:tc>
          <w:tcPr>
            <w:tcW w:w="2831" w:type="dxa"/>
            <w:tcBorders>
              <w:top w:val="single" w:sz="4" w:space="0" w:color="auto"/>
            </w:tcBorders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Hemácias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 mi/mm</w:t>
            </w: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 – 5,9 mi/mm</w:t>
            </w: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Hemoglobina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 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12- 16 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Hematócrito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39%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 – 48,6%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Leucócitos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16.400 /mm</w:t>
            </w: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4.500 – 13.500 / mm</w:t>
            </w: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Bastões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Segmentados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Linfócitos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12%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Eosinófilos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Plaquetas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222.000 / mm</w:t>
            </w: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140.000 – 400.000/ mm</w:t>
            </w: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AST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U/l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– 35 U/l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ALT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U/l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– 43 U/l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Gama GT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U/l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– 50 U/l 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Fosfatase Alcalina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 U/l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483 U/l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Bilirrubinas Totais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 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Bilirrubina Direta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Bilirrubina Indireta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0,59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 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Triglicerídeos 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– 101mg/dl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tabs>
                <w:tab w:val="center" w:pos="1307"/>
              </w:tabs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Colesterol total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170 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tabs>
                <w:tab w:val="center" w:pos="1307"/>
              </w:tabs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LDL/HDL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68.4 /41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130 /&gt; 60 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Ureia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– 41 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Creatinina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 – 1,3mg/dl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Amilase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U/l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220 U/l</w:t>
            </w:r>
          </w:p>
        </w:tc>
      </w:tr>
      <w:tr w:rsidR="00EF3F9E" w:rsidRPr="00A8248A" w:rsidTr="00013D93">
        <w:tc>
          <w:tcPr>
            <w:tcW w:w="2831" w:type="dxa"/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PCR ultrassensível</w:t>
            </w:r>
          </w:p>
        </w:tc>
        <w:tc>
          <w:tcPr>
            <w:tcW w:w="2831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mg/dl</w:t>
            </w:r>
          </w:p>
        </w:tc>
        <w:tc>
          <w:tcPr>
            <w:tcW w:w="2832" w:type="dxa"/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 0,5 mg/dl</w:t>
            </w:r>
          </w:p>
        </w:tc>
      </w:tr>
      <w:tr w:rsidR="00EF3F9E" w:rsidRPr="00A8248A" w:rsidTr="00013D93">
        <w:tc>
          <w:tcPr>
            <w:tcW w:w="2831" w:type="dxa"/>
            <w:tcBorders>
              <w:bottom w:val="single" w:sz="4" w:space="0" w:color="auto"/>
            </w:tcBorders>
          </w:tcPr>
          <w:p w:rsidR="00EF3F9E" w:rsidRPr="007C4127" w:rsidRDefault="00EF3F9E" w:rsidP="00E640CB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C41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DHL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 U/l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EF3F9E" w:rsidRPr="00A8248A" w:rsidRDefault="00EF3F9E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 – 414</w:t>
            </w:r>
          </w:p>
        </w:tc>
      </w:tr>
    </w:tbl>
    <w:p w:rsidR="00EF3F9E" w:rsidRPr="00A8248A" w:rsidRDefault="00EF3F9E" w:rsidP="00E640C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F3F9E" w:rsidRPr="007C4127" w:rsidRDefault="00EF3F9E" w:rsidP="00E640CB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Legenda: VR: Valor de Referência; AST: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Aspartato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Aminotransferase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; ALT: Alanina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Aminotransferase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 PCR: Proteína C Reativa;</w:t>
      </w:r>
      <w:proofErr w:type="gram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</w:t>
      </w:r>
      <w:proofErr w:type="gram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DHL: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Desidrogenase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Lática; LDL: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Low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Density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Lipoprotein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; HDL -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High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Density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Lipoprotein</w:t>
      </w:r>
      <w:proofErr w:type="spellEnd"/>
      <w:r w:rsidRPr="007C412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</w:t>
      </w:r>
    </w:p>
    <w:p w:rsidR="00EF3F9E" w:rsidRPr="00373870" w:rsidRDefault="00EF3F9E" w:rsidP="00E640C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F3F9E" w:rsidRPr="00A8248A" w:rsidRDefault="00EF3F9E" w:rsidP="00373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Além disso, radiografia de tórax e abdome estavam dentro da normalidade. (Fig</w:t>
      </w:r>
      <w:r w:rsidR="007C41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ura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1) </w:t>
      </w:r>
    </w:p>
    <w:p w:rsidR="00EF3F9E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C2EF5" w:rsidRPr="00A8248A" w:rsidRDefault="006C2EF5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Fig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Radiografia de tórax e abdome</w:t>
      </w:r>
    </w:p>
    <w:p w:rsidR="00EF3F9E" w:rsidRPr="00A8248A" w:rsidRDefault="002D2DE5" w:rsidP="00E640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.15pt;margin-top:238.45pt;width:238.3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" stroked="f">
            <v:textbox>
              <w:txbxContent>
                <w:p w:rsidR="004E1CC3" w:rsidRPr="00F344E0" w:rsidRDefault="004E1CC3" w:rsidP="00EF3F9E">
                  <w:pPr>
                    <w:rPr>
                      <w:rFonts w:ascii="Times New Roman" w:hAnsi="Times New Roman" w:cs="Times New Roman"/>
                    </w:rPr>
                  </w:pP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Fonte: </w:t>
                  </w:r>
                  <w:r w:rsidR="009A0D3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dados da pesquisa, </w:t>
                  </w: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>2017.</w:t>
                  </w:r>
                </w:p>
              </w:txbxContent>
            </v:textbox>
          </v:shape>
        </w:pict>
      </w:r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2695575" cy="29813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 1-1-m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2638425" cy="29813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 1-2-m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9E" w:rsidRPr="00A8248A" w:rsidRDefault="00EF3F9E" w:rsidP="00E640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ultrassonografia de abdome total descreveu uma vesícula biliar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hiperdistendida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paredes significativamente espessadas (0,6 cm), região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infundibular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visualizada, ausência de cálculos em seu interior e Murphy ultrassonográfico positivo. Não havia dilatação de vias biliares.</w:t>
      </w:r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Adicionalmente, foi realizada uma tomografia computadorizada de abdome superior</w:t>
      </w:r>
      <w:r w:rsidRPr="00A824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contrastada, que revelou formação expansiva fluida de contornos lobulados em íntimo contato com a parede abdominal emergindo da topografia da vesícula biliar, associada à sinais inflamatórios do parênquima hepático adjacente e pequena quantidade de liquido livre na cavidade. (Fig</w:t>
      </w:r>
      <w:r w:rsidR="007C41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ura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2)</w:t>
      </w:r>
    </w:p>
    <w:p w:rsidR="00F344E0" w:rsidRPr="00A8248A" w:rsidRDefault="00EF3F9E" w:rsidP="0037387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:rsidR="00EF3F9E" w:rsidRPr="00A8248A" w:rsidRDefault="00EF3F9E" w:rsidP="00F344E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TC de abdome mostrando 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formação expansiva fluida de contornos lobulados em íntimo contato com a parede abdominal, emergindo da topografia da vesícula biliar.                                       </w:t>
      </w:r>
    </w:p>
    <w:p w:rsidR="00EF3F9E" w:rsidRPr="00A8248A" w:rsidRDefault="002D2DE5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pict>
          <v:shape id="_x0000_s1027" type="#_x0000_t202" style="position:absolute;left:0;text-align:left;margin-left:93.15pt;margin-top:203.45pt;width:238.3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" stroked="f">
            <v:textbox>
              <w:txbxContent>
                <w:p w:rsidR="004E1CC3" w:rsidRPr="00F344E0" w:rsidRDefault="004E1CC3" w:rsidP="00EF3F9E">
                  <w:pPr>
                    <w:rPr>
                      <w:rFonts w:ascii="Times New Roman" w:hAnsi="Times New Roman" w:cs="Times New Roman"/>
                    </w:rPr>
                  </w:pP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Fonte: </w:t>
                  </w:r>
                  <w:r w:rsidR="009A0D3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dados da pesquisa, </w:t>
                  </w: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>2017.</w:t>
                  </w:r>
                </w:p>
              </w:txbxContent>
            </v:textbox>
          </v:shape>
        </w:pict>
      </w:r>
      <w:r w:rsidR="00EF3F9E" w:rsidRPr="00A8248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                    </w:t>
      </w:r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3419475" cy="25622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 2-m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Durante a investigação diagnóstica o paciente manteve-se estável hemodinamicamente e sem sinais de sepse, porém, com resposta parcial à analgesia, sendo então indicada a laparotomia exploradora realizada por incisão mediana.</w:t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inventário da cavidade consistiu em: vesícula biliar tópica, ausência de sua fixação ao leito hepático em toda a sua extensão, torcida no sentido anti-horário em seu próprio eixo longitudinal ao nível do pedículo cístico que se encontrava preso apenas por pequena faixa de mesentério. Além disso, o órgão se apresentava completamente enegrecido com sinais de isquemia grave e perfuração localizada em seu fundo. Foi identificado ainda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coleperitônio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bloqueado pelo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epíplon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(Fig</w:t>
      </w:r>
      <w:r w:rsidR="00F34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ura</w:t>
      </w: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3) </w:t>
      </w:r>
    </w:p>
    <w:p w:rsidR="006C2EF5" w:rsidRDefault="006C2EF5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Vesícula biliar com sinais de isquemia grave, perfuração no fundo e torção ao nível do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pediculo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3F9E" w:rsidRPr="00A8248A" w:rsidRDefault="002D2DE5" w:rsidP="00E640C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2DE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28" type="#_x0000_t202" style="position:absolute;left:0;text-align:left;margin-left:112.65pt;margin-top:228.15pt;width:238.3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" stroked="f">
            <v:textbox>
              <w:txbxContent>
                <w:p w:rsidR="004E1CC3" w:rsidRPr="00F344E0" w:rsidRDefault="004E1CC3" w:rsidP="00EF3F9E">
                  <w:pPr>
                    <w:rPr>
                      <w:rFonts w:ascii="Times New Roman" w:hAnsi="Times New Roman" w:cs="Times New Roman"/>
                    </w:rPr>
                  </w:pP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Fonte: </w:t>
                  </w:r>
                  <w:r w:rsidR="009A0D3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dados da pesquisa, </w:t>
                  </w: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>2017.</w:t>
                  </w:r>
                </w:p>
              </w:txbxContent>
            </v:textbox>
          </v:shape>
        </w:pict>
      </w:r>
      <w:r w:rsidR="00166A9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3562350" cy="29337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9E" w:rsidRPr="00A8248A" w:rsidRDefault="00EF3F9E" w:rsidP="00E640C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F3F9E" w:rsidRPr="00A8248A" w:rsidRDefault="00EF3F9E" w:rsidP="00E640CB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Foi então realizada 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colecistectomia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ligadura do ducto cístico e da artéria cística, bem como o toalete cavitário com soro fisiológico aquecido. (Fig. 4) </w:t>
      </w:r>
    </w:p>
    <w:p w:rsidR="00EF3F9E" w:rsidRPr="00A8248A" w:rsidRDefault="00EF3F9E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spacing w:line="240" w:lineRule="auto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colecistectomia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ligadura da artéria e ducto cístico</w:t>
      </w:r>
    </w:p>
    <w:p w:rsidR="00EF3F9E" w:rsidRPr="00A8248A" w:rsidRDefault="00166A97" w:rsidP="00E640CB">
      <w:pPr>
        <w:spacing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3933825" cy="2590800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 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DE5" w:rsidRPr="002D2DE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29" type="#_x0000_t202" style="position:absolute;left:0;text-align:left;margin-left:75.65pt;margin-top:206.05pt;width:238.3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" stroked="f">
            <v:textbox>
              <w:txbxContent>
                <w:p w:rsidR="004E1CC3" w:rsidRPr="00F344E0" w:rsidRDefault="004E1CC3" w:rsidP="00EF3F9E">
                  <w:pPr>
                    <w:rPr>
                      <w:rFonts w:ascii="Times New Roman" w:hAnsi="Times New Roman" w:cs="Times New Roman"/>
                    </w:rPr>
                  </w:pP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Fonte: </w:t>
                  </w:r>
                  <w:r w:rsidR="009A0D3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 xml:space="preserve">dados da pesquisa, </w:t>
                  </w:r>
                  <w:r w:rsidRPr="00F344E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pt-BR"/>
                    </w:rPr>
                    <w:t>2017.</w:t>
                  </w:r>
                </w:p>
              </w:txbxContent>
            </v:textbox>
          </v:shape>
        </w:pict>
      </w:r>
    </w:p>
    <w:p w:rsidR="00EF3F9E" w:rsidRPr="00A8248A" w:rsidRDefault="00EF3F9E" w:rsidP="007C412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peça cirúrgica consistia em uma vesícula biliar de aproximadamente 8cm, enegrecida, com parede espessa, bile fluida e ausência de cálculos em seu interior. (Fig</w:t>
      </w:r>
      <w:r w:rsidR="007C41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5)</w:t>
      </w:r>
    </w:p>
    <w:p w:rsidR="00EF3F9E" w:rsidRDefault="00EF3F9E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C4127" w:rsidRDefault="007C4127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C4127" w:rsidRDefault="007C4127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344E0" w:rsidRPr="00A8248A" w:rsidRDefault="00F344E0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Fig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Peça cirúrgica</w:t>
      </w:r>
    </w:p>
    <w:p w:rsidR="00EF3F9E" w:rsidRPr="00A8248A" w:rsidRDefault="00166A97" w:rsidP="00F344E0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2771775" cy="1800225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 5-mi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9E" w:rsidRPr="00F344E0" w:rsidRDefault="00F344E0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F344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                           Fonte: </w:t>
      </w:r>
      <w:r w:rsidR="009A0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dados da pesquisa, </w:t>
      </w:r>
      <w:r w:rsidRPr="00F344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2017.</w:t>
      </w:r>
      <w:r w:rsidRPr="00F344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ab/>
        <w:t xml:space="preserve"> </w:t>
      </w:r>
    </w:p>
    <w:p w:rsidR="00F344E0" w:rsidRPr="00A8248A" w:rsidRDefault="00F344E0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F3F9E" w:rsidRPr="00A8248A" w:rsidRDefault="00EF3F9E" w:rsidP="00E640CB">
      <w:pPr>
        <w:pStyle w:val="SemEspaamen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pós-operatório foi instituída antibioticoterapia venosa com metronidazol (500mg a cada 8 horas) e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ceftriaxona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(1 g a cada 12 horas), além de sintomáticos. O paciente evoluiu sem dor e sem complicações, recebendo alta no 3º dia pós-operatório para seguimento ambulatorial. O estudo anatomopatológico da peça cirúrgica evidenciou sinais de colecistite aguda em vesícula biliar necrosada e ulcerada.</w:t>
      </w:r>
    </w:p>
    <w:p w:rsidR="00DF14EE" w:rsidRPr="00A8248A" w:rsidRDefault="00EF3F9E" w:rsidP="00E640CB">
      <w:pPr>
        <w:spacing w:line="240" w:lineRule="auto"/>
        <w:ind w:right="-1"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Diagnóstico final: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Colecistite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aguda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alitiásica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perfurativa</w:t>
      </w:r>
      <w:proofErr w:type="spell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secundária </w:t>
      </w:r>
      <w:proofErr w:type="gramStart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à</w:t>
      </w:r>
      <w:proofErr w:type="gramEnd"/>
      <w:r w:rsidRPr="00A82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volvo da vesícula biliar flutuante.</w:t>
      </w:r>
      <w:r w:rsidRPr="00A8248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 </w:t>
      </w:r>
    </w:p>
    <w:p w:rsidR="00C00419" w:rsidRDefault="00C00419" w:rsidP="00E640C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proofErr w:type="gramStart"/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4</w:t>
      </w:r>
      <w:proofErr w:type="gramEnd"/>
      <w:r w:rsidRPr="00A8248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DISCUSSÃO</w:t>
      </w:r>
    </w:p>
    <w:p w:rsidR="00F344E0" w:rsidRPr="00A8248A" w:rsidRDefault="00F344E0" w:rsidP="00F344E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Colecistite aguda é uma patologia que consiste na inflamação da vesícula biliar e tem como etiologia, na grande maioria das vezes, a impactação do ducto cístico por cálculos biliares. Neste caso chama-se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colecistite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aguda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litiásica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Essa obstrução leva a um processo inflamatório cursando com edema e hemorragia na camada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subserosa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parede da vesícula biliar. Sem a resolução da obstrução, a parede do órgão irá evoluir com isquemia e necrose. Eventualmente, esse processo evolui para colecistite gangrenosa aguda e, quando há translocação bacteriana por germes formadores de gases, colecistite enfisematosa aguda (JACKSON; EVANS, 2015).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Em alguns casos pode haver formação de abscesso e em outros a vesícula biliar necrosada pode perfurar e o derramamento da bile na cavidade leva a um quadro de abdome agudo com sintomas de peritonite tal como o paciente do caso relatado (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CAMPIONE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1998</w:t>
      </w:r>
      <w:r w:rsidR="004A3536"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WOOD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="004A3536"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2019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Esses eventos fisiopatológicos geralmente fazem parte da história natural de todas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colecistites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tratadas independente da causa inicial, podendo serem encontradas no intra-operatório em qualquer uma dessas fases (JACKSON; EVANS, 2015).  </w:t>
      </w:r>
    </w:p>
    <w:p w:rsidR="00C00419" w:rsidRPr="00F344E0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também a forma </w:t>
      </w:r>
      <w:proofErr w:type="spellStart"/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alitiásica</w:t>
      </w:r>
      <w:proofErr w:type="spellEnd"/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colecistite</w:t>
      </w:r>
      <w:proofErr w:type="spellEnd"/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aguda, em que a etiologia não são os cálculos biliares, e que corresponde a aproximadamente 10% das </w:t>
      </w:r>
      <w:proofErr w:type="spellStart"/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colecistites</w:t>
      </w:r>
      <w:proofErr w:type="spellEnd"/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602E"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9602E" w:rsidRPr="00F344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ZAKKO; AFDHAL, </w:t>
      </w:r>
      <w:r w:rsidR="0089602E"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2018)</w:t>
      </w:r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. Embora a fisiopatologia exata não seja bem compreendida, a estase na vesícula biliar tem um papel importante (JACKSON; EVANS, 2015). Idade avançada, doenças graves, queimaduras, trauma, uso prolongado de nutrição parenteral, jejum prolongado, diabetes e imunossupressão são alguns dos principais fatores de riscos (</w:t>
      </w:r>
      <w:r w:rsidR="00F16CE0"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PODDIGHE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731619"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, 2018</w:t>
      </w:r>
      <w:r w:rsidRPr="00F344E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artigo descreveu um caso extremamente raro e pouco descrito de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colecistite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aguda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alitiásica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causado por torção de vesícula biliar em um adolescente do sexo masculino, com o intuito</w:t>
      </w: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ampliar os diversos aspectos que envolvem a doença, melhorando a compreensão dos mecanismos fisiopatológicos, diagnósticos, epidemiológicos e terapêuticos a partir de um relato de caso de um paciente que foge do perfil epidemiológico prevalente.</w:t>
      </w:r>
    </w:p>
    <w:p w:rsidR="001A3671" w:rsidRPr="00A8248A" w:rsidRDefault="001A3671" w:rsidP="00E640CB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volvo de vesícula biliar é uma doença rara, </w:t>
      </w:r>
      <w:proofErr w:type="spellStart"/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frequentemente</w:t>
      </w:r>
      <w:proofErr w:type="spellEnd"/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confundida com </w:t>
      </w:r>
      <w:proofErr w:type="spellStart"/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colecistite</w:t>
      </w:r>
      <w:proofErr w:type="spellEnd"/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aguda de origem litiásica e o seu tratamento é uma cirurgia urgente, na qual o diagnóstico é muitas vezes intraoperatório (</w:t>
      </w:r>
      <w:r w:rsidR="00731619"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ABADIA-</w:t>
      </w: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BARNÓ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F344E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2017)</w:t>
      </w:r>
      <w:r w:rsidR="00F344E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doença prevalece mais no sexo feminino em adultos, numa relação 3:1 e, na pediatria, no sexo masculino numa razão 4:1, corroborando o caso descrito neste artigo (REILLY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2012). Foi observado, também, que há um aumento na incidência com a idade tendo um pico entre 60-80 anos (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STIEBER; BAUER, 1983).</w:t>
      </w:r>
    </w:p>
    <w:p w:rsidR="0089602E" w:rsidRPr="00A8248A" w:rsidRDefault="0089602E" w:rsidP="008960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torção da vesícula biliar ocorre secundária à torção do pedículo no ducto cístico. Uma vesícula biliar flutuante, suspensa na superfície inferior do fígado por um mesentério, é propensa à torção (DASYAM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, 2015).</w:t>
      </w:r>
    </w:p>
    <w:p w:rsidR="00C00419" w:rsidRPr="00A8248A" w:rsidRDefault="0089602E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Essa vesícula pode ser separada de acordo com a classificação de Gross</w:t>
      </w:r>
      <w:r w:rsidR="00C00419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tipo I, quando o mesentério fixa o corpo da vesícula biliar e o ducto cístico ao fígado, e o tipo II, quando o mesentério fixa apenas o ducto cístico ao fígado, se enquadrando neste último o paciente deste artigo. A primeira ocasião permite uma maior maleabilidade da vesícula na superfície inferior do fígado quando o mesentério apresenta-se alongado com um comprimento maior que </w:t>
      </w:r>
      <w:proofErr w:type="gramStart"/>
      <w:r w:rsidR="00C00419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2cm</w:t>
      </w:r>
      <w:proofErr w:type="gramEnd"/>
      <w:r w:rsidR="00C00419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C00419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Já no segundo caso a vesícula biliar fica totalmente solta e móvel, presa apenas pelo ducto cístico e seu mesentério (GROSS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C00419"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C00419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1936).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Com estas variações a vesícula biliar fica livre pra fazer uma rotação em seu próprio eixo, impedindo a irrigação do órgão pela obstrução da artéria e ducto cístico e, dessa forma, levando a um quadro de colecistite com as demais complicações causadas pela isquemia da parede do órgão (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STIEBER; BAUER, 1983).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As rotações podem ser classificadas como completas, quando acima de 180°, ou incompletas, quando abaixo de 180°, sendo a primeira mais comum. As rotações completas e incompletas estão associadas as variações anatômicas tipo II e tipo I, respectivamente. Podem ser classificadas também quanto ao eixo de rotação: no eixo axial (eixo fundo-cístico) ou no eixo transversal (dobrando sobre si mesma) (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STIEBER; BAUER, 1983)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disso a rotações podem se dar no sentindo horário ou anti-horário, que se relacionam com o peristaltismo gastroduodenal e cólico, respectivamente (REILLY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2012; </w:t>
      </w:r>
      <w:r w:rsidR="00013D93"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STIEBER; BAUER, 1983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situação descrita neste relato de caso se enquadra como uma vesícula biliar flutuante do tipo II, da classificação de Gross, com rotação completa no eixo axial e no sentido anti-horário.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Além dessa variação anatômica, alguns fatores de risco estão associados ao vólvulo da vesícula, como: peristaltismo aumentado das vísceras adjacentes, colelitíase, aterosclerose da artéria cística, cifoescoliose, aderências e perda de peso acentuada (</w:t>
      </w:r>
      <w:r w:rsidR="00C03E27" w:rsidRPr="00A8248A">
        <w:rPr>
          <w:rFonts w:ascii="Times New Roman" w:hAnsi="Times New Roman" w:cs="Times New Roman"/>
          <w:color w:val="000000" w:themeColor="text1"/>
        </w:rPr>
        <w:t>FARHAT</w:t>
      </w:r>
      <w:r w:rsidR="00C03E27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03E27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uma revisão de literatura realizada por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Reilly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cols. em 2012 onde foram analisados 324 relatos de casos para esta afecção publicados entre 1991 e 2011, chegou as seguintes conclusões: aproximadamente 25% dos pacientes foram diagnosticados no pré-operatório contra 75% no intra; 84% eram adultos e destes 79% eram do sexo feminino; 16% eram pacientes pediátricos dos quais 71% eram do sexo masculino; a colelitíase estava presente em 32% dos casos; a vesícula estava rodada no sentido horário em 33% dos casos, no sentido anti-horário em 28% e em 39% dos relatos o sentido não foi informado; havia torção completa em 82% dos casos; houve desfecho fatal em 6% dos casos, e nesses casos, os pacientes além de serem idosos e com múltiplas comorbidades, só se identificou a etiologia do abdome agudo no intra-operatório. (Tabela 2)</w:t>
      </w:r>
    </w:p>
    <w:p w:rsidR="00C00419" w:rsidRPr="00A8248A" w:rsidRDefault="00C00419" w:rsidP="00E640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4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Tabela 2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Resultados de revisão de literatura realizada por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Reilly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cols. em 2012.  </w:t>
      </w:r>
    </w:p>
    <w:tbl>
      <w:tblPr>
        <w:tblStyle w:val="Calendrio1"/>
        <w:tblW w:w="0" w:type="auto"/>
        <w:tblLook w:val="04A0"/>
      </w:tblPr>
      <w:tblGrid>
        <w:gridCol w:w="3070"/>
        <w:gridCol w:w="2850"/>
        <w:gridCol w:w="3291"/>
      </w:tblGrid>
      <w:tr w:rsidR="00C00419" w:rsidRPr="00A8248A" w:rsidTr="00013D93">
        <w:trPr>
          <w:cnfStyle w:val="10000000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419" w:rsidRPr="00A8248A" w:rsidTr="00013D93">
        <w:trPr>
          <w:cnfStyle w:val="00000010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VARIÁVEIS 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PERCENTUAIS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419" w:rsidRPr="00A8248A" w:rsidTr="00013D93">
        <w:trPr>
          <w:cnfStyle w:val="00000001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Período do diagnóstico 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75% intra-operatório 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 pré-operatório</w:t>
            </w:r>
          </w:p>
        </w:tc>
      </w:tr>
      <w:tr w:rsidR="00C00419" w:rsidRPr="00A8248A" w:rsidTr="00013D93">
        <w:trPr>
          <w:cnfStyle w:val="00000010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Faixa etária 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84% adultos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16% pediátricos </w:t>
            </w:r>
          </w:p>
        </w:tc>
      </w:tr>
      <w:tr w:rsidR="00C00419" w:rsidRPr="00A8248A" w:rsidTr="00013D93">
        <w:trPr>
          <w:cnfStyle w:val="00000001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Relação idade/sexo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Adulto-sexo:</w:t>
            </w:r>
          </w:p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79% feminino</w:t>
            </w:r>
          </w:p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21% masculino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Pediatria-sexo:</w:t>
            </w:r>
          </w:p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71% masculino</w:t>
            </w:r>
          </w:p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29% feminino</w:t>
            </w:r>
          </w:p>
        </w:tc>
      </w:tr>
      <w:tr w:rsidR="00C00419" w:rsidRPr="00A8248A" w:rsidTr="00013D93">
        <w:trPr>
          <w:cnfStyle w:val="00000010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Colelitíase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32% presente  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68% ausente </w:t>
            </w:r>
          </w:p>
        </w:tc>
      </w:tr>
      <w:tr w:rsidR="00C00419" w:rsidRPr="00A8248A" w:rsidTr="00013D93">
        <w:trPr>
          <w:cnfStyle w:val="00000001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Sentido da rotação 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33% sentido horário 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28% sentido anti-horário</w:t>
            </w:r>
          </w:p>
        </w:tc>
      </w:tr>
      <w:tr w:rsidR="00C00419" w:rsidRPr="00A8248A" w:rsidTr="00013D93">
        <w:trPr>
          <w:cnfStyle w:val="00000010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Tipo da torção 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82% Completa 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18% Incompleta </w:t>
            </w:r>
          </w:p>
        </w:tc>
      </w:tr>
      <w:tr w:rsidR="00C00419" w:rsidRPr="00A8248A" w:rsidTr="00013D93">
        <w:trPr>
          <w:cnfStyle w:val="000000010000"/>
        </w:trPr>
        <w:tc>
          <w:tcPr>
            <w:tcW w:w="307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Desfecho </w:t>
            </w:r>
          </w:p>
        </w:tc>
        <w:tc>
          <w:tcPr>
            <w:tcW w:w="2850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6% óbito  </w:t>
            </w:r>
          </w:p>
        </w:tc>
        <w:tc>
          <w:tcPr>
            <w:tcW w:w="3291" w:type="dxa"/>
          </w:tcPr>
          <w:p w:rsidR="00C00419" w:rsidRPr="00A8248A" w:rsidRDefault="00C00419" w:rsidP="00E640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94% evoluíram bem </w:t>
            </w:r>
          </w:p>
        </w:tc>
      </w:tr>
    </w:tbl>
    <w:p w:rsidR="00C00419" w:rsidRPr="00A8248A" w:rsidRDefault="00C00419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quadro clínico do volvo de vesícula biliar é muito inespecífico pois pode apresentar-se inicialmente como uma colecistite aguda típica, embora de forma mais súbita, com dor abdominal localizada em hipocôndrio direito e sinal de Murphy positivo, estando acompanhado ou não de náuseas e vômitos. Em contrapartida, tardiamente, o paciente pode se encontrar em franca peritonite difusa, e, neste caso, há possibilidades de já ter evoluído para perfuração de vesícula biliar cursando com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coleperitônio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, fazendo jus, desta forma, à situação descrita neste estudo de caso (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CAMPIONE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1998</w:t>
      </w:r>
      <w:r w:rsidR="00013D93"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SCOTT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="00013D93"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2019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Os exames laboratoriais também são muito inespecíficos, embora se possa presumir gravidade com aumento de leucócitos e da proteína C reativa, tal como no ca</w:t>
      </w:r>
      <w:r w:rsidR="00291367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so descrito. Não foi evidenciada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relação da doença com aumentos das enzimas canaliculares, bilirrubinas e marcadores de lesão hepática, pois não há obstrução da via biliar principal (</w:t>
      </w:r>
      <w:r w:rsidR="00C03E27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KACHI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, 201</w:t>
      </w:r>
      <w:r w:rsidR="00C03E27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Para auxiliar no diagnóstico, podem ser pedidos exames de imagem. A Radiografia de abdome é inespecífica, não acrescentando em quase nada ao diagnóstico. </w:t>
      </w: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Em contrapartida, a US abdominal pode evidenciar uma posição anômala da vesícula biliar e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uma aparência nodular hiperecogênica semelhante ao “nó” do ducto cístico torcido próximo ao colo da vesícula biliar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além dos sinais de colecistite como a presença de liquido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perivesicular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distensão do órgão e espessamento da sua parede (DASYAM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(Fig</w:t>
      </w:r>
      <w:r w:rsidR="009A0D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6) </w:t>
      </w:r>
    </w:p>
    <w:p w:rsidR="00C00419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344E0" w:rsidRDefault="00F344E0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73870" w:rsidRDefault="00373870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Fig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</w:t>
      </w:r>
      <w:r w:rsidR="00F344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 abdominal apresentando vesícula biliar com parede espessada (seta azul) e o nó do ducto cístico torcido</w:t>
      </w:r>
      <w:proofErr w:type="gramEnd"/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(setas vermelhas)</w:t>
      </w: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t xml:space="preserve">                              </w:t>
      </w:r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2686050" cy="2425174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 6-min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12" cy="2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4E0" w:rsidRDefault="002D2DE5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Caixa de texto 15" o:spid="_x0000_s1030" type="#_x0000_t202" style="position:absolute;left:0;text-align:left;margin-left:118.9pt;margin-top:.6pt;width:147.35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" fillcolor="white [3201]" stroked="f" strokeweight=".5pt">
            <v:textbox>
              <w:txbxContent>
                <w:p w:rsidR="004E1CC3" w:rsidRPr="00F344E0" w:rsidRDefault="004E1CC3" w:rsidP="00C004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4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Fonte: </w:t>
                  </w:r>
                  <w:proofErr w:type="spellStart"/>
                  <w:r w:rsidRPr="00F34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Dasyam</w:t>
                  </w:r>
                  <w:proofErr w:type="spellEnd"/>
                  <w:r w:rsidRPr="00F34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F34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F34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C00419" w:rsidRPr="00A8248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tab/>
      </w:r>
    </w:p>
    <w:p w:rsidR="00F344E0" w:rsidRDefault="00F344E0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</w:pPr>
    </w:p>
    <w:p w:rsidR="00CC5A7A" w:rsidRDefault="00CC5A7A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419" w:rsidRPr="00A8248A" w:rsidRDefault="00C00419" w:rsidP="00CC5A7A">
      <w:pPr>
        <w:pStyle w:val="Pr-formataoHTML"/>
        <w:shd w:val="clear" w:color="auto" w:fill="FFFFFF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Similarmente, a TC de abdome pode revelar tais achados, porém com imagens mais objetivas, a exemplo do “nó” do ducto cístico torcido lateralizado e da disposição anômala da vesícula biliar na posição transversal, já que normalmente se encontra na fossa vesicular do fígado no direcionado longitudinalmente em seu maior comprimento, sinalizando uma posição anômala. (DASYAM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, 2015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. (Fig. 7)</w:t>
      </w: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</w:rPr>
        <w:t>ura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TC de abdome contrastado evidenciando vesícula biliar em posição anômala (seta azul) e o nó do ducto cístico torcido (setas vermelhas).</w:t>
      </w:r>
    </w:p>
    <w:p w:rsidR="00C00419" w:rsidRPr="00A8248A" w:rsidRDefault="002D2DE5" w:rsidP="00E640CB">
      <w:pPr>
        <w:pStyle w:val="Pr-formataoHTML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D2DE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pict>
          <v:shape id="Caixa de texto 36" o:spid="_x0000_s1031" type="#_x0000_t202" style="position:absolute;left:0;text-align:left;margin-left:121.4pt;margin-top:170.3pt;width:147.3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" fillcolor="white [3201]" stroked="f" strokeweight=".5pt">
            <v:textbox>
              <w:txbxContent>
                <w:p w:rsidR="004E1CC3" w:rsidRPr="00CC5A7A" w:rsidRDefault="004E1CC3" w:rsidP="00C004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Fonte: </w:t>
                  </w:r>
                  <w:proofErr w:type="spellStart"/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Dasyam</w:t>
                  </w:r>
                  <w:proofErr w:type="spellEnd"/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</w:rPr>
        <w:drawing>
          <wp:inline distT="0" distB="0" distL="0" distR="0">
            <wp:extent cx="2247448" cy="2114550"/>
            <wp:effectExtent l="0" t="0" r="63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 7-min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925" cy="211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419" w:rsidRPr="00166A97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:rsidR="00CC5A7A" w:rsidRPr="00A8248A" w:rsidRDefault="00CC5A7A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A97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00419" w:rsidRPr="00A8248A" w:rsidRDefault="00C00419" w:rsidP="00166A97">
      <w:pPr>
        <w:pStyle w:val="Pr-formatao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estudo com uso do radioisótopo que é excretado pela bile, o ácido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hidroxiiminodiacético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HIDA, embora não específico para esta doença, pode mostrar uma imagem conhecida como “olho de touro”, que é formado pelo não-enchimento da vesícula pela substância e pelo preenchimento das estruturas adjacentes circunscrevendo uma área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fotopênica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sugere o órgão. (WANG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1987). (Fig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0419" w:rsidRPr="00A8248A" w:rsidRDefault="00C00419" w:rsidP="00E640CB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Fig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ura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Imagens após 5,5 hora da injeção do HIDA demonstram uma área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fotopênica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lobo inferior direito do fígado representando uma vesícula biliar dilatada com acúmulo focal de radioatividade medial, provavelmente no ducto cístico</w:t>
      </w:r>
    </w:p>
    <w:p w:rsidR="00C00419" w:rsidRPr="00A8248A" w:rsidRDefault="002D2DE5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D2DE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Caixa de texto 40" o:spid="_x0000_s1032" type="#_x0000_t202" style="position:absolute;left:0;text-align:left;margin-left:62.3pt;margin-top:141.65pt;width:147.3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" fillcolor="white [3201]" stroked="f" strokeweight=".5pt">
            <v:textbox>
              <w:txbxContent>
                <w:p w:rsidR="004E1CC3" w:rsidRPr="00CC5A7A" w:rsidRDefault="004E1CC3" w:rsidP="00C004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Fonte: Wang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eastAsia="pt-BR"/>
        </w:rPr>
        <w:drawing>
          <wp:inline distT="0" distB="0" distL="0" distR="0">
            <wp:extent cx="4562475" cy="1762125"/>
            <wp:effectExtent l="0" t="0" r="9525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g 8-mi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colangiorressonancia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magnética (CRM) pode também contribuir por apresentar achados como a distorção em V da via biliar extra-hepática, a interrupção com afunilamento do ducto cístico, a distensão da vesícula biliar com desvio para linha média e diferença de intensidade entre a vesícula biliar e os ductos biliares (SHAIKH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2015). (Fig. 9)</w:t>
      </w:r>
    </w:p>
    <w:p w:rsidR="00C00419" w:rsidRDefault="00C00419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F5" w:rsidRDefault="006C2EF5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EF5" w:rsidRPr="00A8248A" w:rsidRDefault="006C2EF5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419" w:rsidRPr="00A8248A" w:rsidRDefault="00C00419" w:rsidP="00E640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Fig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C5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Imagem da CRM mostrando afilamento do colo da vesícula biliar e ducto cístico (seta). A bile extra-hepática exibe uma distorção em forma de V (linha) e o fundo da vesícula é deslocado em direção ao centro abdominal.</w:t>
      </w:r>
    </w:p>
    <w:p w:rsidR="00C00419" w:rsidRPr="00A8248A" w:rsidRDefault="002D2DE5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Caixa de texto 11" o:spid="_x0000_s1033" type="#_x0000_t202" style="position:absolute;left:0;text-align:left;margin-left:84.05pt;margin-top:200.5pt;width:141.4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" fillcolor="white [3201]" stroked="f" strokeweight=".5pt">
            <v:textbox>
              <w:txbxContent>
                <w:p w:rsidR="004E1CC3" w:rsidRPr="00CC5A7A" w:rsidRDefault="004E1CC3" w:rsidP="00C004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Fonte: </w:t>
                  </w:r>
                  <w:proofErr w:type="spellStart"/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Tomoaki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CC5A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C00419"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419" w:rsidRPr="00A8248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              </w:t>
      </w:r>
      <w:bookmarkStart w:id="0" w:name="_GoBack"/>
      <w:r w:rsidR="00166A9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3429000" cy="2533476"/>
            <wp:effectExtent l="0" t="0" r="0" b="63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g 9-min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018" cy="253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00419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A7A" w:rsidRPr="00A8248A" w:rsidRDefault="00CC5A7A" w:rsidP="00CC5A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Embora o arsenal de exames laboratoriais e de imagem possam sugerir as complicações e, mais raramente, o diagnóstico da doença, somente o ato operatório é que vai definir a etiologia e tratar, sendo a videolaparoscopia o padrão-ouro (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CAMPIONE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1998).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</w:p>
    <w:p w:rsidR="00C00419" w:rsidRPr="00A8248A" w:rsidRDefault="00C00419" w:rsidP="00E640CB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Cs w:val="24"/>
          <w:vertAlign w:val="superscript"/>
        </w:rPr>
      </w:pPr>
      <w:bookmarkStart w:id="1" w:name="_Toc513334065"/>
      <w:r w:rsidRPr="00A8248A">
        <w:rPr>
          <w:rFonts w:ascii="Times New Roman" w:hAnsi="Times New Roman" w:cs="Times New Roman"/>
          <w:color w:val="000000" w:themeColor="text1"/>
          <w:szCs w:val="24"/>
        </w:rPr>
        <w:t>6 CONCLUSÃO</w:t>
      </w:r>
      <w:bookmarkEnd w:id="1"/>
    </w:p>
    <w:p w:rsidR="00C00419" w:rsidRPr="00A8248A" w:rsidRDefault="00C00419" w:rsidP="00E640CB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Este trabalho buscou contribuir para a literatura médica sendo mais uma fonte de pesquisa para este tema, haja vista a torção de vesícula biliar flutuante é uma causa rara de colecistite aguda.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Além disso, o diagnóstico desta doença é muito difícil de ser dado precocemente já que o quadro clinico é inespecífico e os exames laboratoriais e de imagem muitas vezes evidenciam apenas as complicações e, em alguns poucos casos, somente sugerem a etiologia.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Diante disso, a cirurgia continua sendo a melhor forma de diagnóstico e tratamento, sendo a videolaparoscopia o padrão ouro.  </w:t>
      </w:r>
    </w:p>
    <w:p w:rsidR="00C00419" w:rsidRPr="00A8248A" w:rsidRDefault="00C00419" w:rsidP="00E640CB">
      <w:pPr>
        <w:spacing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A824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Tendo em vista essas informações, nota-se a necessidade de mais estudos e maior atenção a respeito dessa patologia a fim de elucidar uma forma de diagnóstico e tratamento precoce para prevenir as complicações.  </w:t>
      </w:r>
    </w:p>
    <w:p w:rsidR="00C00419" w:rsidRPr="000B2D95" w:rsidRDefault="00C00419" w:rsidP="00E640CB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Cs w:val="24"/>
        </w:rPr>
      </w:pPr>
      <w:bookmarkStart w:id="2" w:name="_Toc513334066"/>
      <w:r w:rsidRPr="000B2D95">
        <w:rPr>
          <w:rFonts w:ascii="Times New Roman" w:hAnsi="Times New Roman" w:cs="Times New Roman"/>
          <w:color w:val="000000" w:themeColor="text1"/>
          <w:szCs w:val="24"/>
        </w:rPr>
        <w:t xml:space="preserve">REFERÊNCIAS </w:t>
      </w:r>
      <w:bookmarkEnd w:id="2"/>
    </w:p>
    <w:p w:rsidR="007933CA" w:rsidRPr="000B2D95" w:rsidRDefault="007933CA" w:rsidP="007C4127">
      <w:pPr>
        <w:pStyle w:val="SemEspaamento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3CA" w:rsidRPr="000B2D95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6A76">
        <w:rPr>
          <w:rFonts w:ascii="Times New Roman" w:hAnsi="Times New Roman" w:cs="Times New Roman"/>
          <w:color w:val="000000" w:themeColor="text1"/>
          <w:sz w:val="24"/>
          <w:szCs w:val="24"/>
        </w:rPr>
        <w:t>ABADIA-BARNÓ, 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Vólvulo de vesícula biliar: retos diagnósticos y </w:t>
      </w:r>
      <w:proofErr w:type="spellStart"/>
      <w:r w:rsidRPr="00366A76">
        <w:rPr>
          <w:rFonts w:ascii="Times New Roman" w:hAnsi="Times New Roman" w:cs="Times New Roman"/>
          <w:color w:val="000000" w:themeColor="text1"/>
          <w:sz w:val="24"/>
          <w:szCs w:val="24"/>
        </w:rPr>
        <w:t>quirúrgicos</w:t>
      </w:r>
      <w:proofErr w:type="spellEnd"/>
      <w:r w:rsidRPr="00366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B2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Cirugía</w:t>
      </w:r>
      <w:proofErr w:type="spellEnd"/>
      <w:r w:rsidRPr="000B2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000B2D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Cirujanos</w:t>
      </w:r>
      <w:proofErr w:type="spellEnd"/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 w:rsidRPr="000B2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85, n. 1, p. 89-92, jun. </w:t>
      </w:r>
      <w:r w:rsidRPr="000B2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2017</w:t>
      </w:r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933CA" w:rsidRPr="000B2D95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BEKKI, 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Complete torsion of gallbladder following laparoscopic cholecystectomy: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case study. 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Surg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Case</w:t>
      </w:r>
      <w:r w:rsidRPr="00A8248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Rep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37, n. 1, p. 257-260,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933CA" w:rsidRDefault="007933CA" w:rsidP="007C412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BELIAEV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.;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HAPKOV,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.;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OOTH,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M. </w:t>
      </w:r>
      <w:r w:rsidRPr="005C7390">
        <w:rPr>
          <w:rStyle w:val="ref-titl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Incidence of gallbladder torsion in acute cholecystectomy patients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 </w:t>
      </w:r>
      <w:r w:rsidRPr="005C7390">
        <w:rPr>
          <w:rStyle w:val="ref-journal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ANZ</w:t>
      </w:r>
      <w:r>
        <w:rPr>
          <w:rStyle w:val="ref-journal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5C7390">
        <w:rPr>
          <w:rStyle w:val="ref-journal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J</w:t>
      </w:r>
      <w:r>
        <w:rPr>
          <w:rStyle w:val="ref-journal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5C7390">
        <w:rPr>
          <w:rStyle w:val="ref-journal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Surg</w:t>
      </w:r>
      <w:r>
        <w:rPr>
          <w:rStyle w:val="ref-journal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.</w:t>
      </w:r>
      <w:r>
        <w:rPr>
          <w:rStyle w:val="ref-journal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[</w:t>
      </w:r>
      <w:r>
        <w:rPr>
          <w:rStyle w:val="ref-journal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s. l.</w:t>
      </w:r>
      <w:r>
        <w:rPr>
          <w:rStyle w:val="ref-journal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], v. 85, n. 10, p. 793-801, out.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5C73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2015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CAMPIONE, O.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Volvolo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della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Colecisti</w:t>
      </w:r>
      <w:proofErr w:type="spellEnd"/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C739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Minerva </w:t>
      </w:r>
      <w:proofErr w:type="spellStart"/>
      <w:r w:rsidRPr="005C739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Chir</w:t>
      </w:r>
      <w:proofErr w:type="spellEnd"/>
      <w:r w:rsidRPr="00A824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s. l.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], v. 53, n. 4,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p. 285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287,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abr.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</w:rPr>
        <w:t>1998.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3CA" w:rsidRPr="000B2D95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DASYAM, A.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cystic duct knot sign: case report with description of a new ultrasound sign of gallbladder torsion. </w:t>
      </w:r>
      <w:proofErr w:type="spellStart"/>
      <w:r w:rsidRPr="000B2D9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Emerg</w:t>
      </w:r>
      <w:proofErr w:type="spellEnd"/>
      <w:r w:rsidRPr="000B2D9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B2D9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Radiol</w:t>
      </w:r>
      <w:proofErr w:type="spellEnd"/>
      <w:r w:rsidRPr="000B2D9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.</w:t>
      </w:r>
      <w:r w:rsidRPr="000B2D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B2D95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[</w:t>
      </w:r>
      <w:r w:rsidRPr="000B2D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s. l.</w:t>
      </w:r>
      <w:r w:rsidRPr="000B2D95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],</w:t>
      </w:r>
      <w:r w:rsidRPr="000B2D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v. 22, n. 1, p. 445-457, </w:t>
      </w:r>
      <w:proofErr w:type="spellStart"/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0B2D9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2015</w:t>
      </w:r>
      <w:r w:rsidRPr="000B2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933CA" w:rsidRPr="000B2D95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ARHAT, 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Gallbladder volvulus: A case report and review of the literature. </w:t>
      </w:r>
      <w:r w:rsidRPr="00197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197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197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Surg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197D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Case Rep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], v. 60, n. 1, p.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2019.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GROSS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19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Congenital anomalies of the gallbladder. </w:t>
      </w:r>
      <w:r w:rsidRPr="00366A7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Arch. Surg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 [</w:t>
      </w:r>
      <w:r w:rsidRPr="00366A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32, n. 1, p. 131-162, </w:t>
      </w:r>
      <w:proofErr w:type="spellStart"/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1936.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WANG,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Yang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Expect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nexpected: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orsion of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allbladder, 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are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ause for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cute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holecystitis. </w:t>
      </w:r>
      <w:proofErr w:type="spellStart"/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Cureus</w:t>
      </w:r>
      <w:proofErr w:type="spellEnd"/>
      <w:r w:rsidRPr="004E1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[</w:t>
      </w:r>
      <w:r w:rsidRPr="004E1CC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s. l.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], v. 10, n. 12, p.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26-37, dez.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E1C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933CA" w:rsidRPr="004E1CC3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3CA" w:rsidRPr="000B2D95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2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JACKSON, P. G.; EVANS, S. R. T. Sistema biliar.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In: TOWNSEND, C. M.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Sabiston</w:t>
      </w:r>
      <w:proofErr w:type="spellEnd"/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tratado de cirurgia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 biológica da prática cirúrgica moderna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2D95">
        <w:rPr>
          <w:rFonts w:ascii="Times New Roman" w:hAnsi="Times New Roman" w:cs="Times New Roman"/>
          <w:color w:val="000000" w:themeColor="text1"/>
          <w:sz w:val="24"/>
          <w:szCs w:val="24"/>
        </w:rPr>
        <w:t>20. ed. Rio de Janeiro: Elsevier, 2019. p. 1476-1488.</w:t>
      </w:r>
    </w:p>
    <w:p w:rsidR="007C4127" w:rsidRPr="000B2D95" w:rsidRDefault="007C4127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2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KACHI, A. </w:t>
      </w:r>
      <w:r w:rsidR="009A0D37" w:rsidRPr="000B2D9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0B2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resentation 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ladder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olvulus: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eport. </w:t>
      </w:r>
      <w:r w:rsidRPr="005C73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5C73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5C73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Case Rep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20, n.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p. 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1466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1470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out.</w:t>
      </w:r>
      <w:r w:rsidRPr="005C73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97D9F">
        <w:rPr>
          <w:rFonts w:ascii="Times New Roman" w:hAnsi="Times New Roman" w:cs="Times New Roman"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ODDIGHE, 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.;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AZONOV, 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V. Acute acalculous cholecystitis in children. </w:t>
      </w:r>
      <w:r w:rsidRPr="00366A7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World 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366A7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Gastroenterol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24, p. 43, p. 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4870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366A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4879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2018.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REILLY, D.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J.; KALOGEROPOULOS, G.; THIRUCHELVAM, D. Torsion of the gallbladder: a systematic review. </w:t>
      </w:r>
      <w:r w:rsidRPr="007933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H.P.B</w:t>
      </w:r>
      <w:r w:rsidRPr="007933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., </w:t>
      </w:r>
      <w:r w:rsidRPr="007933CA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[</w:t>
      </w:r>
      <w:r w:rsidRPr="007933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s. l.</w:t>
      </w:r>
      <w:r w:rsidRPr="007933CA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],</w:t>
      </w:r>
      <w:r w:rsidRPr="007933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v. 14, n. 1, p. 669-672, </w:t>
      </w:r>
      <w:proofErr w:type="spellStart"/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2012.</w:t>
      </w:r>
    </w:p>
    <w:p w:rsidR="007933CA" w:rsidRP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COTT,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Gallbladder volvulus in a patient with chronic lymphocytic leukemia treated with laparoscopic cholecystectomy. </w:t>
      </w:r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Crit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Illn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Inj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4E1C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Sci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9, n. 2, p. 87-90,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E1CC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SHAIKH, A.</w:t>
      </w:r>
      <w:r w:rsidR="007C41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Gallbladder volvulus: report of two original cases and review of the literature. </w:t>
      </w:r>
      <w:proofErr w:type="spellStart"/>
      <w:r w:rsidRPr="004E1CC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Minessota</w:t>
      </w:r>
      <w:proofErr w:type="spellEnd"/>
      <w:r w:rsidRPr="004E1CC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Medicine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],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v. 71,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1,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87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89,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jan.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1C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2015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STIEBER, 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C.; BAUER, J.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</w:t>
      </w:r>
      <w:proofErr w:type="spellStart"/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>Volvulus</w:t>
      </w:r>
      <w:proofErr w:type="spellEnd"/>
      <w:r w:rsidRPr="004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vesícula biliar. </w:t>
      </w:r>
      <w:r w:rsidRPr="007933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Am. J. Gastroenterol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 [</w:t>
      </w:r>
      <w:r w:rsidRPr="007933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78, n. 1, p. 96-98, </w:t>
      </w:r>
      <w:proofErr w:type="spellStart"/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1983.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TOMOAKI, B.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Complete torsion of gallbladder following laparoscopic cholecystectomy: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case study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I. J. S. C. R</w:t>
      </w:r>
      <w:r w:rsidRPr="007933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],</w:t>
      </w:r>
      <w:r w:rsidRPr="007933C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v. 37,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 1,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 257-260,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2017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WANG, G.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‘Bulls-eye’ image of gallbladder volvulus. </w:t>
      </w:r>
      <w:r w:rsidRPr="007933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Clinical Nuclear Medicine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],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 12,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 1,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 231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232,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1987.</w:t>
      </w: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WENDEL, A.V. A case of floating gall-bladder and kidney complicated by cholelithiasis with perforation of the gall-bladder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Annals of Surgery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],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 27,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n. 1,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 199-202,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1898.</w:t>
      </w:r>
    </w:p>
    <w:p w:rsidR="007933CA" w:rsidRP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Default="007933CA" w:rsidP="007C412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OOD,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9A0D37" w:rsidRPr="009A0D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et al.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Rare case report of acalculous cholecystitis: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Pr="00A824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allbladder torsion resulting in rupture. 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SAGE Open Med Case Rep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[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s. 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], v. 7, n. 1, p. 1-3,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E1C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933CA" w:rsidRPr="007933CA" w:rsidRDefault="007933CA" w:rsidP="007C412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33CA" w:rsidRPr="007933CA" w:rsidRDefault="007933CA" w:rsidP="007C4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ZAKKO, S. F.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AFDHAL, N. H. </w:t>
      </w:r>
      <w:r w:rsidRPr="007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Acute calculous cholecystitis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linical features and diagnosis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7933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S. l.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]: </w:t>
      </w:r>
      <w:proofErr w:type="spellStart"/>
      <w:r w:rsidRPr="007933CA">
        <w:rPr>
          <w:rFonts w:ascii="Times New Roman" w:hAnsi="Times New Roman" w:cs="Times New Roman"/>
          <w:color w:val="000000" w:themeColor="text1"/>
          <w:sz w:val="24"/>
          <w:szCs w:val="24"/>
        </w:rPr>
        <w:t>UpToDate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93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933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2018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Disponível em: &lt;https://www.uptodate.com/contents/acute-calculous-cholecystitis-clinical-features-and-diagnosis&gt;.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set. </w:t>
      </w:r>
      <w:r w:rsidRPr="007933CA">
        <w:rPr>
          <w:rFonts w:ascii="Times New Roman" w:hAnsi="Times New Roman" w:cs="Times New Roman"/>
          <w:color w:val="000000" w:themeColor="text1"/>
          <w:sz w:val="24"/>
          <w:szCs w:val="24"/>
        </w:rPr>
        <w:t>2019.</w:t>
      </w:r>
    </w:p>
    <w:sectPr w:rsidR="007933CA" w:rsidRPr="007933CA" w:rsidSect="009E59BC">
      <w:headerReference w:type="default" r:id="rId18"/>
      <w:type w:val="continuous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6C" w:rsidRDefault="0009446C" w:rsidP="00015427">
      <w:pPr>
        <w:spacing w:after="0" w:line="240" w:lineRule="auto"/>
      </w:pPr>
      <w:r>
        <w:separator/>
      </w:r>
    </w:p>
  </w:endnote>
  <w:endnote w:type="continuationSeparator" w:id="0">
    <w:p w:rsidR="0009446C" w:rsidRDefault="0009446C" w:rsidP="0001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6C" w:rsidRDefault="0009446C" w:rsidP="00015427">
      <w:pPr>
        <w:spacing w:after="0" w:line="240" w:lineRule="auto"/>
      </w:pPr>
      <w:r>
        <w:separator/>
      </w:r>
    </w:p>
  </w:footnote>
  <w:footnote w:type="continuationSeparator" w:id="0">
    <w:p w:rsidR="0009446C" w:rsidRDefault="0009446C" w:rsidP="0001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1793193453"/>
      <w:docPartObj>
        <w:docPartGallery w:val="Page Numbers (Top of Page)"/>
        <w:docPartUnique/>
      </w:docPartObj>
    </w:sdtPr>
    <w:sdtContent>
      <w:p w:rsidR="004E1CC3" w:rsidRPr="007C4127" w:rsidRDefault="002D2DE5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C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E1CC3" w:rsidRPr="007C412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2EF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7C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1CC3" w:rsidRPr="00800953" w:rsidRDefault="004E1CC3" w:rsidP="005A68F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45F"/>
    <w:multiLevelType w:val="hybridMultilevel"/>
    <w:tmpl w:val="7F5ED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639F"/>
    <w:multiLevelType w:val="hybridMultilevel"/>
    <w:tmpl w:val="30E08D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47AD"/>
    <w:multiLevelType w:val="hybridMultilevel"/>
    <w:tmpl w:val="94EA3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1198"/>
    <w:multiLevelType w:val="hybridMultilevel"/>
    <w:tmpl w:val="34400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51692"/>
    <w:multiLevelType w:val="hybridMultilevel"/>
    <w:tmpl w:val="0ADAD0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61A91"/>
    <w:multiLevelType w:val="hybridMultilevel"/>
    <w:tmpl w:val="4E3A6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911A8"/>
    <w:multiLevelType w:val="hybridMultilevel"/>
    <w:tmpl w:val="FF82C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B34BD"/>
    <w:multiLevelType w:val="hybridMultilevel"/>
    <w:tmpl w:val="DD7EB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23E25"/>
    <w:multiLevelType w:val="hybridMultilevel"/>
    <w:tmpl w:val="0ADAD0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9276B"/>
    <w:multiLevelType w:val="hybridMultilevel"/>
    <w:tmpl w:val="60AAC8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C7348"/>
    <w:multiLevelType w:val="hybridMultilevel"/>
    <w:tmpl w:val="7F5ED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33A87"/>
    <w:multiLevelType w:val="hybridMultilevel"/>
    <w:tmpl w:val="0ADAD0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64D3C"/>
    <w:rsid w:val="00000D03"/>
    <w:rsid w:val="0000195F"/>
    <w:rsid w:val="000048D1"/>
    <w:rsid w:val="0000586F"/>
    <w:rsid w:val="00006441"/>
    <w:rsid w:val="0000660C"/>
    <w:rsid w:val="00010797"/>
    <w:rsid w:val="00013203"/>
    <w:rsid w:val="00013D93"/>
    <w:rsid w:val="00015427"/>
    <w:rsid w:val="00016546"/>
    <w:rsid w:val="00016687"/>
    <w:rsid w:val="00016CF5"/>
    <w:rsid w:val="00017846"/>
    <w:rsid w:val="00017C61"/>
    <w:rsid w:val="0002008F"/>
    <w:rsid w:val="00020FEA"/>
    <w:rsid w:val="0002218A"/>
    <w:rsid w:val="00022D4C"/>
    <w:rsid w:val="00024878"/>
    <w:rsid w:val="000254C6"/>
    <w:rsid w:val="000263EE"/>
    <w:rsid w:val="000378EC"/>
    <w:rsid w:val="00042CEB"/>
    <w:rsid w:val="00042EE1"/>
    <w:rsid w:val="00042FFA"/>
    <w:rsid w:val="000451B9"/>
    <w:rsid w:val="00046855"/>
    <w:rsid w:val="00046CD8"/>
    <w:rsid w:val="000558F0"/>
    <w:rsid w:val="00055BAF"/>
    <w:rsid w:val="00056E0B"/>
    <w:rsid w:val="00056F9D"/>
    <w:rsid w:val="00057E44"/>
    <w:rsid w:val="00060405"/>
    <w:rsid w:val="00062109"/>
    <w:rsid w:val="00064E8C"/>
    <w:rsid w:val="000650E1"/>
    <w:rsid w:val="000653A1"/>
    <w:rsid w:val="00074E7C"/>
    <w:rsid w:val="000760B1"/>
    <w:rsid w:val="0007666D"/>
    <w:rsid w:val="0007678E"/>
    <w:rsid w:val="0008551D"/>
    <w:rsid w:val="00090938"/>
    <w:rsid w:val="0009231C"/>
    <w:rsid w:val="0009446C"/>
    <w:rsid w:val="00094E7B"/>
    <w:rsid w:val="00095958"/>
    <w:rsid w:val="000974B3"/>
    <w:rsid w:val="00097A9E"/>
    <w:rsid w:val="000A1772"/>
    <w:rsid w:val="000A7A57"/>
    <w:rsid w:val="000B1510"/>
    <w:rsid w:val="000B2C39"/>
    <w:rsid w:val="000B2D95"/>
    <w:rsid w:val="000B3D75"/>
    <w:rsid w:val="000B565B"/>
    <w:rsid w:val="000B6778"/>
    <w:rsid w:val="000C5787"/>
    <w:rsid w:val="000D03DD"/>
    <w:rsid w:val="000D116E"/>
    <w:rsid w:val="000D2EED"/>
    <w:rsid w:val="000D5D51"/>
    <w:rsid w:val="000D5EFD"/>
    <w:rsid w:val="000D7419"/>
    <w:rsid w:val="000D7F62"/>
    <w:rsid w:val="000E3F31"/>
    <w:rsid w:val="000E50E3"/>
    <w:rsid w:val="000F4E23"/>
    <w:rsid w:val="000F70E7"/>
    <w:rsid w:val="001012DE"/>
    <w:rsid w:val="0010161B"/>
    <w:rsid w:val="00102546"/>
    <w:rsid w:val="00103950"/>
    <w:rsid w:val="00104D10"/>
    <w:rsid w:val="00106019"/>
    <w:rsid w:val="00110D1B"/>
    <w:rsid w:val="00113243"/>
    <w:rsid w:val="0011711A"/>
    <w:rsid w:val="001211AF"/>
    <w:rsid w:val="00122D9E"/>
    <w:rsid w:val="001251F7"/>
    <w:rsid w:val="00127E84"/>
    <w:rsid w:val="00130167"/>
    <w:rsid w:val="001322CE"/>
    <w:rsid w:val="0013335B"/>
    <w:rsid w:val="001335A5"/>
    <w:rsid w:val="00133AEE"/>
    <w:rsid w:val="00134F4B"/>
    <w:rsid w:val="001362D8"/>
    <w:rsid w:val="00136A52"/>
    <w:rsid w:val="00136F9B"/>
    <w:rsid w:val="001401E4"/>
    <w:rsid w:val="00140202"/>
    <w:rsid w:val="00141517"/>
    <w:rsid w:val="0014173C"/>
    <w:rsid w:val="001458AD"/>
    <w:rsid w:val="00146BB6"/>
    <w:rsid w:val="0015187E"/>
    <w:rsid w:val="00153631"/>
    <w:rsid w:val="00156B3C"/>
    <w:rsid w:val="001603E6"/>
    <w:rsid w:val="0016300C"/>
    <w:rsid w:val="00165318"/>
    <w:rsid w:val="00166A97"/>
    <w:rsid w:val="001836C1"/>
    <w:rsid w:val="00185EAA"/>
    <w:rsid w:val="001915DC"/>
    <w:rsid w:val="00192062"/>
    <w:rsid w:val="00192FC7"/>
    <w:rsid w:val="00196940"/>
    <w:rsid w:val="00197D9F"/>
    <w:rsid w:val="001A3671"/>
    <w:rsid w:val="001A3D4C"/>
    <w:rsid w:val="001A4170"/>
    <w:rsid w:val="001B3096"/>
    <w:rsid w:val="001B4C0F"/>
    <w:rsid w:val="001B6BF2"/>
    <w:rsid w:val="001B7C7F"/>
    <w:rsid w:val="001B7FB4"/>
    <w:rsid w:val="001C3B8B"/>
    <w:rsid w:val="001C3DB9"/>
    <w:rsid w:val="001C3F07"/>
    <w:rsid w:val="001C4E48"/>
    <w:rsid w:val="001D251A"/>
    <w:rsid w:val="001D2F23"/>
    <w:rsid w:val="001D413B"/>
    <w:rsid w:val="001D5B91"/>
    <w:rsid w:val="001D7695"/>
    <w:rsid w:val="001E47BD"/>
    <w:rsid w:val="001E4D7C"/>
    <w:rsid w:val="001E5B60"/>
    <w:rsid w:val="001E6C09"/>
    <w:rsid w:val="001E7313"/>
    <w:rsid w:val="001F0877"/>
    <w:rsid w:val="001F0EC0"/>
    <w:rsid w:val="001F0FF7"/>
    <w:rsid w:val="001F2A08"/>
    <w:rsid w:val="001F543F"/>
    <w:rsid w:val="00200BB7"/>
    <w:rsid w:val="00201D2D"/>
    <w:rsid w:val="002079C9"/>
    <w:rsid w:val="00212CB8"/>
    <w:rsid w:val="002139EF"/>
    <w:rsid w:val="00214893"/>
    <w:rsid w:val="00215F5E"/>
    <w:rsid w:val="00216519"/>
    <w:rsid w:val="00216B9D"/>
    <w:rsid w:val="002204D8"/>
    <w:rsid w:val="0022062B"/>
    <w:rsid w:val="00222297"/>
    <w:rsid w:val="00230688"/>
    <w:rsid w:val="00231390"/>
    <w:rsid w:val="0023175A"/>
    <w:rsid w:val="00231DA7"/>
    <w:rsid w:val="002341E5"/>
    <w:rsid w:val="00236254"/>
    <w:rsid w:val="00236921"/>
    <w:rsid w:val="002373C7"/>
    <w:rsid w:val="0023790B"/>
    <w:rsid w:val="002449CC"/>
    <w:rsid w:val="00246389"/>
    <w:rsid w:val="00246EA5"/>
    <w:rsid w:val="00251A03"/>
    <w:rsid w:val="00252964"/>
    <w:rsid w:val="00253B59"/>
    <w:rsid w:val="00253F2D"/>
    <w:rsid w:val="00254484"/>
    <w:rsid w:val="002561E6"/>
    <w:rsid w:val="0025652C"/>
    <w:rsid w:val="0025748E"/>
    <w:rsid w:val="00266B0D"/>
    <w:rsid w:val="00275DA6"/>
    <w:rsid w:val="002770BB"/>
    <w:rsid w:val="00281AE4"/>
    <w:rsid w:val="00291367"/>
    <w:rsid w:val="002952A1"/>
    <w:rsid w:val="00295BA0"/>
    <w:rsid w:val="0029659C"/>
    <w:rsid w:val="002A5DB9"/>
    <w:rsid w:val="002B3388"/>
    <w:rsid w:val="002B33C1"/>
    <w:rsid w:val="002B5B72"/>
    <w:rsid w:val="002C2EDA"/>
    <w:rsid w:val="002C538A"/>
    <w:rsid w:val="002C7628"/>
    <w:rsid w:val="002D05A5"/>
    <w:rsid w:val="002D21C4"/>
    <w:rsid w:val="002D2DE5"/>
    <w:rsid w:val="002D4077"/>
    <w:rsid w:val="002D4E3E"/>
    <w:rsid w:val="002D6340"/>
    <w:rsid w:val="002D762A"/>
    <w:rsid w:val="002D7F49"/>
    <w:rsid w:val="002E060B"/>
    <w:rsid w:val="002E1C63"/>
    <w:rsid w:val="002E5142"/>
    <w:rsid w:val="002F013C"/>
    <w:rsid w:val="002F0D85"/>
    <w:rsid w:val="002F1C67"/>
    <w:rsid w:val="002F652B"/>
    <w:rsid w:val="002F6C27"/>
    <w:rsid w:val="002F72D0"/>
    <w:rsid w:val="0030171C"/>
    <w:rsid w:val="00303E70"/>
    <w:rsid w:val="003058CB"/>
    <w:rsid w:val="00306AB9"/>
    <w:rsid w:val="00307A25"/>
    <w:rsid w:val="00310FAE"/>
    <w:rsid w:val="0031129B"/>
    <w:rsid w:val="00312EE9"/>
    <w:rsid w:val="0031493C"/>
    <w:rsid w:val="003218AE"/>
    <w:rsid w:val="00323C48"/>
    <w:rsid w:val="003249C8"/>
    <w:rsid w:val="00324F13"/>
    <w:rsid w:val="00325262"/>
    <w:rsid w:val="00327D9C"/>
    <w:rsid w:val="0033093E"/>
    <w:rsid w:val="003312E5"/>
    <w:rsid w:val="003316EE"/>
    <w:rsid w:val="0033533A"/>
    <w:rsid w:val="003429F2"/>
    <w:rsid w:val="00342ED9"/>
    <w:rsid w:val="00343524"/>
    <w:rsid w:val="00345997"/>
    <w:rsid w:val="003466FF"/>
    <w:rsid w:val="00347AA0"/>
    <w:rsid w:val="00350FC4"/>
    <w:rsid w:val="00351391"/>
    <w:rsid w:val="00351DEF"/>
    <w:rsid w:val="003529B2"/>
    <w:rsid w:val="00357781"/>
    <w:rsid w:val="00363C40"/>
    <w:rsid w:val="00364544"/>
    <w:rsid w:val="003663FA"/>
    <w:rsid w:val="00366A76"/>
    <w:rsid w:val="00371416"/>
    <w:rsid w:val="00373870"/>
    <w:rsid w:val="00373E57"/>
    <w:rsid w:val="003743D8"/>
    <w:rsid w:val="0037639A"/>
    <w:rsid w:val="0037726B"/>
    <w:rsid w:val="00385578"/>
    <w:rsid w:val="003866A5"/>
    <w:rsid w:val="00390723"/>
    <w:rsid w:val="003918AC"/>
    <w:rsid w:val="00391E86"/>
    <w:rsid w:val="00394836"/>
    <w:rsid w:val="00396899"/>
    <w:rsid w:val="003A08EB"/>
    <w:rsid w:val="003A1745"/>
    <w:rsid w:val="003A1FB4"/>
    <w:rsid w:val="003A2C1D"/>
    <w:rsid w:val="003A4B7C"/>
    <w:rsid w:val="003A5F54"/>
    <w:rsid w:val="003B2E5D"/>
    <w:rsid w:val="003C07C0"/>
    <w:rsid w:val="003C24D2"/>
    <w:rsid w:val="003C2551"/>
    <w:rsid w:val="003C61D4"/>
    <w:rsid w:val="003D4771"/>
    <w:rsid w:val="003D7463"/>
    <w:rsid w:val="003E0077"/>
    <w:rsid w:val="003E26DD"/>
    <w:rsid w:val="003E4C2F"/>
    <w:rsid w:val="003E4EC5"/>
    <w:rsid w:val="003E570F"/>
    <w:rsid w:val="003F034A"/>
    <w:rsid w:val="003F1263"/>
    <w:rsid w:val="003F372C"/>
    <w:rsid w:val="004003B9"/>
    <w:rsid w:val="0040104A"/>
    <w:rsid w:val="004014E0"/>
    <w:rsid w:val="00405F0A"/>
    <w:rsid w:val="0040783C"/>
    <w:rsid w:val="004102EF"/>
    <w:rsid w:val="004128A5"/>
    <w:rsid w:val="00420A62"/>
    <w:rsid w:val="004258F2"/>
    <w:rsid w:val="0042750F"/>
    <w:rsid w:val="00427C6F"/>
    <w:rsid w:val="00427D0E"/>
    <w:rsid w:val="00431853"/>
    <w:rsid w:val="0043442B"/>
    <w:rsid w:val="00435A8B"/>
    <w:rsid w:val="00437862"/>
    <w:rsid w:val="00444FFF"/>
    <w:rsid w:val="0045389C"/>
    <w:rsid w:val="00454323"/>
    <w:rsid w:val="00456D8A"/>
    <w:rsid w:val="004618A0"/>
    <w:rsid w:val="004639AE"/>
    <w:rsid w:val="00471F5B"/>
    <w:rsid w:val="00472947"/>
    <w:rsid w:val="00476522"/>
    <w:rsid w:val="004776E2"/>
    <w:rsid w:val="004779D3"/>
    <w:rsid w:val="00482AA5"/>
    <w:rsid w:val="00485A02"/>
    <w:rsid w:val="00486768"/>
    <w:rsid w:val="00491546"/>
    <w:rsid w:val="00493BB4"/>
    <w:rsid w:val="00495A4A"/>
    <w:rsid w:val="004A043D"/>
    <w:rsid w:val="004A3536"/>
    <w:rsid w:val="004A6F62"/>
    <w:rsid w:val="004A73EE"/>
    <w:rsid w:val="004B1B8E"/>
    <w:rsid w:val="004B4FEF"/>
    <w:rsid w:val="004B5E62"/>
    <w:rsid w:val="004B742B"/>
    <w:rsid w:val="004C2BFB"/>
    <w:rsid w:val="004C6459"/>
    <w:rsid w:val="004C6E2E"/>
    <w:rsid w:val="004C78E5"/>
    <w:rsid w:val="004D2D7B"/>
    <w:rsid w:val="004D2E97"/>
    <w:rsid w:val="004D592D"/>
    <w:rsid w:val="004E01A3"/>
    <w:rsid w:val="004E1B55"/>
    <w:rsid w:val="004E1CC3"/>
    <w:rsid w:val="004E3C4B"/>
    <w:rsid w:val="004E3E48"/>
    <w:rsid w:val="004E68C6"/>
    <w:rsid w:val="004E6BA3"/>
    <w:rsid w:val="004F4943"/>
    <w:rsid w:val="004F5D16"/>
    <w:rsid w:val="004F7375"/>
    <w:rsid w:val="004F784E"/>
    <w:rsid w:val="004F79DE"/>
    <w:rsid w:val="005031AE"/>
    <w:rsid w:val="00505D46"/>
    <w:rsid w:val="005103E2"/>
    <w:rsid w:val="005141CA"/>
    <w:rsid w:val="005162E5"/>
    <w:rsid w:val="005305D5"/>
    <w:rsid w:val="0053060F"/>
    <w:rsid w:val="0053076F"/>
    <w:rsid w:val="005329AE"/>
    <w:rsid w:val="00533A12"/>
    <w:rsid w:val="005347BA"/>
    <w:rsid w:val="00542F1C"/>
    <w:rsid w:val="00546369"/>
    <w:rsid w:val="00547037"/>
    <w:rsid w:val="0055044B"/>
    <w:rsid w:val="0055083E"/>
    <w:rsid w:val="00550921"/>
    <w:rsid w:val="00556240"/>
    <w:rsid w:val="00556C4E"/>
    <w:rsid w:val="00563B81"/>
    <w:rsid w:val="00564A44"/>
    <w:rsid w:val="00572024"/>
    <w:rsid w:val="00572B94"/>
    <w:rsid w:val="005764FA"/>
    <w:rsid w:val="00576753"/>
    <w:rsid w:val="00580050"/>
    <w:rsid w:val="00583BDD"/>
    <w:rsid w:val="0058504B"/>
    <w:rsid w:val="0058609B"/>
    <w:rsid w:val="005868A9"/>
    <w:rsid w:val="00586AC2"/>
    <w:rsid w:val="0059210A"/>
    <w:rsid w:val="005975AB"/>
    <w:rsid w:val="005A3884"/>
    <w:rsid w:val="005A56CA"/>
    <w:rsid w:val="005A68F2"/>
    <w:rsid w:val="005A696C"/>
    <w:rsid w:val="005A72FB"/>
    <w:rsid w:val="005A785E"/>
    <w:rsid w:val="005A7966"/>
    <w:rsid w:val="005B01A6"/>
    <w:rsid w:val="005B068C"/>
    <w:rsid w:val="005B0952"/>
    <w:rsid w:val="005B0E49"/>
    <w:rsid w:val="005B111E"/>
    <w:rsid w:val="005B3693"/>
    <w:rsid w:val="005B39D2"/>
    <w:rsid w:val="005B3DF8"/>
    <w:rsid w:val="005B3F12"/>
    <w:rsid w:val="005B40C5"/>
    <w:rsid w:val="005B626D"/>
    <w:rsid w:val="005C3511"/>
    <w:rsid w:val="005C7390"/>
    <w:rsid w:val="005D0D46"/>
    <w:rsid w:val="005D24B8"/>
    <w:rsid w:val="005D2C1F"/>
    <w:rsid w:val="005D328D"/>
    <w:rsid w:val="005D35A8"/>
    <w:rsid w:val="005D5FEB"/>
    <w:rsid w:val="005D6F3A"/>
    <w:rsid w:val="005E16AC"/>
    <w:rsid w:val="005F3512"/>
    <w:rsid w:val="005F50C8"/>
    <w:rsid w:val="005F53B7"/>
    <w:rsid w:val="006045FB"/>
    <w:rsid w:val="00611C19"/>
    <w:rsid w:val="00613690"/>
    <w:rsid w:val="00614031"/>
    <w:rsid w:val="0061458C"/>
    <w:rsid w:val="006145EA"/>
    <w:rsid w:val="00616F59"/>
    <w:rsid w:val="006172F2"/>
    <w:rsid w:val="0062630A"/>
    <w:rsid w:val="00633D41"/>
    <w:rsid w:val="00634170"/>
    <w:rsid w:val="00635119"/>
    <w:rsid w:val="006379D3"/>
    <w:rsid w:val="00641002"/>
    <w:rsid w:val="00642A84"/>
    <w:rsid w:val="00642FA4"/>
    <w:rsid w:val="00645FF3"/>
    <w:rsid w:val="00653F56"/>
    <w:rsid w:val="006654E4"/>
    <w:rsid w:val="00665D00"/>
    <w:rsid w:val="006669F9"/>
    <w:rsid w:val="006729C3"/>
    <w:rsid w:val="00681931"/>
    <w:rsid w:val="00681C19"/>
    <w:rsid w:val="00685044"/>
    <w:rsid w:val="0068690A"/>
    <w:rsid w:val="00686AEE"/>
    <w:rsid w:val="0068751F"/>
    <w:rsid w:val="00687650"/>
    <w:rsid w:val="006926F2"/>
    <w:rsid w:val="006A1072"/>
    <w:rsid w:val="006A20B5"/>
    <w:rsid w:val="006A56B0"/>
    <w:rsid w:val="006A5841"/>
    <w:rsid w:val="006A7DE4"/>
    <w:rsid w:val="006B64EC"/>
    <w:rsid w:val="006B6DC5"/>
    <w:rsid w:val="006C2EF5"/>
    <w:rsid w:val="006C3432"/>
    <w:rsid w:val="006C69DF"/>
    <w:rsid w:val="006C7B79"/>
    <w:rsid w:val="006D196A"/>
    <w:rsid w:val="006D5FD4"/>
    <w:rsid w:val="006E1774"/>
    <w:rsid w:val="006E196F"/>
    <w:rsid w:val="006E74CD"/>
    <w:rsid w:val="006F27C4"/>
    <w:rsid w:val="006F4560"/>
    <w:rsid w:val="006F4C28"/>
    <w:rsid w:val="0070004D"/>
    <w:rsid w:val="007061F0"/>
    <w:rsid w:val="00710FB7"/>
    <w:rsid w:val="00712788"/>
    <w:rsid w:val="0071750B"/>
    <w:rsid w:val="00717EAB"/>
    <w:rsid w:val="007221F8"/>
    <w:rsid w:val="00724ABC"/>
    <w:rsid w:val="00731619"/>
    <w:rsid w:val="00733600"/>
    <w:rsid w:val="007348C4"/>
    <w:rsid w:val="0074018A"/>
    <w:rsid w:val="00740A04"/>
    <w:rsid w:val="00741557"/>
    <w:rsid w:val="00741E8A"/>
    <w:rsid w:val="00753A84"/>
    <w:rsid w:val="007551E6"/>
    <w:rsid w:val="0075589A"/>
    <w:rsid w:val="007574FA"/>
    <w:rsid w:val="00770563"/>
    <w:rsid w:val="00775061"/>
    <w:rsid w:val="0078132E"/>
    <w:rsid w:val="00781EE1"/>
    <w:rsid w:val="00782DF7"/>
    <w:rsid w:val="0078551C"/>
    <w:rsid w:val="007857FD"/>
    <w:rsid w:val="007933CA"/>
    <w:rsid w:val="007A08FD"/>
    <w:rsid w:val="007A6104"/>
    <w:rsid w:val="007A7B15"/>
    <w:rsid w:val="007A7F9D"/>
    <w:rsid w:val="007B28FF"/>
    <w:rsid w:val="007B479D"/>
    <w:rsid w:val="007B4A1C"/>
    <w:rsid w:val="007B5172"/>
    <w:rsid w:val="007B561D"/>
    <w:rsid w:val="007B5A82"/>
    <w:rsid w:val="007B6373"/>
    <w:rsid w:val="007C4127"/>
    <w:rsid w:val="007C6A16"/>
    <w:rsid w:val="007C6C02"/>
    <w:rsid w:val="007C6CAB"/>
    <w:rsid w:val="007D09E2"/>
    <w:rsid w:val="007D2818"/>
    <w:rsid w:val="007E27CA"/>
    <w:rsid w:val="007E3884"/>
    <w:rsid w:val="007E5A69"/>
    <w:rsid w:val="007F1AF0"/>
    <w:rsid w:val="007F241F"/>
    <w:rsid w:val="007F5A7B"/>
    <w:rsid w:val="007F7214"/>
    <w:rsid w:val="007F76BA"/>
    <w:rsid w:val="00800953"/>
    <w:rsid w:val="008018A9"/>
    <w:rsid w:val="00802F8B"/>
    <w:rsid w:val="00803E92"/>
    <w:rsid w:val="0080454D"/>
    <w:rsid w:val="00806C98"/>
    <w:rsid w:val="008071B0"/>
    <w:rsid w:val="008072FF"/>
    <w:rsid w:val="00810D5B"/>
    <w:rsid w:val="00812F0E"/>
    <w:rsid w:val="00816DD7"/>
    <w:rsid w:val="00820E3F"/>
    <w:rsid w:val="0082153E"/>
    <w:rsid w:val="0083067A"/>
    <w:rsid w:val="0083256D"/>
    <w:rsid w:val="00834483"/>
    <w:rsid w:val="008413E5"/>
    <w:rsid w:val="008430B7"/>
    <w:rsid w:val="0084461B"/>
    <w:rsid w:val="008463D7"/>
    <w:rsid w:val="00857F35"/>
    <w:rsid w:val="008613BB"/>
    <w:rsid w:val="00861457"/>
    <w:rsid w:val="008644F7"/>
    <w:rsid w:val="00864E79"/>
    <w:rsid w:val="008714E3"/>
    <w:rsid w:val="008725C4"/>
    <w:rsid w:val="00873657"/>
    <w:rsid w:val="00874587"/>
    <w:rsid w:val="00874B20"/>
    <w:rsid w:val="00874FD5"/>
    <w:rsid w:val="00875341"/>
    <w:rsid w:val="00876D77"/>
    <w:rsid w:val="00877B70"/>
    <w:rsid w:val="00883F9F"/>
    <w:rsid w:val="00890D7C"/>
    <w:rsid w:val="0089602E"/>
    <w:rsid w:val="008A443C"/>
    <w:rsid w:val="008B04C8"/>
    <w:rsid w:val="008B0C36"/>
    <w:rsid w:val="008B177C"/>
    <w:rsid w:val="008B7A60"/>
    <w:rsid w:val="008D0180"/>
    <w:rsid w:val="008D0D9A"/>
    <w:rsid w:val="008D2C1A"/>
    <w:rsid w:val="008D3253"/>
    <w:rsid w:val="008E2234"/>
    <w:rsid w:val="008E2783"/>
    <w:rsid w:val="008E3673"/>
    <w:rsid w:val="008E4802"/>
    <w:rsid w:val="008E6287"/>
    <w:rsid w:val="008E67B4"/>
    <w:rsid w:val="008E7785"/>
    <w:rsid w:val="008F317A"/>
    <w:rsid w:val="008F640B"/>
    <w:rsid w:val="008F7EBB"/>
    <w:rsid w:val="00900897"/>
    <w:rsid w:val="009052D6"/>
    <w:rsid w:val="00906074"/>
    <w:rsid w:val="009071D2"/>
    <w:rsid w:val="0091086B"/>
    <w:rsid w:val="00910986"/>
    <w:rsid w:val="00917137"/>
    <w:rsid w:val="009207CC"/>
    <w:rsid w:val="00924629"/>
    <w:rsid w:val="009304D2"/>
    <w:rsid w:val="0093554F"/>
    <w:rsid w:val="00935C6C"/>
    <w:rsid w:val="00937B9D"/>
    <w:rsid w:val="009403C6"/>
    <w:rsid w:val="009434F9"/>
    <w:rsid w:val="00943748"/>
    <w:rsid w:val="0094398E"/>
    <w:rsid w:val="0094798F"/>
    <w:rsid w:val="00947EBF"/>
    <w:rsid w:val="00947F05"/>
    <w:rsid w:val="00950A41"/>
    <w:rsid w:val="00955663"/>
    <w:rsid w:val="0095771E"/>
    <w:rsid w:val="00966CEC"/>
    <w:rsid w:val="00972464"/>
    <w:rsid w:val="009725E9"/>
    <w:rsid w:val="00972E6A"/>
    <w:rsid w:val="009768E0"/>
    <w:rsid w:val="0097717E"/>
    <w:rsid w:val="009816D8"/>
    <w:rsid w:val="009826C1"/>
    <w:rsid w:val="0098334C"/>
    <w:rsid w:val="00991ADD"/>
    <w:rsid w:val="009A0D37"/>
    <w:rsid w:val="009A14C6"/>
    <w:rsid w:val="009A318B"/>
    <w:rsid w:val="009A4CDA"/>
    <w:rsid w:val="009A708D"/>
    <w:rsid w:val="009A7FEE"/>
    <w:rsid w:val="009B2E86"/>
    <w:rsid w:val="009B4892"/>
    <w:rsid w:val="009B4A01"/>
    <w:rsid w:val="009B5811"/>
    <w:rsid w:val="009D239A"/>
    <w:rsid w:val="009E3C22"/>
    <w:rsid w:val="009E59BC"/>
    <w:rsid w:val="009E65C3"/>
    <w:rsid w:val="009F04A0"/>
    <w:rsid w:val="009F1BD4"/>
    <w:rsid w:val="009F1E2D"/>
    <w:rsid w:val="009F3050"/>
    <w:rsid w:val="009F6EFD"/>
    <w:rsid w:val="00A011FC"/>
    <w:rsid w:val="00A05D34"/>
    <w:rsid w:val="00A120D1"/>
    <w:rsid w:val="00A1640F"/>
    <w:rsid w:val="00A20EB1"/>
    <w:rsid w:val="00A300C7"/>
    <w:rsid w:val="00A31150"/>
    <w:rsid w:val="00A31A64"/>
    <w:rsid w:val="00A336CD"/>
    <w:rsid w:val="00A36645"/>
    <w:rsid w:val="00A4266C"/>
    <w:rsid w:val="00A44024"/>
    <w:rsid w:val="00A46B51"/>
    <w:rsid w:val="00A567E1"/>
    <w:rsid w:val="00A60409"/>
    <w:rsid w:val="00A62318"/>
    <w:rsid w:val="00A64272"/>
    <w:rsid w:val="00A67157"/>
    <w:rsid w:val="00A67D50"/>
    <w:rsid w:val="00A7412A"/>
    <w:rsid w:val="00A80405"/>
    <w:rsid w:val="00A810DE"/>
    <w:rsid w:val="00A81860"/>
    <w:rsid w:val="00A81FA9"/>
    <w:rsid w:val="00A8248A"/>
    <w:rsid w:val="00A82907"/>
    <w:rsid w:val="00A85F8E"/>
    <w:rsid w:val="00A875E2"/>
    <w:rsid w:val="00A919CD"/>
    <w:rsid w:val="00A9687F"/>
    <w:rsid w:val="00A9741A"/>
    <w:rsid w:val="00AA10ED"/>
    <w:rsid w:val="00AA22EF"/>
    <w:rsid w:val="00AA45AF"/>
    <w:rsid w:val="00AA54C0"/>
    <w:rsid w:val="00AA6DD4"/>
    <w:rsid w:val="00AB31F4"/>
    <w:rsid w:val="00AB6C64"/>
    <w:rsid w:val="00AB6F4C"/>
    <w:rsid w:val="00AB7185"/>
    <w:rsid w:val="00AC3FA4"/>
    <w:rsid w:val="00AD2867"/>
    <w:rsid w:val="00AD424A"/>
    <w:rsid w:val="00AD7A52"/>
    <w:rsid w:val="00AD7FFE"/>
    <w:rsid w:val="00AE0277"/>
    <w:rsid w:val="00AE1455"/>
    <w:rsid w:val="00AE2DAC"/>
    <w:rsid w:val="00AE33F9"/>
    <w:rsid w:val="00AE7DCA"/>
    <w:rsid w:val="00AF0485"/>
    <w:rsid w:val="00AF09FD"/>
    <w:rsid w:val="00AF11E9"/>
    <w:rsid w:val="00AF144D"/>
    <w:rsid w:val="00AF1625"/>
    <w:rsid w:val="00AF3BD4"/>
    <w:rsid w:val="00AF3D30"/>
    <w:rsid w:val="00B00226"/>
    <w:rsid w:val="00B03F9D"/>
    <w:rsid w:val="00B057EF"/>
    <w:rsid w:val="00B14AD0"/>
    <w:rsid w:val="00B20400"/>
    <w:rsid w:val="00B24286"/>
    <w:rsid w:val="00B30D0F"/>
    <w:rsid w:val="00B31E13"/>
    <w:rsid w:val="00B37059"/>
    <w:rsid w:val="00B4036B"/>
    <w:rsid w:val="00B40A8B"/>
    <w:rsid w:val="00B41F06"/>
    <w:rsid w:val="00B4293B"/>
    <w:rsid w:val="00B4304E"/>
    <w:rsid w:val="00B43E3B"/>
    <w:rsid w:val="00B45176"/>
    <w:rsid w:val="00B46355"/>
    <w:rsid w:val="00B5006E"/>
    <w:rsid w:val="00B502B1"/>
    <w:rsid w:val="00B51D3A"/>
    <w:rsid w:val="00B522E4"/>
    <w:rsid w:val="00B52A09"/>
    <w:rsid w:val="00B55B57"/>
    <w:rsid w:val="00B60711"/>
    <w:rsid w:val="00B617E2"/>
    <w:rsid w:val="00B620DB"/>
    <w:rsid w:val="00B64D3C"/>
    <w:rsid w:val="00B64F62"/>
    <w:rsid w:val="00B67EDE"/>
    <w:rsid w:val="00B70656"/>
    <w:rsid w:val="00B71218"/>
    <w:rsid w:val="00B754C4"/>
    <w:rsid w:val="00B80E4C"/>
    <w:rsid w:val="00B81787"/>
    <w:rsid w:val="00B830D1"/>
    <w:rsid w:val="00B83C70"/>
    <w:rsid w:val="00B87F4C"/>
    <w:rsid w:val="00B901BA"/>
    <w:rsid w:val="00B90915"/>
    <w:rsid w:val="00B9535B"/>
    <w:rsid w:val="00B97DE9"/>
    <w:rsid w:val="00B97E15"/>
    <w:rsid w:val="00BA763C"/>
    <w:rsid w:val="00BB50A0"/>
    <w:rsid w:val="00BB63A3"/>
    <w:rsid w:val="00BC10AA"/>
    <w:rsid w:val="00BC2ACA"/>
    <w:rsid w:val="00BC7F7D"/>
    <w:rsid w:val="00BD34AD"/>
    <w:rsid w:val="00BD77FF"/>
    <w:rsid w:val="00BE3842"/>
    <w:rsid w:val="00BF0C73"/>
    <w:rsid w:val="00BF427A"/>
    <w:rsid w:val="00BF65D5"/>
    <w:rsid w:val="00C00419"/>
    <w:rsid w:val="00C03CA1"/>
    <w:rsid w:val="00C03E27"/>
    <w:rsid w:val="00C0494B"/>
    <w:rsid w:val="00C11B83"/>
    <w:rsid w:val="00C13567"/>
    <w:rsid w:val="00C14D2C"/>
    <w:rsid w:val="00C16C39"/>
    <w:rsid w:val="00C25B89"/>
    <w:rsid w:val="00C34068"/>
    <w:rsid w:val="00C3408E"/>
    <w:rsid w:val="00C36E61"/>
    <w:rsid w:val="00C37546"/>
    <w:rsid w:val="00C40FC0"/>
    <w:rsid w:val="00C43441"/>
    <w:rsid w:val="00C52459"/>
    <w:rsid w:val="00C525DD"/>
    <w:rsid w:val="00C57F08"/>
    <w:rsid w:val="00C61C02"/>
    <w:rsid w:val="00C6488C"/>
    <w:rsid w:val="00C656C3"/>
    <w:rsid w:val="00C70B36"/>
    <w:rsid w:val="00C7279E"/>
    <w:rsid w:val="00C73100"/>
    <w:rsid w:val="00C73329"/>
    <w:rsid w:val="00C77586"/>
    <w:rsid w:val="00C819E8"/>
    <w:rsid w:val="00C81CF2"/>
    <w:rsid w:val="00C84205"/>
    <w:rsid w:val="00C851CF"/>
    <w:rsid w:val="00C9284E"/>
    <w:rsid w:val="00C92B9A"/>
    <w:rsid w:val="00C93ADE"/>
    <w:rsid w:val="00C94C6C"/>
    <w:rsid w:val="00C95406"/>
    <w:rsid w:val="00CA34AC"/>
    <w:rsid w:val="00CA57AF"/>
    <w:rsid w:val="00CA7ADB"/>
    <w:rsid w:val="00CB10F6"/>
    <w:rsid w:val="00CB1B72"/>
    <w:rsid w:val="00CB2B83"/>
    <w:rsid w:val="00CB3DBB"/>
    <w:rsid w:val="00CB41A3"/>
    <w:rsid w:val="00CB7BF7"/>
    <w:rsid w:val="00CC5A7A"/>
    <w:rsid w:val="00CC5CD4"/>
    <w:rsid w:val="00CC7EC1"/>
    <w:rsid w:val="00CD0812"/>
    <w:rsid w:val="00CD4092"/>
    <w:rsid w:val="00CE68B1"/>
    <w:rsid w:val="00CF09D2"/>
    <w:rsid w:val="00CF57C3"/>
    <w:rsid w:val="00CF5BE1"/>
    <w:rsid w:val="00D037E2"/>
    <w:rsid w:val="00D05112"/>
    <w:rsid w:val="00D055A7"/>
    <w:rsid w:val="00D05CB3"/>
    <w:rsid w:val="00D06C79"/>
    <w:rsid w:val="00D06CA4"/>
    <w:rsid w:val="00D12E2E"/>
    <w:rsid w:val="00D2162B"/>
    <w:rsid w:val="00D23332"/>
    <w:rsid w:val="00D26526"/>
    <w:rsid w:val="00D3109D"/>
    <w:rsid w:val="00D326DE"/>
    <w:rsid w:val="00D432B1"/>
    <w:rsid w:val="00D44608"/>
    <w:rsid w:val="00D47568"/>
    <w:rsid w:val="00D52321"/>
    <w:rsid w:val="00D52EC7"/>
    <w:rsid w:val="00D53C5D"/>
    <w:rsid w:val="00D547EB"/>
    <w:rsid w:val="00D56680"/>
    <w:rsid w:val="00D568B9"/>
    <w:rsid w:val="00D56A9F"/>
    <w:rsid w:val="00D57B2D"/>
    <w:rsid w:val="00D612F4"/>
    <w:rsid w:val="00D638A6"/>
    <w:rsid w:val="00D648A6"/>
    <w:rsid w:val="00D66535"/>
    <w:rsid w:val="00D70EB8"/>
    <w:rsid w:val="00D761EB"/>
    <w:rsid w:val="00D76ED3"/>
    <w:rsid w:val="00D77DC0"/>
    <w:rsid w:val="00D841F2"/>
    <w:rsid w:val="00D93BEA"/>
    <w:rsid w:val="00D9600A"/>
    <w:rsid w:val="00DA12C1"/>
    <w:rsid w:val="00DA6727"/>
    <w:rsid w:val="00DB16AA"/>
    <w:rsid w:val="00DB51F9"/>
    <w:rsid w:val="00DB5EF2"/>
    <w:rsid w:val="00DC02D0"/>
    <w:rsid w:val="00DC1F18"/>
    <w:rsid w:val="00DC44AC"/>
    <w:rsid w:val="00DD0673"/>
    <w:rsid w:val="00DD23BA"/>
    <w:rsid w:val="00DD2527"/>
    <w:rsid w:val="00DD4DE7"/>
    <w:rsid w:val="00DE5CC0"/>
    <w:rsid w:val="00DE64F9"/>
    <w:rsid w:val="00DE7A30"/>
    <w:rsid w:val="00DF01F8"/>
    <w:rsid w:val="00DF14EE"/>
    <w:rsid w:val="00DF496C"/>
    <w:rsid w:val="00DF73E3"/>
    <w:rsid w:val="00E0001E"/>
    <w:rsid w:val="00E065C8"/>
    <w:rsid w:val="00E10909"/>
    <w:rsid w:val="00E1634F"/>
    <w:rsid w:val="00E20FC2"/>
    <w:rsid w:val="00E22C06"/>
    <w:rsid w:val="00E31F57"/>
    <w:rsid w:val="00E3205F"/>
    <w:rsid w:val="00E4137C"/>
    <w:rsid w:val="00E4222D"/>
    <w:rsid w:val="00E4436B"/>
    <w:rsid w:val="00E449EF"/>
    <w:rsid w:val="00E50B9A"/>
    <w:rsid w:val="00E56693"/>
    <w:rsid w:val="00E56AA6"/>
    <w:rsid w:val="00E61D2B"/>
    <w:rsid w:val="00E6209C"/>
    <w:rsid w:val="00E629CA"/>
    <w:rsid w:val="00E62AA4"/>
    <w:rsid w:val="00E63218"/>
    <w:rsid w:val="00E640CB"/>
    <w:rsid w:val="00E65D13"/>
    <w:rsid w:val="00E726A4"/>
    <w:rsid w:val="00E72B04"/>
    <w:rsid w:val="00E96A36"/>
    <w:rsid w:val="00E9765A"/>
    <w:rsid w:val="00EA1987"/>
    <w:rsid w:val="00EA28CD"/>
    <w:rsid w:val="00EA5A7A"/>
    <w:rsid w:val="00EA6401"/>
    <w:rsid w:val="00EA66BD"/>
    <w:rsid w:val="00EB162A"/>
    <w:rsid w:val="00EB2BC4"/>
    <w:rsid w:val="00EB3924"/>
    <w:rsid w:val="00EB5852"/>
    <w:rsid w:val="00EB6024"/>
    <w:rsid w:val="00EB766A"/>
    <w:rsid w:val="00EB7A2C"/>
    <w:rsid w:val="00EC5425"/>
    <w:rsid w:val="00EC7895"/>
    <w:rsid w:val="00ED35F6"/>
    <w:rsid w:val="00ED3FA6"/>
    <w:rsid w:val="00EE1AAB"/>
    <w:rsid w:val="00EE3BCB"/>
    <w:rsid w:val="00EE3FEA"/>
    <w:rsid w:val="00EE57B7"/>
    <w:rsid w:val="00EF153B"/>
    <w:rsid w:val="00EF2A32"/>
    <w:rsid w:val="00EF3F9E"/>
    <w:rsid w:val="00EF64B1"/>
    <w:rsid w:val="00F015AC"/>
    <w:rsid w:val="00F02265"/>
    <w:rsid w:val="00F02C69"/>
    <w:rsid w:val="00F0484B"/>
    <w:rsid w:val="00F05090"/>
    <w:rsid w:val="00F05711"/>
    <w:rsid w:val="00F11E96"/>
    <w:rsid w:val="00F1659F"/>
    <w:rsid w:val="00F16CE0"/>
    <w:rsid w:val="00F17775"/>
    <w:rsid w:val="00F27440"/>
    <w:rsid w:val="00F2776B"/>
    <w:rsid w:val="00F30A57"/>
    <w:rsid w:val="00F318AA"/>
    <w:rsid w:val="00F31BA6"/>
    <w:rsid w:val="00F344E0"/>
    <w:rsid w:val="00F5259C"/>
    <w:rsid w:val="00F53795"/>
    <w:rsid w:val="00F669E8"/>
    <w:rsid w:val="00F67A5D"/>
    <w:rsid w:val="00F71B3E"/>
    <w:rsid w:val="00F71F60"/>
    <w:rsid w:val="00F73F8D"/>
    <w:rsid w:val="00F76711"/>
    <w:rsid w:val="00F8223B"/>
    <w:rsid w:val="00F85A6A"/>
    <w:rsid w:val="00F85B4C"/>
    <w:rsid w:val="00F92DFC"/>
    <w:rsid w:val="00F9337C"/>
    <w:rsid w:val="00F95DA4"/>
    <w:rsid w:val="00F976E9"/>
    <w:rsid w:val="00FA2F97"/>
    <w:rsid w:val="00FA4DB3"/>
    <w:rsid w:val="00FA5C9C"/>
    <w:rsid w:val="00FB0BF8"/>
    <w:rsid w:val="00FB25DB"/>
    <w:rsid w:val="00FB3BD1"/>
    <w:rsid w:val="00FC0F8C"/>
    <w:rsid w:val="00FC256F"/>
    <w:rsid w:val="00FC2937"/>
    <w:rsid w:val="00FC3D39"/>
    <w:rsid w:val="00FC519C"/>
    <w:rsid w:val="00FC53A6"/>
    <w:rsid w:val="00FC6DDC"/>
    <w:rsid w:val="00FD0F33"/>
    <w:rsid w:val="00FD2930"/>
    <w:rsid w:val="00FD6FAD"/>
    <w:rsid w:val="00FD7790"/>
    <w:rsid w:val="00FD7FCE"/>
    <w:rsid w:val="00FE3C46"/>
    <w:rsid w:val="00FE42C1"/>
    <w:rsid w:val="00F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41"/>
  </w:style>
  <w:style w:type="paragraph" w:styleId="Ttulo1">
    <w:name w:val="heading 1"/>
    <w:basedOn w:val="Normal"/>
    <w:next w:val="Normal"/>
    <w:link w:val="Ttulo1Char"/>
    <w:uiPriority w:val="9"/>
    <w:qFormat/>
    <w:rsid w:val="0058504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504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4D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E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15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427"/>
  </w:style>
  <w:style w:type="paragraph" w:styleId="Rodap">
    <w:name w:val="footer"/>
    <w:basedOn w:val="Normal"/>
    <w:link w:val="RodapChar"/>
    <w:uiPriority w:val="99"/>
    <w:unhideWhenUsed/>
    <w:rsid w:val="00015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27"/>
  </w:style>
  <w:style w:type="paragraph" w:customStyle="1" w:styleId="Default">
    <w:name w:val="Default"/>
    <w:rsid w:val="00BB50A0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7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705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ixed-citation">
    <w:name w:val="mixed-citation"/>
    <w:basedOn w:val="Fontepargpadro"/>
    <w:rsid w:val="00B51D3A"/>
  </w:style>
  <w:style w:type="character" w:customStyle="1" w:styleId="ref-title">
    <w:name w:val="ref-title"/>
    <w:basedOn w:val="Fontepargpadro"/>
    <w:rsid w:val="00B51D3A"/>
  </w:style>
  <w:style w:type="character" w:customStyle="1" w:styleId="ref-journal">
    <w:name w:val="ref-journal"/>
    <w:basedOn w:val="Fontepargpadro"/>
    <w:rsid w:val="00B51D3A"/>
  </w:style>
  <w:style w:type="character" w:customStyle="1" w:styleId="ref-vol">
    <w:name w:val="ref-vol"/>
    <w:basedOn w:val="Fontepargpadro"/>
    <w:rsid w:val="00B51D3A"/>
  </w:style>
  <w:style w:type="table" w:styleId="Tabelacomgrade">
    <w:name w:val="Table Grid"/>
    <w:basedOn w:val="Tabelanormal"/>
    <w:uiPriority w:val="39"/>
    <w:rsid w:val="0037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392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58504B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504B"/>
    <w:p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504B"/>
    <w:rPr>
      <w:rFonts w:ascii="Arial" w:eastAsiaTheme="majorEastAsia" w:hAnsi="Arial" w:cstheme="majorBidi"/>
      <w:b/>
      <w:bCs/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8B177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B177C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B177C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7B4A1C"/>
    <w:pPr>
      <w:tabs>
        <w:tab w:val="decimal" w:pos="360"/>
      </w:tabs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B4A1C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4A1C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B4A1C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7B4A1C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adeLista31">
    <w:name w:val="Tabela de Lista 31"/>
    <w:basedOn w:val="Tabelanormal"/>
    <w:uiPriority w:val="48"/>
    <w:rsid w:val="007B4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Calendrio1">
    <w:name w:val="Calendário 1"/>
    <w:basedOn w:val="Tabelanormal"/>
    <w:uiPriority w:val="99"/>
    <w:qFormat/>
    <w:rsid w:val="007B4A1C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istaMdia1-nfase11">
    <w:name w:val="Lista Média 1 - Ênfase 11"/>
    <w:basedOn w:val="Tabelanormal"/>
    <w:uiPriority w:val="65"/>
    <w:rsid w:val="007401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TabeladeLista21">
    <w:name w:val="Tabela de Lista 21"/>
    <w:basedOn w:val="Tabelanormal"/>
    <w:uiPriority w:val="47"/>
    <w:rsid w:val="007401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7401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21">
    <w:name w:val="Tabela de Grade 21"/>
    <w:basedOn w:val="Tabelanormal"/>
    <w:uiPriority w:val="47"/>
    <w:rsid w:val="007401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ef-iss">
    <w:name w:val="ref-iss"/>
    <w:basedOn w:val="Fontepargpadro"/>
    <w:rsid w:val="009B4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A911-AC09-4C1C-A2E1-53A8DB67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3612</Words>
  <Characters>19509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2020-01-09T20:15:00Z</dcterms:created>
  <dcterms:modified xsi:type="dcterms:W3CDTF">2020-01-09T20:21:00Z</dcterms:modified>
</cp:coreProperties>
</file>