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6E0D" w:rsidRPr="00016B36" w:rsidRDefault="00A16E0D" w:rsidP="00A16E0D">
      <w:pPr>
        <w:spacing w:after="0" w:line="360" w:lineRule="auto"/>
        <w:contextualSpacing/>
        <w:jc w:val="both"/>
        <w:rPr>
          <w:rFonts w:ascii="Arial" w:hAnsi="Arial" w:cs="Arial"/>
          <w:b/>
          <w:sz w:val="24"/>
          <w:szCs w:val="24"/>
        </w:rPr>
      </w:pPr>
    </w:p>
    <w:p w:rsidR="00A16E0D" w:rsidRPr="00016B36" w:rsidRDefault="00A16E0D" w:rsidP="00A16E0D">
      <w:pPr>
        <w:spacing w:after="0" w:line="360" w:lineRule="auto"/>
        <w:contextualSpacing/>
        <w:jc w:val="center"/>
        <w:rPr>
          <w:rFonts w:ascii="Arial" w:hAnsi="Arial" w:cs="Arial"/>
          <w:sz w:val="24"/>
          <w:szCs w:val="24"/>
        </w:rPr>
      </w:pPr>
      <w:r w:rsidRPr="00016B36">
        <w:rPr>
          <w:rFonts w:ascii="Arial" w:hAnsi="Arial" w:cs="Arial"/>
          <w:b/>
          <w:sz w:val="24"/>
          <w:szCs w:val="24"/>
        </w:rPr>
        <w:t xml:space="preserve">A VIOLÊNCIA DOMÉSTICA CONTRA MULHER QUANDO O “AGRESSOR” É ADOLESCENTE: </w:t>
      </w:r>
      <w:r w:rsidRPr="00016B36">
        <w:rPr>
          <w:rFonts w:ascii="Arial" w:hAnsi="Arial" w:cs="Arial"/>
          <w:sz w:val="24"/>
          <w:szCs w:val="24"/>
        </w:rPr>
        <w:t>ESTUDO DE DUAS DECISÕES JUDICIAIS DA VARA DA INFÂNCIA E JUVENTUDE DE CAMPINA GRANDE – PB</w:t>
      </w:r>
    </w:p>
    <w:bookmarkStart w:id="0" w:name="_GoBack"/>
    <w:bookmarkEnd w:id="0"/>
    <w:p w:rsidR="00DE6734" w:rsidRPr="00644AA8" w:rsidRDefault="00016B36" w:rsidP="00644AA8">
      <w:pPr>
        <w:spacing w:after="0" w:line="360" w:lineRule="auto"/>
        <w:contextualSpacing/>
        <w:jc w:val="both"/>
        <w:rPr>
          <w:rFonts w:ascii="Arial" w:hAnsi="Arial" w:cs="Arial"/>
          <w:szCs w:val="24"/>
          <w:lang w:eastAsia="pt-BR"/>
        </w:rPr>
      </w:pPr>
      <w:r>
        <w:rPr>
          <w:rFonts w:ascii="Arial" w:hAnsi="Arial" w:cs="Arial"/>
          <w:noProof/>
          <w:sz w:val="24"/>
          <w:lang w:eastAsia="pt-BR"/>
        </w:rPr>
        <mc:AlternateContent>
          <mc:Choice Requires="wps">
            <w:drawing>
              <wp:anchor distT="0" distB="0" distL="114300" distR="114300" simplePos="0" relativeHeight="251656192" behindDoc="0" locked="0" layoutInCell="1" allowOverlap="1">
                <wp:simplePos x="0" y="0"/>
                <wp:positionH relativeFrom="column">
                  <wp:posOffset>4986020</wp:posOffset>
                </wp:positionH>
                <wp:positionV relativeFrom="paragraph">
                  <wp:posOffset>-584200</wp:posOffset>
                </wp:positionV>
                <wp:extent cx="695325" cy="542925"/>
                <wp:effectExtent l="8255" t="1270" r="1270" b="825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542925"/>
                        </a:xfrm>
                        <a:prstGeom prst="roundRect">
                          <a:avLst>
                            <a:gd name="adj" fmla="val 16667"/>
                          </a:avLst>
                        </a:prstGeom>
                        <a:solidFill>
                          <a:schemeClr val="bg1">
                            <a:lumMod val="100000"/>
                            <a:lumOff val="0"/>
                          </a:schemeClr>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98A50E6" id="AutoShape 2" o:spid="_x0000_s1026" style="position:absolute;margin-left:392.6pt;margin-top:-46pt;width:54.75pt;height:4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" fillcolor="white [3212]" stroked="f" strokeweight="2pt"/>
            </w:pict>
          </mc:Fallback>
        </mc:AlternateContent>
      </w:r>
    </w:p>
    <w:p w:rsidR="00A16E0D" w:rsidRDefault="00E24F68">
      <w:pPr>
        <w:rPr>
          <w:rFonts w:ascii="Arial" w:hAnsi="Arial" w:cs="Arial"/>
          <w:lang w:eastAsia="pt-BR"/>
        </w:rPr>
      </w:pPr>
      <w:r>
        <w:rPr>
          <w:rFonts w:ascii="Arial" w:hAnsi="Arial" w:cs="Arial"/>
          <w:lang w:eastAsia="pt-BR"/>
        </w:rPr>
        <w:t xml:space="preserve">                                                                                                                          </w:t>
      </w:r>
    </w:p>
    <w:p w:rsidR="00DE6734" w:rsidRPr="00A16E0D" w:rsidRDefault="00A16E0D">
      <w:pPr>
        <w:rPr>
          <w:rFonts w:ascii="Arial" w:hAnsi="Arial" w:cs="Arial"/>
          <w:sz w:val="24"/>
          <w:szCs w:val="24"/>
          <w:lang w:eastAsia="pt-BR"/>
        </w:rPr>
      </w:pPr>
      <w:r>
        <w:rPr>
          <w:rFonts w:ascii="Arial" w:hAnsi="Arial" w:cs="Arial"/>
          <w:lang w:eastAsia="pt-BR"/>
        </w:rPr>
        <w:t xml:space="preserve">                                                                                                                           </w:t>
      </w:r>
      <w:r w:rsidR="00E24F68" w:rsidRPr="00A16E0D">
        <w:rPr>
          <w:rFonts w:ascii="Arial" w:hAnsi="Arial" w:cs="Arial"/>
          <w:sz w:val="24"/>
          <w:szCs w:val="24"/>
          <w:lang w:eastAsia="pt-BR"/>
        </w:rPr>
        <w:t>Autora*</w:t>
      </w:r>
    </w:p>
    <w:p w:rsidR="00644AA8" w:rsidRDefault="00644AA8">
      <w:pPr>
        <w:pStyle w:val="Ttulo1"/>
        <w:spacing w:after="0" w:line="240" w:lineRule="auto"/>
        <w:contextualSpacing/>
        <w:rPr>
          <w:rFonts w:ascii="Arial" w:hAnsi="Arial" w:cs="Arial"/>
          <w:color w:val="auto"/>
          <w:szCs w:val="24"/>
        </w:rPr>
      </w:pPr>
    </w:p>
    <w:p w:rsidR="00DE6734" w:rsidRPr="00016B36" w:rsidRDefault="000B17DA">
      <w:pPr>
        <w:pStyle w:val="Ttulo1"/>
        <w:spacing w:after="0" w:line="240" w:lineRule="auto"/>
        <w:contextualSpacing/>
        <w:rPr>
          <w:rFonts w:ascii="Arial" w:hAnsi="Arial" w:cs="Arial"/>
          <w:color w:val="auto"/>
          <w:szCs w:val="24"/>
        </w:rPr>
      </w:pPr>
      <w:r w:rsidRPr="00016B36">
        <w:rPr>
          <w:rFonts w:ascii="Arial" w:hAnsi="Arial" w:cs="Arial"/>
          <w:color w:val="auto"/>
          <w:szCs w:val="24"/>
        </w:rPr>
        <w:t>RESUMO</w:t>
      </w:r>
    </w:p>
    <w:p w:rsidR="00DE6734" w:rsidRPr="00016B36" w:rsidRDefault="000B17DA">
      <w:pPr>
        <w:spacing w:after="0" w:line="240" w:lineRule="auto"/>
        <w:contextualSpacing/>
        <w:jc w:val="both"/>
        <w:rPr>
          <w:rFonts w:ascii="Arial" w:hAnsi="Arial" w:cs="Arial"/>
          <w:sz w:val="24"/>
          <w:szCs w:val="24"/>
        </w:rPr>
      </w:pPr>
      <w:r w:rsidRPr="00016B36">
        <w:rPr>
          <w:rFonts w:ascii="Arial" w:hAnsi="Arial" w:cs="Arial"/>
          <w:b/>
          <w:sz w:val="24"/>
          <w:szCs w:val="24"/>
        </w:rPr>
        <w:t xml:space="preserve"> </w:t>
      </w:r>
    </w:p>
    <w:p w:rsidR="00DE6734" w:rsidRPr="00016B36" w:rsidRDefault="000B17DA">
      <w:pPr>
        <w:spacing w:after="0" w:line="240" w:lineRule="auto"/>
        <w:contextualSpacing/>
        <w:jc w:val="both"/>
        <w:rPr>
          <w:rFonts w:ascii="Arial" w:hAnsi="Arial" w:cs="Arial"/>
          <w:sz w:val="24"/>
          <w:szCs w:val="24"/>
        </w:rPr>
      </w:pPr>
      <w:r w:rsidRPr="00016B36">
        <w:rPr>
          <w:rFonts w:ascii="Arial" w:hAnsi="Arial" w:cs="Arial"/>
          <w:sz w:val="24"/>
          <w:szCs w:val="24"/>
        </w:rPr>
        <w:t>A Lei Maria da Penha é a principal legislação que assegura a responsabilização dos agentes que cometem a violência doméstica e familiar contra a mulher.  A Lei 11.340/2006 consegue determinar a vítima da violência</w:t>
      </w:r>
      <w:r w:rsidR="0003439E" w:rsidRPr="00016B36">
        <w:rPr>
          <w:rFonts w:ascii="Arial" w:hAnsi="Arial" w:cs="Arial"/>
          <w:sz w:val="24"/>
          <w:szCs w:val="24"/>
        </w:rPr>
        <w:t xml:space="preserve"> pela condição de gênero</w:t>
      </w:r>
      <w:r w:rsidRPr="00016B36">
        <w:rPr>
          <w:rFonts w:ascii="Arial" w:hAnsi="Arial" w:cs="Arial"/>
          <w:sz w:val="24"/>
          <w:szCs w:val="24"/>
        </w:rPr>
        <w:t>,</w:t>
      </w:r>
      <w:r w:rsidR="0003439E" w:rsidRPr="00016B36">
        <w:rPr>
          <w:rFonts w:ascii="Arial" w:hAnsi="Arial" w:cs="Arial"/>
          <w:sz w:val="24"/>
          <w:szCs w:val="24"/>
        </w:rPr>
        <w:t xml:space="preserve"> porém</w:t>
      </w:r>
      <w:r w:rsidRPr="00016B36">
        <w:rPr>
          <w:rFonts w:ascii="Arial" w:hAnsi="Arial" w:cs="Arial"/>
          <w:sz w:val="24"/>
          <w:szCs w:val="24"/>
        </w:rPr>
        <w:t xml:space="preserve"> a mesma não consegue determinar o agressor na mesma preci</w:t>
      </w:r>
      <w:r w:rsidR="0003439E" w:rsidRPr="00016B36">
        <w:rPr>
          <w:rFonts w:ascii="Arial" w:hAnsi="Arial" w:cs="Arial"/>
          <w:sz w:val="24"/>
          <w:szCs w:val="24"/>
        </w:rPr>
        <w:t xml:space="preserve">são que considera a mulher como vítima. A </w:t>
      </w:r>
      <w:r w:rsidRPr="00016B36">
        <w:rPr>
          <w:rFonts w:ascii="Arial" w:hAnsi="Arial" w:cs="Arial"/>
          <w:sz w:val="24"/>
          <w:szCs w:val="24"/>
        </w:rPr>
        <w:t>determinação do agressor reside na relação doméstica e familiar entr</w:t>
      </w:r>
      <w:r w:rsidR="0003439E" w:rsidRPr="00016B36">
        <w:rPr>
          <w:rFonts w:ascii="Arial" w:hAnsi="Arial" w:cs="Arial"/>
          <w:sz w:val="24"/>
          <w:szCs w:val="24"/>
        </w:rPr>
        <w:t>e a vítima</w:t>
      </w:r>
      <w:r w:rsidRPr="00016B36">
        <w:rPr>
          <w:rFonts w:ascii="Arial" w:hAnsi="Arial" w:cs="Arial"/>
          <w:sz w:val="24"/>
          <w:szCs w:val="24"/>
        </w:rPr>
        <w:t>, de modo que possibilita ser qualquer sujeito que estabele</w:t>
      </w:r>
      <w:r w:rsidR="0003439E" w:rsidRPr="00016B36">
        <w:rPr>
          <w:rFonts w:ascii="Arial" w:hAnsi="Arial" w:cs="Arial"/>
          <w:sz w:val="24"/>
          <w:szCs w:val="24"/>
        </w:rPr>
        <w:t>ça o vínculo de violência</w:t>
      </w:r>
      <w:r w:rsidRPr="00016B36">
        <w:rPr>
          <w:rFonts w:ascii="Arial" w:hAnsi="Arial" w:cs="Arial"/>
          <w:sz w:val="24"/>
          <w:szCs w:val="24"/>
        </w:rPr>
        <w:t xml:space="preserve">. Dessa forma, este estudo se propôs estudar como as decisões da Vara da Infância e Juventude de Campina Grande tratam a violência no ambiente doméstico e familiar, quando cometida por adolescentes. Com isso, o objetivo geral desta pesquisa é investigar a aplicabilidade da Lei 11.340/06 nos casos em que a violência doméstica/familiar seja cometida por jovens infratores. Como objetivo específico, o trabalho propôs realizar uma breve comparação das legislações 11.340/06 e a 8.069/90 (ECA), verificar o conflito das legislações nas decisões pesquisadas. E por fim, averiguar aplicação da Lei 11.340/06 nas decisões proferidas na Vara da Infância e Juventude de Campina Grande. Para tanto, foi realizada uma pesquisa exploratória sobre duas decisões proferidas na Vara da Infância e Juventude de Campina Grande – PB, bem como bibliográfica a cerca da literatura especializada sobre o tema, e da análise das legislações: Lei Maria da Penha e o Estatuto da Criança e do Adolescente – ECA. O resultado alcançado permitiu perceber que aplicação da Lei Maria da Penha não incidiu sobre o adolescente infrator, porém ao mesmo tempo o juízo não considerou nos dois casos como violência doméstica e familiar os atos infracionais. </w:t>
      </w:r>
    </w:p>
    <w:p w:rsidR="00DE6734" w:rsidRPr="00016B36" w:rsidRDefault="00DE6734">
      <w:pPr>
        <w:spacing w:after="0" w:line="240" w:lineRule="auto"/>
        <w:ind w:left="-5"/>
        <w:contextualSpacing/>
        <w:jc w:val="both"/>
        <w:rPr>
          <w:rFonts w:ascii="Arial" w:hAnsi="Arial" w:cs="Arial"/>
          <w:sz w:val="24"/>
          <w:szCs w:val="24"/>
        </w:rPr>
      </w:pPr>
    </w:p>
    <w:p w:rsidR="00DE6734" w:rsidRPr="00016B36" w:rsidRDefault="000B17DA">
      <w:pPr>
        <w:spacing w:after="0" w:line="240" w:lineRule="auto"/>
        <w:ind w:left="-5"/>
        <w:contextualSpacing/>
        <w:jc w:val="both"/>
        <w:rPr>
          <w:rFonts w:ascii="Arial" w:hAnsi="Arial" w:cs="Arial"/>
          <w:sz w:val="24"/>
          <w:szCs w:val="24"/>
          <w:lang w:val="en-US"/>
        </w:rPr>
      </w:pPr>
      <w:r w:rsidRPr="00016B36">
        <w:rPr>
          <w:rFonts w:ascii="Arial" w:hAnsi="Arial" w:cs="Arial"/>
          <w:b/>
          <w:sz w:val="24"/>
          <w:szCs w:val="24"/>
        </w:rPr>
        <w:t xml:space="preserve">PALAVRAS-CHAVE: </w:t>
      </w:r>
      <w:r w:rsidRPr="00016B36">
        <w:rPr>
          <w:rFonts w:ascii="Arial" w:hAnsi="Arial" w:cs="Arial"/>
          <w:sz w:val="24"/>
          <w:szCs w:val="24"/>
        </w:rPr>
        <w:t xml:space="preserve">Lei Maria da Penha. Estatuto da Criança e do Adolescente. </w:t>
      </w:r>
      <w:r w:rsidRPr="00016B36">
        <w:rPr>
          <w:rFonts w:ascii="Arial" w:hAnsi="Arial" w:cs="Arial"/>
          <w:sz w:val="24"/>
          <w:szCs w:val="24"/>
          <w:lang w:val="en-US"/>
        </w:rPr>
        <w:t>Ato infracional. Decisão Judicial</w:t>
      </w:r>
    </w:p>
    <w:p w:rsidR="00DE6734" w:rsidRPr="00016B36" w:rsidRDefault="00DE6734">
      <w:pPr>
        <w:spacing w:after="0" w:line="360" w:lineRule="auto"/>
        <w:rPr>
          <w:rFonts w:ascii="Arial" w:hAnsi="Arial" w:cs="Arial"/>
          <w:b/>
          <w:sz w:val="24"/>
          <w:szCs w:val="24"/>
          <w:lang w:val="en-US"/>
        </w:rPr>
      </w:pPr>
    </w:p>
    <w:p w:rsidR="00DE6734" w:rsidRPr="00016B36" w:rsidRDefault="000B17DA">
      <w:pPr>
        <w:spacing w:after="0" w:line="240" w:lineRule="auto"/>
        <w:jc w:val="center"/>
        <w:rPr>
          <w:rFonts w:ascii="Arial" w:hAnsi="Arial" w:cs="Arial"/>
          <w:sz w:val="24"/>
          <w:szCs w:val="24"/>
          <w:lang w:val="en-US"/>
        </w:rPr>
      </w:pPr>
      <w:r w:rsidRPr="00016B36">
        <w:rPr>
          <w:rFonts w:ascii="Arial" w:hAnsi="Arial" w:cs="Arial"/>
          <w:sz w:val="24"/>
          <w:szCs w:val="24"/>
          <w:lang w:val="en-US"/>
        </w:rPr>
        <w:t>DOMESTIC VIOLENCE AGAINST WOMEN WHEN THE “AGGRESSOR” IS TEEN: STUDY OF TWO JUDICIAL DECISIONS OF CHILDHOOD AND YOUTH OF CAMPINA GRANDE - PB</w:t>
      </w:r>
    </w:p>
    <w:p w:rsidR="00DE6734" w:rsidRPr="00016B36" w:rsidRDefault="00DE6734">
      <w:pPr>
        <w:spacing w:after="0" w:line="360" w:lineRule="auto"/>
        <w:rPr>
          <w:rFonts w:ascii="Arial" w:hAnsi="Arial" w:cs="Arial"/>
          <w:b/>
          <w:sz w:val="24"/>
          <w:szCs w:val="24"/>
          <w:lang w:val="en-US"/>
        </w:rPr>
      </w:pPr>
    </w:p>
    <w:p w:rsidR="00DE6734" w:rsidRPr="00016B36" w:rsidRDefault="000B17DA">
      <w:pPr>
        <w:spacing w:after="0" w:line="360" w:lineRule="auto"/>
        <w:contextualSpacing/>
        <w:jc w:val="center"/>
        <w:rPr>
          <w:rFonts w:ascii="Arial" w:hAnsi="Arial" w:cs="Arial"/>
          <w:b/>
          <w:sz w:val="24"/>
          <w:szCs w:val="24"/>
          <w:lang w:val="en-US"/>
        </w:rPr>
      </w:pPr>
      <w:r w:rsidRPr="00016B36">
        <w:rPr>
          <w:rFonts w:ascii="Arial" w:hAnsi="Arial" w:cs="Arial"/>
          <w:b/>
          <w:sz w:val="24"/>
          <w:szCs w:val="24"/>
          <w:lang w:val="en-US"/>
        </w:rPr>
        <w:t>ABSTRACT</w:t>
      </w:r>
    </w:p>
    <w:p w:rsidR="00DE6734" w:rsidRPr="00016B36" w:rsidRDefault="000B17DA">
      <w:pPr>
        <w:spacing w:after="0" w:line="360" w:lineRule="auto"/>
        <w:contextualSpacing/>
        <w:rPr>
          <w:rFonts w:ascii="Arial" w:hAnsi="Arial" w:cs="Arial"/>
          <w:sz w:val="24"/>
          <w:szCs w:val="24"/>
          <w:lang w:val="en-US"/>
        </w:rPr>
      </w:pPr>
      <w:r w:rsidRPr="00016B36">
        <w:rPr>
          <w:rFonts w:ascii="Arial" w:hAnsi="Arial" w:cs="Arial"/>
          <w:sz w:val="24"/>
          <w:szCs w:val="24"/>
          <w:lang w:val="en-US"/>
        </w:rPr>
        <w:t> </w:t>
      </w:r>
    </w:p>
    <w:p w:rsidR="00DE6734" w:rsidRPr="00016B36" w:rsidRDefault="000B17DA">
      <w:pPr>
        <w:spacing w:after="0" w:line="240" w:lineRule="auto"/>
        <w:contextualSpacing/>
        <w:jc w:val="both"/>
        <w:rPr>
          <w:rFonts w:ascii="Arial" w:hAnsi="Arial" w:cs="Arial"/>
          <w:sz w:val="24"/>
          <w:szCs w:val="24"/>
          <w:lang w:val="en-US"/>
        </w:rPr>
      </w:pPr>
      <w:r w:rsidRPr="00016B36">
        <w:rPr>
          <w:rFonts w:ascii="Arial" w:hAnsi="Arial" w:cs="Arial"/>
          <w:sz w:val="24"/>
          <w:szCs w:val="24"/>
          <w:lang w:val="en-US"/>
        </w:rPr>
        <w:lastRenderedPageBreak/>
        <w:t xml:space="preserve">The Maria da Penha Law is the main legislation that ensures the accountability of agents who commit domestic and family violence against women. </w:t>
      </w:r>
      <w:r w:rsidR="0003439E" w:rsidRPr="00016B36">
        <w:rPr>
          <w:rFonts w:ascii="Arial" w:hAnsi="Arial" w:cs="Arial"/>
          <w:sz w:val="24"/>
          <w:szCs w:val="24"/>
          <w:lang w:val="en-US"/>
        </w:rPr>
        <w:t xml:space="preserve">Law 11,340 / 2006 can determine the victim of gender-based violence, but it cannot determine the perpetrator as accurately as the woman as a victim. The aggressor's determination lies in the domestic and family relationship between the victim, so that it is possible to be any subject that establishes the bond of violence. </w:t>
      </w:r>
      <w:r w:rsidRPr="00016B36">
        <w:rPr>
          <w:rFonts w:ascii="Arial" w:hAnsi="Arial" w:cs="Arial"/>
          <w:sz w:val="24"/>
          <w:szCs w:val="24"/>
          <w:lang w:val="en-US"/>
        </w:rPr>
        <w:t>Thus, this study aimed to study how decisions of the Campina Grande Childhood and Youth Court treat violence in the home and family environment, when committed by adolescents. Thus, the general objective of this research is to investigate the applicability of Law 11.340/06 in cases where domestic/family violence is committed by young offenders. As a specific objective, the work proposed to make a brief comparison of laws 11.340/06 and 8.069/90 (ECA), to verify the conflict of laws in the researched decisions. And finally, to verify the application of Law 11.340/06 in the decisions handed down in the Campina Grande Childhood and Youth Court. To this end, an exploratory research was carried out on two decisions made in the Childhood and Youth Court of Campina Grande - PB, as well as bibliographic about the specialized literature on the subject, and the analysis of the laws: Maria da Penha Law and the Statute of the. Child and Adolescent - ECA. The result allowed us to realize that application of the Maria da Penha Law did not affect the adolescent offender, but at the same time the court did not consider as domestic and family violence offenses.</w:t>
      </w:r>
    </w:p>
    <w:p w:rsidR="00DE6734" w:rsidRPr="00016B36" w:rsidRDefault="00DE6734">
      <w:pPr>
        <w:spacing w:after="0" w:line="360" w:lineRule="auto"/>
        <w:contextualSpacing/>
        <w:rPr>
          <w:rFonts w:ascii="Arial" w:hAnsi="Arial" w:cs="Arial"/>
          <w:sz w:val="24"/>
          <w:szCs w:val="24"/>
          <w:lang w:val="en-US"/>
        </w:rPr>
      </w:pPr>
    </w:p>
    <w:p w:rsidR="00DE6734" w:rsidRPr="00016B36" w:rsidRDefault="000B17DA">
      <w:pPr>
        <w:spacing w:after="0" w:line="240" w:lineRule="auto"/>
        <w:contextualSpacing/>
        <w:rPr>
          <w:rFonts w:ascii="Arial" w:hAnsi="Arial" w:cs="Arial"/>
          <w:sz w:val="24"/>
          <w:szCs w:val="24"/>
        </w:rPr>
      </w:pPr>
      <w:r w:rsidRPr="00016B36">
        <w:rPr>
          <w:rFonts w:ascii="Arial" w:hAnsi="Arial" w:cs="Arial"/>
          <w:b/>
          <w:sz w:val="24"/>
          <w:szCs w:val="24"/>
        </w:rPr>
        <w:t>KEYWORDS:</w:t>
      </w:r>
      <w:r w:rsidRPr="00016B36">
        <w:rPr>
          <w:rFonts w:ascii="Arial" w:hAnsi="Arial" w:cs="Arial"/>
          <w:sz w:val="24"/>
          <w:szCs w:val="24"/>
        </w:rPr>
        <w:t xml:space="preserve"> Maria da Penha Law. </w:t>
      </w:r>
      <w:r w:rsidRPr="00016B36">
        <w:rPr>
          <w:rFonts w:ascii="Arial" w:hAnsi="Arial" w:cs="Arial"/>
          <w:sz w:val="24"/>
          <w:szCs w:val="24"/>
          <w:lang w:val="en-US"/>
        </w:rPr>
        <w:t xml:space="preserve">Child and Adolescent Statute. Infringement Act. </w:t>
      </w:r>
      <w:r w:rsidRPr="00016B36">
        <w:rPr>
          <w:rFonts w:ascii="Arial" w:hAnsi="Arial" w:cs="Arial"/>
          <w:sz w:val="24"/>
          <w:szCs w:val="24"/>
        </w:rPr>
        <w:t>Judicial Decision.</w:t>
      </w:r>
    </w:p>
    <w:p w:rsidR="00DE6734" w:rsidRPr="00016B36" w:rsidRDefault="00DE6734">
      <w:pPr>
        <w:spacing w:after="0" w:line="360" w:lineRule="auto"/>
        <w:rPr>
          <w:rFonts w:ascii="Arial" w:hAnsi="Arial" w:cs="Arial"/>
          <w:b/>
          <w:sz w:val="24"/>
          <w:szCs w:val="24"/>
        </w:rPr>
      </w:pPr>
    </w:p>
    <w:p w:rsidR="00DE6734" w:rsidRPr="00016B36" w:rsidRDefault="000B17DA">
      <w:pPr>
        <w:spacing w:after="0" w:line="360" w:lineRule="auto"/>
        <w:rPr>
          <w:rFonts w:ascii="Arial" w:hAnsi="Arial" w:cs="Arial"/>
          <w:b/>
          <w:sz w:val="24"/>
          <w:szCs w:val="24"/>
        </w:rPr>
      </w:pPr>
      <w:r w:rsidRPr="00016B36">
        <w:rPr>
          <w:rFonts w:ascii="Arial" w:hAnsi="Arial" w:cs="Arial"/>
          <w:b/>
          <w:sz w:val="24"/>
          <w:szCs w:val="24"/>
        </w:rPr>
        <w:t>1 INTRODUÇÃO</w:t>
      </w:r>
    </w:p>
    <w:p w:rsidR="00DE6734" w:rsidRPr="00016B36" w:rsidRDefault="00DE6734">
      <w:pPr>
        <w:spacing w:after="0" w:line="360" w:lineRule="auto"/>
        <w:contextualSpacing/>
        <w:jc w:val="both"/>
        <w:rPr>
          <w:rFonts w:ascii="Arial" w:hAnsi="Arial" w:cs="Arial"/>
          <w:b/>
          <w:sz w:val="24"/>
          <w:szCs w:val="24"/>
        </w:rPr>
      </w:pPr>
    </w:p>
    <w:p w:rsidR="00DE6734" w:rsidRPr="00016B36" w:rsidRDefault="000B17DA">
      <w:pPr>
        <w:spacing w:after="0" w:line="360" w:lineRule="auto"/>
        <w:ind w:firstLine="709"/>
        <w:contextualSpacing/>
        <w:jc w:val="both"/>
        <w:rPr>
          <w:rFonts w:ascii="Arial" w:hAnsi="Arial" w:cs="Arial"/>
          <w:sz w:val="24"/>
          <w:szCs w:val="24"/>
        </w:rPr>
      </w:pPr>
      <w:r w:rsidRPr="00016B36">
        <w:rPr>
          <w:rFonts w:ascii="Arial" w:hAnsi="Arial" w:cs="Arial"/>
          <w:sz w:val="24"/>
          <w:szCs w:val="24"/>
        </w:rPr>
        <w:t xml:space="preserve">No Brasil, segundo o estudo realizado pelo Senado Federal (2018), os indicadores da violência contra mulher revelam que no ano de 2015 em cada 100 mil mulheres, 4.4 foram mortas ou sofreram violência que acarretaram em morte. No ano de 2014, a taxa de homicídio em cada 100 mil mulheres, registrou 4.2, apesar da diferença mínima o homicídio de mulheres se mantém elevado. Utilizando o recorte territorial geográfico, o panorama aponta também para alta taxa de homicídio contra a mulher nos estados, na Paraíba o número de 5.2 é também elevado se comparado a taxa nacional.  </w:t>
      </w:r>
    </w:p>
    <w:p w:rsidR="00DE6734" w:rsidRPr="00016B36" w:rsidRDefault="000B17DA">
      <w:pPr>
        <w:spacing w:after="0" w:line="360" w:lineRule="auto"/>
        <w:ind w:firstLine="709"/>
        <w:contextualSpacing/>
        <w:jc w:val="both"/>
        <w:rPr>
          <w:rFonts w:ascii="Arial" w:hAnsi="Arial" w:cs="Arial"/>
          <w:sz w:val="24"/>
          <w:szCs w:val="24"/>
        </w:rPr>
      </w:pPr>
      <w:r w:rsidRPr="00016B36">
        <w:rPr>
          <w:rFonts w:ascii="Arial" w:hAnsi="Arial" w:cs="Arial"/>
          <w:sz w:val="24"/>
          <w:szCs w:val="24"/>
        </w:rPr>
        <w:t xml:space="preserve">O mesmo relatório ainda exibe um dado a respeito da atuação do Poder Judiciário no combate à violência doméstica contra mulher. Em 2016, no Brasil, os novos inquéritos sobre a violência contra a mulher correspondem totalizando 290.423 de inquéritos abertos, dentre os quais, por diversos fatores, apenas 13.466 da fase inicial do processo penal chegam à execução. Na Paraíba não é diferente: foram instaurados 2.982 inquéritos, mas apenas 138 chegam à fase </w:t>
      </w:r>
      <w:r w:rsidRPr="00016B36">
        <w:rPr>
          <w:rFonts w:ascii="Arial" w:hAnsi="Arial" w:cs="Arial"/>
          <w:sz w:val="24"/>
          <w:szCs w:val="24"/>
        </w:rPr>
        <w:lastRenderedPageBreak/>
        <w:t xml:space="preserve">final. Esses números só demonstram a dificuldade do Estado na aplicação da Lei Maria da Penha, seja do direito material na tipificação da violência e outros fatores, seja na dificuldade de estabelecer efetivamente o processo (SENADO, 2018). </w:t>
      </w:r>
    </w:p>
    <w:p w:rsidR="00DE6734" w:rsidRPr="00016B36" w:rsidRDefault="000B17DA">
      <w:pPr>
        <w:spacing w:after="0" w:line="360" w:lineRule="auto"/>
        <w:ind w:firstLine="709"/>
        <w:contextualSpacing/>
        <w:jc w:val="both"/>
        <w:rPr>
          <w:rFonts w:ascii="Arial" w:hAnsi="Arial" w:cs="Arial"/>
          <w:sz w:val="24"/>
          <w:szCs w:val="24"/>
        </w:rPr>
      </w:pPr>
      <w:r w:rsidRPr="00016B36">
        <w:rPr>
          <w:rFonts w:ascii="Arial" w:hAnsi="Arial" w:cs="Arial"/>
          <w:sz w:val="24"/>
          <w:szCs w:val="24"/>
        </w:rPr>
        <w:t xml:space="preserve">A conjunção de especificidades e diversas abordagens compõe a violência doméstica e familiar contra a mulher e a Lei 11.340/2006 temas bastante atuais, seja nos estudos dentro do leque das ciências humanas e sociais, seja na seara das ciências sociais aplicadas. No direito, a violência doméstica só passou a ser percebida a partir dos anos 1990 com a criação dos Juizados Especiais Criminais, o que possibilitou o uma ampliação no acesso da população à justiça. Entretanto, conduziu as lesões e as ameaças contra a mulher, enquadradas como menor potencial ofensivo, o que trouxe para essas tipificações no âmbito doméstico um processo de subalternização sobre a vítima e o crime. </w:t>
      </w:r>
    </w:p>
    <w:p w:rsidR="00DE6734" w:rsidRPr="00016B36" w:rsidRDefault="000B17DA">
      <w:pPr>
        <w:spacing w:after="0" w:line="360" w:lineRule="auto"/>
        <w:ind w:firstLine="709"/>
        <w:contextualSpacing/>
        <w:jc w:val="both"/>
        <w:rPr>
          <w:rFonts w:ascii="Arial" w:hAnsi="Arial" w:cs="Arial"/>
          <w:sz w:val="24"/>
          <w:szCs w:val="24"/>
        </w:rPr>
      </w:pPr>
      <w:r w:rsidRPr="00016B36">
        <w:rPr>
          <w:rFonts w:ascii="Arial" w:hAnsi="Arial" w:cs="Arial"/>
          <w:sz w:val="24"/>
          <w:szCs w:val="24"/>
        </w:rPr>
        <w:t>Aliado aos fatores que compõe a violência doméstica e familiar contra a mulher e a Lei Maria da Penha, questões são pertinentes para serem pensadas fora do senso comum. Para esse tipo de pensamento, a legislação 11.340/2006 deixa como indeterminada a figura do agressor, no que se refere ao gênero, idade, parentesco familiar. Para o conhecimento social sobre a Lei Maria da Penha a única possibilidade de caracterizar a violência doméstica e familiar contra a mulher, seria aquela em que só homem ocuparia o lugar de agressor. E é dessa forma que chegamos à questão central da pesquisa: como as decisões da Vara da Infância e Juventude de Campina Grande tratam a violência no ambiente doméstico e familiar, quando cometida por adolescentes?</w:t>
      </w:r>
    </w:p>
    <w:p w:rsidR="00DE6734" w:rsidRPr="00016B36" w:rsidRDefault="000B17DA">
      <w:pPr>
        <w:spacing w:after="0" w:line="360" w:lineRule="auto"/>
        <w:ind w:firstLine="709"/>
        <w:contextualSpacing/>
        <w:jc w:val="both"/>
        <w:rPr>
          <w:rFonts w:ascii="Arial" w:hAnsi="Arial" w:cs="Arial"/>
          <w:sz w:val="24"/>
          <w:szCs w:val="24"/>
        </w:rPr>
      </w:pPr>
      <w:r w:rsidRPr="00016B36">
        <w:rPr>
          <w:rFonts w:ascii="Arial" w:hAnsi="Arial" w:cs="Arial"/>
          <w:sz w:val="24"/>
          <w:szCs w:val="24"/>
        </w:rPr>
        <w:t>Dessa forma, objetiva-se investigar aplicabilidade da Lei 11.340/06 nos casos em que a violência doméstica/familiar seja cometida por jovens infratores. De modo específico realizar uma breve comparação das legislações 11.340/06 e a 8.069/90 (ECA), verificar o conflito das legislações nas decisões pesquisadas. E por fim, a averiguar aplicação da Lei 11.340/06 nas decisões proferidas na Vara da Infância e Juventude de Campina Grande.</w:t>
      </w:r>
    </w:p>
    <w:p w:rsidR="00DE6734" w:rsidRPr="00016B36" w:rsidRDefault="000B17DA">
      <w:pPr>
        <w:spacing w:after="0" w:line="360" w:lineRule="auto"/>
        <w:ind w:firstLine="709"/>
        <w:contextualSpacing/>
        <w:jc w:val="both"/>
        <w:rPr>
          <w:rFonts w:ascii="Arial" w:hAnsi="Arial" w:cs="Arial"/>
          <w:sz w:val="24"/>
          <w:szCs w:val="24"/>
        </w:rPr>
      </w:pPr>
      <w:r w:rsidRPr="00016B36">
        <w:rPr>
          <w:rFonts w:ascii="Arial" w:hAnsi="Arial" w:cs="Arial"/>
          <w:sz w:val="24"/>
          <w:szCs w:val="24"/>
        </w:rPr>
        <w:t xml:space="preserve">A metodologia aplicada para este estudo compreendeu a uma pesquisa de caráter exploratório por compreender o campo de pesquisa, Vara da Infância e Juventude de Campina Grande – PB. Desse modo, foram coletadas duas sentenças que versão sobre atos infracionais cometidos por adolescentes. A </w:t>
      </w:r>
      <w:r w:rsidRPr="00016B36">
        <w:rPr>
          <w:rFonts w:ascii="Arial" w:hAnsi="Arial" w:cs="Arial"/>
          <w:sz w:val="24"/>
          <w:szCs w:val="24"/>
        </w:rPr>
        <w:lastRenderedPageBreak/>
        <w:t xml:space="preserve">partir disso foram feitas análises, quantitativas sobre o universo de sentenças proferidas naquela unidade, e qualitativa que compreendeu a interpretação das decisões à luz das legislações estudas: 11.340/2006 e 8.069/1990, corroborado pelo levantamento bibliográfico feito sobre o tema e objeto de pesquisa. </w:t>
      </w:r>
    </w:p>
    <w:p w:rsidR="00DE6734" w:rsidRPr="00016B36" w:rsidRDefault="000B17DA">
      <w:pPr>
        <w:spacing w:after="0" w:line="360" w:lineRule="auto"/>
        <w:ind w:firstLine="709"/>
        <w:contextualSpacing/>
        <w:jc w:val="both"/>
        <w:rPr>
          <w:rFonts w:ascii="Arial" w:hAnsi="Arial" w:cs="Arial"/>
          <w:sz w:val="24"/>
          <w:szCs w:val="24"/>
        </w:rPr>
      </w:pPr>
      <w:r w:rsidRPr="00016B36">
        <w:rPr>
          <w:rFonts w:ascii="Arial" w:hAnsi="Arial" w:cs="Arial"/>
          <w:sz w:val="24"/>
          <w:szCs w:val="24"/>
        </w:rPr>
        <w:t xml:space="preserve">A fundamentação teórica está dividida entre a explanação sobre violência doméstica e Lei Maria da Penha, na qual decorreremos sobre como a legislação configura a violência doméstica e familiar. Mais adiante redigimos breves palavras sobre as formas de violência doméstica e familiar, bem como a diferenciação entre os sujeitos inseridos na violência doméstica e familiar contra a mulher pela a Lei 11.340/2006 e reforçada pelo posicionamento teórico e doutrinário. </w:t>
      </w:r>
    </w:p>
    <w:p w:rsidR="00DE6734" w:rsidRPr="00016B36" w:rsidRDefault="000B17DA">
      <w:pPr>
        <w:spacing w:after="0" w:line="360" w:lineRule="auto"/>
        <w:ind w:firstLine="709"/>
        <w:contextualSpacing/>
        <w:jc w:val="both"/>
        <w:rPr>
          <w:rFonts w:ascii="Arial" w:hAnsi="Arial" w:cs="Arial"/>
          <w:sz w:val="24"/>
          <w:szCs w:val="24"/>
        </w:rPr>
      </w:pPr>
      <w:r w:rsidRPr="00016B36">
        <w:rPr>
          <w:rFonts w:ascii="Arial" w:hAnsi="Arial" w:cs="Arial"/>
          <w:sz w:val="24"/>
          <w:szCs w:val="24"/>
        </w:rPr>
        <w:t xml:space="preserve">Por fim, os dois últimos tópicos que correspondem a fundamentação teórica versam sobre a conjunção do ato infracional cometido por adolescente na Lei Maria da Penha. De modo que se percebe a análise do Estatuto da Criança e do Adolescente tanto na proteção dos sujeitos resguardados por esse ordenamento, quanto a responsabilização dos mesmos sobre conduta infracional. </w:t>
      </w:r>
    </w:p>
    <w:p w:rsidR="00DE6734" w:rsidRPr="00016B36" w:rsidRDefault="000B17DA">
      <w:pPr>
        <w:spacing w:after="0" w:line="360" w:lineRule="auto"/>
        <w:ind w:firstLine="709"/>
        <w:contextualSpacing/>
        <w:jc w:val="both"/>
        <w:rPr>
          <w:rFonts w:ascii="Arial" w:hAnsi="Arial" w:cs="Arial"/>
          <w:sz w:val="24"/>
          <w:szCs w:val="24"/>
        </w:rPr>
      </w:pPr>
      <w:r w:rsidRPr="00016B36">
        <w:rPr>
          <w:rFonts w:ascii="Arial" w:hAnsi="Arial" w:cs="Arial"/>
          <w:sz w:val="24"/>
          <w:szCs w:val="24"/>
        </w:rPr>
        <w:t>Por último, um tópico específico no qual foram explanadas as decisões que foram analisadas e interpretadas conforme o posicionament</w:t>
      </w:r>
      <w:r w:rsidR="00340E22" w:rsidRPr="00016B36">
        <w:rPr>
          <w:rFonts w:ascii="Arial" w:hAnsi="Arial" w:cs="Arial"/>
          <w:sz w:val="24"/>
          <w:szCs w:val="24"/>
        </w:rPr>
        <w:t>o teórico que serão discorridos nos próximos tópicos</w:t>
      </w:r>
      <w:r w:rsidRPr="00016B36">
        <w:rPr>
          <w:rFonts w:ascii="Arial" w:hAnsi="Arial" w:cs="Arial"/>
          <w:sz w:val="24"/>
          <w:szCs w:val="24"/>
        </w:rPr>
        <w:t xml:space="preserve">. </w:t>
      </w:r>
    </w:p>
    <w:p w:rsidR="00DE6734" w:rsidRPr="00016B36" w:rsidRDefault="00DE6734">
      <w:pPr>
        <w:spacing w:after="0" w:line="360" w:lineRule="auto"/>
        <w:contextualSpacing/>
        <w:rPr>
          <w:rFonts w:ascii="Arial" w:hAnsi="Arial" w:cs="Arial"/>
          <w:b/>
          <w:sz w:val="24"/>
          <w:szCs w:val="24"/>
        </w:rPr>
      </w:pPr>
    </w:p>
    <w:p w:rsidR="00DE6734" w:rsidRPr="00016B36" w:rsidRDefault="000B17DA">
      <w:pPr>
        <w:spacing w:after="0" w:line="360" w:lineRule="auto"/>
        <w:contextualSpacing/>
        <w:rPr>
          <w:rFonts w:ascii="Arial" w:hAnsi="Arial" w:cs="Arial"/>
          <w:b/>
          <w:sz w:val="24"/>
          <w:szCs w:val="24"/>
        </w:rPr>
      </w:pPr>
      <w:r w:rsidRPr="00016B36">
        <w:rPr>
          <w:rFonts w:ascii="Arial" w:hAnsi="Arial" w:cs="Arial"/>
          <w:b/>
          <w:sz w:val="24"/>
          <w:szCs w:val="24"/>
        </w:rPr>
        <w:t>2 VIOLÊNCIA DOMÉSTICA E A LEI MARIA DA PENHA</w:t>
      </w:r>
    </w:p>
    <w:p w:rsidR="00DE6734" w:rsidRPr="00016B36" w:rsidRDefault="00DE6734">
      <w:pPr>
        <w:spacing w:after="0" w:line="360" w:lineRule="auto"/>
        <w:ind w:firstLine="709"/>
        <w:contextualSpacing/>
        <w:jc w:val="both"/>
        <w:rPr>
          <w:rFonts w:ascii="Arial" w:hAnsi="Arial" w:cs="Arial"/>
          <w:b/>
          <w:sz w:val="24"/>
          <w:szCs w:val="24"/>
        </w:rPr>
      </w:pPr>
    </w:p>
    <w:p w:rsidR="00DE6734" w:rsidRPr="00016B36" w:rsidRDefault="000B17DA">
      <w:pPr>
        <w:spacing w:after="0" w:line="360" w:lineRule="auto"/>
        <w:ind w:firstLine="709"/>
        <w:contextualSpacing/>
        <w:jc w:val="both"/>
        <w:rPr>
          <w:rFonts w:ascii="Arial" w:hAnsi="Arial" w:cs="Arial"/>
          <w:sz w:val="24"/>
          <w:szCs w:val="24"/>
        </w:rPr>
      </w:pPr>
      <w:r w:rsidRPr="00016B36">
        <w:rPr>
          <w:rFonts w:ascii="Arial" w:hAnsi="Arial" w:cs="Arial"/>
          <w:sz w:val="24"/>
          <w:szCs w:val="24"/>
        </w:rPr>
        <w:t xml:space="preserve">No Brasil a percepção da violência doméstica passa a ter uma maior ênfase através da legislação 11.340 de 2006, na qual veio a regulamentar a violência doméstica em favor de um sujeito específico, a mulher. Foi por </w:t>
      </w:r>
      <w:r w:rsidR="00340E22" w:rsidRPr="00016B36">
        <w:rPr>
          <w:rFonts w:ascii="Arial" w:hAnsi="Arial" w:cs="Arial"/>
          <w:sz w:val="24"/>
          <w:szCs w:val="24"/>
        </w:rPr>
        <w:t xml:space="preserve">meio </w:t>
      </w:r>
      <w:r w:rsidRPr="00016B36">
        <w:rPr>
          <w:rFonts w:ascii="Arial" w:hAnsi="Arial" w:cs="Arial"/>
          <w:sz w:val="24"/>
          <w:szCs w:val="24"/>
        </w:rPr>
        <w:t>legal que violência contra a mulher</w:t>
      </w:r>
      <w:r w:rsidR="00340E22" w:rsidRPr="00016B36">
        <w:rPr>
          <w:rFonts w:ascii="Arial" w:hAnsi="Arial" w:cs="Arial"/>
          <w:sz w:val="24"/>
          <w:szCs w:val="24"/>
        </w:rPr>
        <w:t xml:space="preserve"> passou a ter um destaque maior</w:t>
      </w:r>
      <w:r w:rsidRPr="00016B36">
        <w:rPr>
          <w:rFonts w:ascii="Arial" w:hAnsi="Arial" w:cs="Arial"/>
          <w:sz w:val="24"/>
          <w:szCs w:val="24"/>
        </w:rPr>
        <w:t xml:space="preserve"> </w:t>
      </w:r>
      <w:r w:rsidR="00340E22" w:rsidRPr="00016B36">
        <w:rPr>
          <w:rFonts w:ascii="Arial" w:hAnsi="Arial" w:cs="Arial"/>
          <w:sz w:val="24"/>
          <w:szCs w:val="24"/>
        </w:rPr>
        <w:t xml:space="preserve">também, </w:t>
      </w:r>
      <w:r w:rsidRPr="00016B36">
        <w:rPr>
          <w:rFonts w:ascii="Arial" w:hAnsi="Arial" w:cs="Arial"/>
          <w:sz w:val="24"/>
          <w:szCs w:val="24"/>
        </w:rPr>
        <w:t>no cenário social, jurídico e acadêmico.</w:t>
      </w:r>
    </w:p>
    <w:p w:rsidR="00DE6734" w:rsidRPr="00016B36" w:rsidRDefault="000B17DA">
      <w:pPr>
        <w:spacing w:after="0" w:line="360" w:lineRule="auto"/>
        <w:ind w:firstLine="709"/>
        <w:contextualSpacing/>
        <w:jc w:val="both"/>
        <w:rPr>
          <w:rFonts w:ascii="Arial" w:hAnsi="Arial" w:cs="Arial"/>
          <w:sz w:val="24"/>
          <w:szCs w:val="24"/>
        </w:rPr>
      </w:pPr>
      <w:r w:rsidRPr="00016B36">
        <w:rPr>
          <w:rFonts w:ascii="Arial" w:hAnsi="Arial" w:cs="Arial"/>
          <w:sz w:val="24"/>
          <w:szCs w:val="24"/>
        </w:rPr>
        <w:t xml:space="preserve">A legislação é fruto de caminhos tortuosos no ordenamento jurídico brasileiro, tendo em vista a luta das mulheres para se estabelecerem como sujeito de pleno e gozo de direitos. Uma luta que perpassa diversos ganhos como o direito ao voto, ao exercício do trabalho, entre outros. Contudo, só em 1993 no Brasil, que a violência contra mulher passou a ser considerada como violação aos direitos humanos, </w:t>
      </w:r>
      <w:r w:rsidR="00340E22" w:rsidRPr="00016B36">
        <w:rPr>
          <w:rFonts w:ascii="Arial" w:hAnsi="Arial" w:cs="Arial"/>
          <w:sz w:val="24"/>
          <w:szCs w:val="24"/>
        </w:rPr>
        <w:t>n</w:t>
      </w:r>
      <w:r w:rsidRPr="00016B36">
        <w:rPr>
          <w:rFonts w:ascii="Arial" w:hAnsi="Arial" w:cs="Arial"/>
          <w:sz w:val="24"/>
          <w:szCs w:val="24"/>
        </w:rPr>
        <w:t xml:space="preserve">a Conferência das Nações Unidas sobre </w:t>
      </w:r>
      <w:r w:rsidRPr="00016B36">
        <w:rPr>
          <w:rFonts w:ascii="Arial" w:hAnsi="Arial" w:cs="Arial"/>
          <w:sz w:val="24"/>
          <w:szCs w:val="24"/>
        </w:rPr>
        <w:lastRenderedPageBreak/>
        <w:t xml:space="preserve">Direitos Humanos.  No ano seguinte a Organização das Nações Unidas – ONU instituiu o combate da violência contra mulher, através de prevenção, punição e erradicação desse tipo de violência (SILVA, 2017).  </w:t>
      </w:r>
    </w:p>
    <w:p w:rsidR="00DE6734" w:rsidRPr="00016B36" w:rsidRDefault="000B17DA">
      <w:pPr>
        <w:spacing w:after="0" w:line="360" w:lineRule="auto"/>
        <w:ind w:firstLine="709"/>
        <w:contextualSpacing/>
        <w:jc w:val="both"/>
        <w:rPr>
          <w:rFonts w:ascii="Arial" w:hAnsi="Arial" w:cs="Arial"/>
          <w:sz w:val="24"/>
          <w:szCs w:val="24"/>
        </w:rPr>
      </w:pPr>
      <w:r w:rsidRPr="00016B36">
        <w:rPr>
          <w:rFonts w:ascii="Arial" w:hAnsi="Arial" w:cs="Arial"/>
          <w:sz w:val="24"/>
          <w:szCs w:val="24"/>
        </w:rPr>
        <w:t xml:space="preserve">Outro entendimento importante são os relatórios elaborados pela Organização Mundial de Saúde – OMS, que tratou a violência sofrida pela mulher não somente como um problema de saúde pública e uma violência de gênero, mas também como uma violência quanto ao ambiente da sua ocorrência, e também quanto ao tipo de relação que a mulher tem com o agressor (OMS 2002). Assim percebem-se, as diversas possibilidades de relações que a violência doméstica contra a mulher está inserida. </w:t>
      </w:r>
    </w:p>
    <w:p w:rsidR="00DE6734" w:rsidRPr="00016B36" w:rsidRDefault="000B17DA">
      <w:pPr>
        <w:spacing w:after="0" w:line="360" w:lineRule="auto"/>
        <w:ind w:firstLine="709"/>
        <w:contextualSpacing/>
        <w:jc w:val="both"/>
        <w:rPr>
          <w:rFonts w:ascii="Arial" w:hAnsi="Arial" w:cs="Arial"/>
          <w:sz w:val="24"/>
          <w:szCs w:val="24"/>
        </w:rPr>
      </w:pPr>
      <w:r w:rsidRPr="00016B36">
        <w:rPr>
          <w:rFonts w:ascii="Arial" w:hAnsi="Arial" w:cs="Arial"/>
          <w:sz w:val="24"/>
          <w:szCs w:val="24"/>
        </w:rPr>
        <w:t xml:space="preserve">Nesse sentido, a doutrina brasileira passa a compreender que a violência contra a mulher passa a acontecer dentro do ambiente doméstico (FONSECA, 2012; LIMA, 2014). Um ambiente em que é permeável por diversos tipos de relações, nas quais são constituídas na maioria das vezes pela relação de afeto e parentesco como entre homens e mulheres, pais e filhos, e pessoas idosas (DIAS, 2007; TELES E MELO, 2003). Todo tipo de relação constituída dentro do ambiente doméstico está sujeito à produção de violência. (TELES E MELO, 2003). </w:t>
      </w:r>
    </w:p>
    <w:p w:rsidR="00DE6734" w:rsidRPr="00016B36" w:rsidRDefault="000B17DA">
      <w:pPr>
        <w:spacing w:after="0" w:line="360" w:lineRule="auto"/>
        <w:ind w:firstLine="709"/>
        <w:contextualSpacing/>
        <w:jc w:val="both"/>
        <w:rPr>
          <w:rFonts w:ascii="Arial" w:hAnsi="Arial" w:cs="Arial"/>
          <w:sz w:val="24"/>
          <w:szCs w:val="24"/>
        </w:rPr>
      </w:pPr>
      <w:r w:rsidRPr="00016B36">
        <w:rPr>
          <w:rFonts w:ascii="Arial" w:hAnsi="Arial" w:cs="Arial"/>
          <w:sz w:val="24"/>
          <w:szCs w:val="24"/>
        </w:rPr>
        <w:t>Uma grande mudança passa a acontecer no ordenamento jurídico brasileiro, quando a Lei Maria da Penha</w:t>
      </w:r>
      <w:r w:rsidRPr="00016B36">
        <w:rPr>
          <w:rStyle w:val="Refdenotaderodap"/>
          <w:rFonts w:ascii="Arial" w:hAnsi="Arial" w:cs="Arial"/>
          <w:sz w:val="24"/>
          <w:szCs w:val="24"/>
        </w:rPr>
        <w:footnoteReference w:id="1"/>
      </w:r>
      <w:r w:rsidRPr="00016B36">
        <w:rPr>
          <w:rFonts w:ascii="Arial" w:hAnsi="Arial" w:cs="Arial"/>
          <w:sz w:val="24"/>
          <w:szCs w:val="24"/>
        </w:rPr>
        <w:t xml:space="preserve"> é sancionada. Maria Berenice Dias compreende que a legislação, apesar das críticas de alguns operadores do direito e legisladores, a Lei 11.340/06 deve ser vista como um processo de mudança social, que visa assegurar a mulher sua integridade física, moral e sexual (DIAS, 2007), com complemento a segurança da integridade psíquica e financeira da mulher (ALVES &amp; OLIVEIRA, 2017).</w:t>
      </w:r>
    </w:p>
    <w:p w:rsidR="00DE6734" w:rsidRPr="00016B36" w:rsidRDefault="00DE6734">
      <w:pPr>
        <w:spacing w:after="0" w:line="360" w:lineRule="auto"/>
        <w:contextualSpacing/>
        <w:jc w:val="both"/>
        <w:rPr>
          <w:rFonts w:ascii="Arial" w:hAnsi="Arial" w:cs="Arial"/>
          <w:sz w:val="24"/>
          <w:szCs w:val="24"/>
        </w:rPr>
      </w:pPr>
    </w:p>
    <w:p w:rsidR="00DE6734" w:rsidRPr="00016B36" w:rsidRDefault="000B17DA">
      <w:pPr>
        <w:spacing w:after="0" w:line="360" w:lineRule="auto"/>
        <w:contextualSpacing/>
        <w:rPr>
          <w:rFonts w:ascii="Arial" w:hAnsi="Arial" w:cs="Arial"/>
          <w:b/>
          <w:sz w:val="24"/>
          <w:szCs w:val="24"/>
        </w:rPr>
      </w:pPr>
      <w:r w:rsidRPr="00016B36">
        <w:rPr>
          <w:rFonts w:ascii="Arial" w:hAnsi="Arial" w:cs="Arial"/>
          <w:b/>
          <w:sz w:val="24"/>
          <w:szCs w:val="24"/>
        </w:rPr>
        <w:t>2.1 A Lei Maria da Penha: entre o doméstico e o familiar</w:t>
      </w:r>
    </w:p>
    <w:p w:rsidR="00DE6734" w:rsidRPr="00016B36" w:rsidRDefault="00DE6734">
      <w:pPr>
        <w:spacing w:after="0" w:line="360" w:lineRule="auto"/>
        <w:contextualSpacing/>
        <w:rPr>
          <w:rFonts w:ascii="Arial" w:hAnsi="Arial" w:cs="Arial"/>
          <w:sz w:val="24"/>
          <w:szCs w:val="24"/>
        </w:rPr>
      </w:pPr>
    </w:p>
    <w:p w:rsidR="00DE6734" w:rsidRPr="00016B36" w:rsidRDefault="000B17DA">
      <w:pPr>
        <w:spacing w:after="0" w:line="360" w:lineRule="auto"/>
        <w:ind w:firstLine="709"/>
        <w:contextualSpacing/>
        <w:jc w:val="both"/>
        <w:rPr>
          <w:rFonts w:ascii="Arial" w:hAnsi="Arial" w:cs="Arial"/>
          <w:sz w:val="24"/>
          <w:szCs w:val="24"/>
        </w:rPr>
      </w:pPr>
      <w:r w:rsidRPr="00016B36">
        <w:rPr>
          <w:rFonts w:ascii="Arial" w:hAnsi="Arial" w:cs="Arial"/>
          <w:sz w:val="24"/>
          <w:szCs w:val="24"/>
        </w:rPr>
        <w:t xml:space="preserve">A referência das diversas condições de integridade da vida da mulher revela os tipos de violência que ela pode vir a sofrer.  Nesse sentido, é possível dizer que a Lei 11.340/2006 coloca no seu artigo 5º “Para os efeitos desta Lei, configura violência doméstica e familiar contra a mulher qualquer ação ou omissão baseada no gênero que lhe cause morte, lesão, sofrimento físico, sexual ou psicológico e dano moral ou patrimonial”.  </w:t>
      </w:r>
    </w:p>
    <w:p w:rsidR="00DE6734" w:rsidRPr="00016B36" w:rsidRDefault="000B17DA">
      <w:pPr>
        <w:spacing w:after="0" w:line="360" w:lineRule="auto"/>
        <w:ind w:firstLine="709"/>
        <w:contextualSpacing/>
        <w:jc w:val="both"/>
        <w:rPr>
          <w:rFonts w:ascii="Arial" w:hAnsi="Arial" w:cs="Arial"/>
          <w:sz w:val="24"/>
          <w:szCs w:val="24"/>
        </w:rPr>
      </w:pPr>
      <w:r w:rsidRPr="00016B36">
        <w:rPr>
          <w:rFonts w:ascii="Arial" w:hAnsi="Arial" w:cs="Arial"/>
          <w:sz w:val="24"/>
          <w:szCs w:val="24"/>
        </w:rPr>
        <w:t xml:space="preserve">De acordo com o artigo a violência contra a mulher está para além da condição exclusiva do ambiente doméstico, está também caracterizada pelas relações estabelecidas no núcleo familiar. Assim, a legislação compreende que o espaço doméstico não obriga o vínculo familiar para ser caracterizado, o que pode ser entendido como uma distinção entre o doméstico e familiar. </w:t>
      </w:r>
      <w:r w:rsidR="00E80496" w:rsidRPr="00016B36">
        <w:rPr>
          <w:rFonts w:ascii="Arial" w:hAnsi="Arial" w:cs="Arial"/>
          <w:sz w:val="24"/>
          <w:szCs w:val="24"/>
        </w:rPr>
        <w:t xml:space="preserve">Além de trazer a condição de gênero como preliminar para considerar como violência nos termos da legislação (DIAS, 2007; LIMA, 2014). </w:t>
      </w:r>
    </w:p>
    <w:p w:rsidR="00DE6734" w:rsidRPr="00016B36" w:rsidRDefault="000B17DA">
      <w:pPr>
        <w:spacing w:after="0" w:line="360" w:lineRule="auto"/>
        <w:ind w:firstLine="709"/>
        <w:contextualSpacing/>
        <w:jc w:val="both"/>
        <w:rPr>
          <w:rFonts w:ascii="Arial" w:eastAsia="Times New Roman" w:hAnsi="Arial" w:cs="Arial"/>
          <w:sz w:val="24"/>
          <w:szCs w:val="24"/>
          <w:lang w:eastAsia="pt-BR"/>
        </w:rPr>
      </w:pPr>
      <w:r w:rsidRPr="00016B36">
        <w:rPr>
          <w:rFonts w:ascii="Arial" w:hAnsi="Arial" w:cs="Arial"/>
          <w:sz w:val="24"/>
          <w:szCs w:val="24"/>
        </w:rPr>
        <w:t>Assim, é possível o entendimento que a legislação traz que a violência caracterizada como familiar transcende o espaço físico doméstico. E sobre isso a própria lei já traz na redação de como deve ser considerada a família: “</w:t>
      </w:r>
      <w:r w:rsidRPr="00016B36">
        <w:rPr>
          <w:rFonts w:ascii="Arial" w:eastAsia="Times New Roman" w:hAnsi="Arial" w:cs="Arial"/>
          <w:sz w:val="24"/>
          <w:szCs w:val="24"/>
          <w:lang w:eastAsia="pt-BR"/>
        </w:rPr>
        <w:t xml:space="preserve">compreendida como a comunidade formada por indivíduos que são ou se consideram aparentados, unidos por laços naturais, por afinidade ou por vontade expressa” (art. 5º, inciso II, Lei 11.340/2006). </w:t>
      </w:r>
      <w:r w:rsidRPr="00016B36">
        <w:rPr>
          <w:rFonts w:ascii="Arial" w:hAnsi="Arial" w:cs="Arial"/>
          <w:sz w:val="24"/>
          <w:szCs w:val="24"/>
        </w:rPr>
        <w:t>Por fim, a própria legislação considera a liberdade sexual da vítima ao assegurar a possibilidade de aplicação do referido artigo, independente da orientação sexual da vítima (art. 5º, parágrafo único).</w:t>
      </w:r>
    </w:p>
    <w:p w:rsidR="00DE6734" w:rsidRPr="00016B36" w:rsidRDefault="00DE6734">
      <w:pPr>
        <w:rPr>
          <w:rFonts w:ascii="Arial" w:hAnsi="Arial" w:cs="Arial"/>
          <w:sz w:val="24"/>
          <w:szCs w:val="24"/>
        </w:rPr>
      </w:pPr>
    </w:p>
    <w:p w:rsidR="00DE6734" w:rsidRPr="00016B36" w:rsidRDefault="000B17DA">
      <w:pPr>
        <w:spacing w:after="0" w:line="360" w:lineRule="auto"/>
        <w:contextualSpacing/>
        <w:rPr>
          <w:rFonts w:ascii="Arial" w:hAnsi="Arial" w:cs="Arial"/>
          <w:b/>
          <w:sz w:val="24"/>
          <w:szCs w:val="24"/>
        </w:rPr>
      </w:pPr>
      <w:r w:rsidRPr="00016B36">
        <w:rPr>
          <w:rFonts w:ascii="Arial" w:hAnsi="Arial" w:cs="Arial"/>
          <w:b/>
          <w:sz w:val="24"/>
          <w:szCs w:val="24"/>
        </w:rPr>
        <w:t xml:space="preserve">2.2 Formas de violência doméstica e familiar contra a mulher </w:t>
      </w:r>
    </w:p>
    <w:p w:rsidR="00DE6734" w:rsidRPr="00016B36" w:rsidRDefault="00DE6734">
      <w:pPr>
        <w:spacing w:after="0" w:line="360" w:lineRule="auto"/>
        <w:contextualSpacing/>
        <w:rPr>
          <w:rFonts w:ascii="Arial" w:hAnsi="Arial" w:cs="Arial"/>
          <w:sz w:val="24"/>
          <w:szCs w:val="24"/>
        </w:rPr>
      </w:pPr>
    </w:p>
    <w:p w:rsidR="00DE6734" w:rsidRPr="00016B36" w:rsidRDefault="000B17DA">
      <w:pPr>
        <w:spacing w:after="0" w:line="360" w:lineRule="auto"/>
        <w:ind w:firstLine="709"/>
        <w:contextualSpacing/>
        <w:jc w:val="both"/>
        <w:rPr>
          <w:rFonts w:ascii="Arial" w:hAnsi="Arial" w:cs="Arial"/>
          <w:sz w:val="24"/>
          <w:szCs w:val="24"/>
        </w:rPr>
      </w:pPr>
      <w:r w:rsidRPr="00016B36">
        <w:rPr>
          <w:rFonts w:ascii="Arial" w:hAnsi="Arial" w:cs="Arial"/>
          <w:sz w:val="24"/>
          <w:szCs w:val="24"/>
        </w:rPr>
        <w:t>Da mesma forma que a legislação em análise traz a ampliação da violência contra a mulher, o mesmo artigo já considera as formas que venham a violentar a integridade da mulher. No artigo 5º</w:t>
      </w:r>
      <w:r w:rsidR="00340E22" w:rsidRPr="00016B36">
        <w:rPr>
          <w:rFonts w:ascii="Arial" w:hAnsi="Arial" w:cs="Arial"/>
          <w:sz w:val="24"/>
          <w:szCs w:val="24"/>
        </w:rPr>
        <w:t xml:space="preserve"> na sua definição</w:t>
      </w:r>
      <w:r w:rsidRPr="00016B36">
        <w:rPr>
          <w:rFonts w:ascii="Arial" w:hAnsi="Arial" w:cs="Arial"/>
          <w:sz w:val="24"/>
          <w:szCs w:val="24"/>
        </w:rPr>
        <w:t xml:space="preserve"> já considera violência que venha causar a perca da vida, integridade física, sexual, psicológica, bem como que vise danificar patrimonialmente e moralmente a vítima. </w:t>
      </w:r>
    </w:p>
    <w:p w:rsidR="00DE6734" w:rsidRPr="00016B36" w:rsidRDefault="000B17DA">
      <w:pPr>
        <w:spacing w:after="0" w:line="360" w:lineRule="auto"/>
        <w:ind w:firstLine="709"/>
        <w:contextualSpacing/>
        <w:jc w:val="both"/>
        <w:rPr>
          <w:rFonts w:ascii="Arial" w:hAnsi="Arial" w:cs="Arial"/>
          <w:sz w:val="24"/>
          <w:szCs w:val="24"/>
        </w:rPr>
      </w:pPr>
      <w:r w:rsidRPr="00016B36">
        <w:rPr>
          <w:rFonts w:ascii="Arial" w:hAnsi="Arial" w:cs="Arial"/>
          <w:sz w:val="24"/>
          <w:szCs w:val="24"/>
        </w:rPr>
        <w:lastRenderedPageBreak/>
        <w:t>Mais adiante a legislação, em seu artigo 7º, passa a considerar as formas de violência doméstica e familiar contra a mulher. Tanto o artigo 5º quanto o 7º destacam a violência física como a primeira forma de violência contra a mulher. A violência física é entendida como a que mais se destaca dentro da prática de violência doméstica, a caracterização</w:t>
      </w:r>
      <w:r w:rsidR="00340E22" w:rsidRPr="00016B36">
        <w:rPr>
          <w:rFonts w:ascii="Arial" w:hAnsi="Arial" w:cs="Arial"/>
          <w:sz w:val="24"/>
          <w:szCs w:val="24"/>
        </w:rPr>
        <w:t xml:space="preserve"> se dá</w:t>
      </w:r>
      <w:r w:rsidRPr="00016B36">
        <w:rPr>
          <w:rFonts w:ascii="Arial" w:hAnsi="Arial" w:cs="Arial"/>
          <w:sz w:val="24"/>
          <w:szCs w:val="24"/>
        </w:rPr>
        <w:t xml:space="preserve"> pela agressão física que venha lesionar corporalmente a vítima (LIMA, 2014; SILVA, 2017; ALVES &amp; OLIVEIRA, 2017). A incidência ou não da violência física passa a ser considerada após a realização do exame médico-legal (ALVES &amp; OLIVEIRA, 2017). Nesse sentido, Lima (2014) destaca que a violência física reside as tipific</w:t>
      </w:r>
      <w:r w:rsidR="00340E22" w:rsidRPr="00016B36">
        <w:rPr>
          <w:rFonts w:ascii="Arial" w:hAnsi="Arial" w:cs="Arial"/>
          <w:sz w:val="24"/>
          <w:szCs w:val="24"/>
        </w:rPr>
        <w:t>ações do Código Penal</w:t>
      </w:r>
      <w:r w:rsidRPr="00016B36">
        <w:rPr>
          <w:rFonts w:ascii="Arial" w:hAnsi="Arial" w:cs="Arial"/>
          <w:sz w:val="24"/>
          <w:szCs w:val="24"/>
        </w:rPr>
        <w:t xml:space="preserve">, nos artigos 129 e quando decorre de morte o 121 do mesmo código. </w:t>
      </w:r>
    </w:p>
    <w:p w:rsidR="00DE6734" w:rsidRPr="00016B36" w:rsidRDefault="000B17DA">
      <w:pPr>
        <w:spacing w:after="0" w:line="360" w:lineRule="auto"/>
        <w:ind w:firstLine="709"/>
        <w:contextualSpacing/>
        <w:jc w:val="both"/>
        <w:rPr>
          <w:rFonts w:ascii="Arial" w:hAnsi="Arial" w:cs="Arial"/>
          <w:sz w:val="24"/>
          <w:szCs w:val="24"/>
        </w:rPr>
      </w:pPr>
      <w:r w:rsidRPr="00016B36">
        <w:rPr>
          <w:rFonts w:ascii="Arial" w:hAnsi="Arial" w:cs="Arial"/>
          <w:sz w:val="24"/>
          <w:szCs w:val="24"/>
        </w:rPr>
        <w:t>Outra forma de violência é aquela caracterizada pelo dano psicológico a vítima. Alves &amp; Oliveira (2017) chegam a afirmar que distintamente da anterior, o dano psicológico é mais difícil de ser provado, visto que o dano psicológi</w:t>
      </w:r>
      <w:r w:rsidR="00340E22" w:rsidRPr="00016B36">
        <w:rPr>
          <w:rFonts w:ascii="Arial" w:hAnsi="Arial" w:cs="Arial"/>
          <w:sz w:val="24"/>
          <w:szCs w:val="24"/>
        </w:rPr>
        <w:t>co não está diretamente ligado à</w:t>
      </w:r>
      <w:r w:rsidRPr="00016B36">
        <w:rPr>
          <w:rFonts w:ascii="Arial" w:hAnsi="Arial" w:cs="Arial"/>
          <w:sz w:val="24"/>
          <w:szCs w:val="24"/>
        </w:rPr>
        <w:t xml:space="preserve"> questão física da vítima, mas sim ligado a</w:t>
      </w:r>
      <w:r w:rsidR="00340E22" w:rsidRPr="00016B36">
        <w:rPr>
          <w:rFonts w:ascii="Arial" w:hAnsi="Arial" w:cs="Arial"/>
          <w:sz w:val="24"/>
          <w:szCs w:val="24"/>
        </w:rPr>
        <w:t xml:space="preserve"> sua</w:t>
      </w:r>
      <w:r w:rsidRPr="00016B36">
        <w:rPr>
          <w:rFonts w:ascii="Arial" w:hAnsi="Arial" w:cs="Arial"/>
          <w:sz w:val="24"/>
          <w:szCs w:val="24"/>
        </w:rPr>
        <w:t xml:space="preserve"> </w:t>
      </w:r>
      <w:r w:rsidR="00D0024D" w:rsidRPr="00016B36">
        <w:rPr>
          <w:rFonts w:ascii="Arial" w:hAnsi="Arial" w:cs="Arial"/>
          <w:sz w:val="24"/>
          <w:szCs w:val="24"/>
        </w:rPr>
        <w:t>estabilidade emocional</w:t>
      </w:r>
      <w:r w:rsidRPr="00016B36">
        <w:rPr>
          <w:rFonts w:ascii="Arial" w:hAnsi="Arial" w:cs="Arial"/>
          <w:sz w:val="24"/>
          <w:szCs w:val="24"/>
        </w:rPr>
        <w:t>, que vêm a danificar o</w:t>
      </w:r>
      <w:r w:rsidR="00D0024D" w:rsidRPr="00016B36">
        <w:rPr>
          <w:rFonts w:ascii="Arial" w:hAnsi="Arial" w:cs="Arial"/>
          <w:sz w:val="24"/>
          <w:szCs w:val="24"/>
        </w:rPr>
        <w:t xml:space="preserve"> seu</w:t>
      </w:r>
      <w:r w:rsidRPr="00016B36">
        <w:rPr>
          <w:rFonts w:ascii="Arial" w:hAnsi="Arial" w:cs="Arial"/>
          <w:sz w:val="24"/>
          <w:szCs w:val="24"/>
        </w:rPr>
        <w:t xml:space="preserve"> comportamento, a autoestima e o desenvolviment</w:t>
      </w:r>
      <w:r w:rsidR="00D0024D" w:rsidRPr="00016B36">
        <w:rPr>
          <w:rFonts w:ascii="Arial" w:hAnsi="Arial" w:cs="Arial"/>
          <w:sz w:val="24"/>
          <w:szCs w:val="24"/>
        </w:rPr>
        <w:t>o</w:t>
      </w:r>
      <w:r w:rsidRPr="00016B36">
        <w:rPr>
          <w:rFonts w:ascii="Arial" w:hAnsi="Arial" w:cs="Arial"/>
          <w:sz w:val="24"/>
          <w:szCs w:val="24"/>
        </w:rPr>
        <w:t>. Assim, Lima (p. 912, 2014) “o agressor procura causar danos emocionais a mulher, que geralmente é feito por meio de ameaça, de humilhações, discriminação que tem como objetivo final reduzir a a</w:t>
      </w:r>
      <w:r w:rsidR="00D0024D" w:rsidRPr="00016B36">
        <w:rPr>
          <w:rFonts w:ascii="Arial" w:hAnsi="Arial" w:cs="Arial"/>
          <w:sz w:val="24"/>
          <w:szCs w:val="24"/>
        </w:rPr>
        <w:t>utoestima da vítima”. Lima (2014</w:t>
      </w:r>
      <w:r w:rsidRPr="00016B36">
        <w:rPr>
          <w:rFonts w:ascii="Arial" w:hAnsi="Arial" w:cs="Arial"/>
          <w:sz w:val="24"/>
          <w:szCs w:val="24"/>
        </w:rPr>
        <w:t>) compreende que a violênc</w:t>
      </w:r>
      <w:r w:rsidR="00D0024D" w:rsidRPr="00016B36">
        <w:rPr>
          <w:rFonts w:ascii="Arial" w:hAnsi="Arial" w:cs="Arial"/>
          <w:sz w:val="24"/>
          <w:szCs w:val="24"/>
        </w:rPr>
        <w:t>ia psicológica está assemelhada</w:t>
      </w:r>
      <w:r w:rsidRPr="00016B36">
        <w:rPr>
          <w:rFonts w:ascii="Arial" w:hAnsi="Arial" w:cs="Arial"/>
          <w:sz w:val="24"/>
          <w:szCs w:val="24"/>
        </w:rPr>
        <w:t xml:space="preserve"> aos artigos 146, 147 e 148 do Código Penal.  </w:t>
      </w:r>
    </w:p>
    <w:p w:rsidR="00D0024D" w:rsidRPr="00016B36" w:rsidRDefault="000B17DA">
      <w:pPr>
        <w:spacing w:after="0" w:line="360" w:lineRule="auto"/>
        <w:ind w:firstLine="709"/>
        <w:contextualSpacing/>
        <w:jc w:val="both"/>
        <w:rPr>
          <w:rFonts w:ascii="Arial" w:hAnsi="Arial" w:cs="Arial"/>
          <w:sz w:val="24"/>
          <w:szCs w:val="24"/>
        </w:rPr>
      </w:pPr>
      <w:r w:rsidRPr="00016B36">
        <w:rPr>
          <w:rFonts w:ascii="Arial" w:hAnsi="Arial" w:cs="Arial"/>
          <w:sz w:val="24"/>
          <w:szCs w:val="24"/>
        </w:rPr>
        <w:t>O artigo 7º da Lei 11.340/2006 no inciso III também traz a conduta de constranger sexualmente a mulher, privando de vontade própria, e utilizando de força, ameaça para i</w:t>
      </w:r>
      <w:r w:rsidR="00D0024D" w:rsidRPr="00016B36">
        <w:rPr>
          <w:rFonts w:ascii="Arial" w:hAnsi="Arial" w:cs="Arial"/>
          <w:sz w:val="24"/>
          <w:szCs w:val="24"/>
        </w:rPr>
        <w:t>nduzir</w:t>
      </w:r>
      <w:r w:rsidRPr="00016B36">
        <w:rPr>
          <w:rFonts w:ascii="Arial" w:hAnsi="Arial" w:cs="Arial"/>
          <w:sz w:val="24"/>
          <w:szCs w:val="24"/>
        </w:rPr>
        <w:t xml:space="preserve"> a vítima </w:t>
      </w:r>
      <w:r w:rsidR="00D0024D" w:rsidRPr="00016B36">
        <w:rPr>
          <w:rFonts w:ascii="Arial" w:hAnsi="Arial" w:cs="Arial"/>
          <w:sz w:val="24"/>
          <w:szCs w:val="24"/>
        </w:rPr>
        <w:t>a</w:t>
      </w:r>
      <w:r w:rsidRPr="00016B36">
        <w:rPr>
          <w:rFonts w:ascii="Arial" w:hAnsi="Arial" w:cs="Arial"/>
          <w:sz w:val="24"/>
          <w:szCs w:val="24"/>
        </w:rPr>
        <w:t xml:space="preserve"> utilizar e comercializar sua sexualidade sem seu consentimento (ROCHA &amp; NOGUEIRA, 2017; SILVA, 2017). A percepção desse tipo de violência corresponde aos artigos do Título VI – Dos crimes contra a dignidade sexual (LIMA, 2014). É interessante perceber que o mesmo aut</w:t>
      </w:r>
      <w:r w:rsidR="00D0024D" w:rsidRPr="00016B36">
        <w:rPr>
          <w:rFonts w:ascii="Arial" w:hAnsi="Arial" w:cs="Arial"/>
          <w:sz w:val="24"/>
          <w:szCs w:val="24"/>
        </w:rPr>
        <w:t>or considera como assemelhados à</w:t>
      </w:r>
      <w:r w:rsidRPr="00016B36">
        <w:rPr>
          <w:rFonts w:ascii="Arial" w:hAnsi="Arial" w:cs="Arial"/>
          <w:sz w:val="24"/>
          <w:szCs w:val="24"/>
        </w:rPr>
        <w:t xml:space="preserve"> violência sexual contra a mulher, os crimes sexuais contra vulnerável, porém os artigos do Código Penal consideram as vítimas como menores de 18 anos</w:t>
      </w:r>
      <w:r w:rsidRPr="00016B36">
        <w:rPr>
          <w:rStyle w:val="Refdenotaderodap"/>
          <w:rFonts w:ascii="Arial" w:hAnsi="Arial" w:cs="Arial"/>
          <w:sz w:val="24"/>
          <w:szCs w:val="24"/>
        </w:rPr>
        <w:footnoteReference w:id="2"/>
      </w:r>
      <w:r w:rsidRPr="00016B36">
        <w:rPr>
          <w:rFonts w:ascii="Arial" w:hAnsi="Arial" w:cs="Arial"/>
          <w:sz w:val="24"/>
          <w:szCs w:val="24"/>
        </w:rPr>
        <w:t xml:space="preserve">. </w:t>
      </w:r>
    </w:p>
    <w:p w:rsidR="00D0024D" w:rsidRPr="00016B36" w:rsidRDefault="000B17DA">
      <w:pPr>
        <w:spacing w:after="0" w:line="360" w:lineRule="auto"/>
        <w:ind w:firstLine="709"/>
        <w:contextualSpacing/>
        <w:jc w:val="both"/>
        <w:rPr>
          <w:rFonts w:ascii="Arial" w:hAnsi="Arial" w:cs="Arial"/>
          <w:sz w:val="24"/>
          <w:szCs w:val="24"/>
        </w:rPr>
      </w:pPr>
      <w:r w:rsidRPr="00016B36">
        <w:rPr>
          <w:rFonts w:ascii="Arial" w:hAnsi="Arial" w:cs="Arial"/>
          <w:sz w:val="24"/>
          <w:szCs w:val="24"/>
        </w:rPr>
        <w:lastRenderedPageBreak/>
        <w:t>A quarta forma de violência doméstica e familiar contra a mulher esta</w:t>
      </w:r>
      <w:r w:rsidR="00D0024D" w:rsidRPr="00016B36">
        <w:rPr>
          <w:rFonts w:ascii="Arial" w:hAnsi="Arial" w:cs="Arial"/>
          <w:sz w:val="24"/>
          <w:szCs w:val="24"/>
        </w:rPr>
        <w:t>ria ligada ao dano patrimonial à</w:t>
      </w:r>
      <w:r w:rsidRPr="00016B36">
        <w:rPr>
          <w:rFonts w:ascii="Arial" w:hAnsi="Arial" w:cs="Arial"/>
          <w:sz w:val="24"/>
          <w:szCs w:val="24"/>
        </w:rPr>
        <w:t xml:space="preserve"> vítima. A violência patrimonial é causada por violação ao patrimônio da vítima, isto é, destituir, destruir, subtrair, reter os bens e valores materiais, bem como os objetos de trabalho, documentos pessoais (art. 7º, inciso IV, Lei 11.340/2006). Lima (2017) compreende essa configuração de violência semelhante aos crimes do Título II do CP, pois não há o emprego da violência física a vítima. </w:t>
      </w:r>
    </w:p>
    <w:p w:rsidR="00DE6734" w:rsidRPr="00016B36" w:rsidRDefault="000B17DA">
      <w:pPr>
        <w:spacing w:after="0" w:line="360" w:lineRule="auto"/>
        <w:ind w:firstLine="709"/>
        <w:contextualSpacing/>
        <w:jc w:val="both"/>
        <w:rPr>
          <w:rFonts w:ascii="Arial" w:hAnsi="Arial" w:cs="Arial"/>
          <w:sz w:val="24"/>
          <w:szCs w:val="24"/>
        </w:rPr>
      </w:pPr>
      <w:r w:rsidRPr="00016B36">
        <w:rPr>
          <w:rFonts w:ascii="Arial" w:hAnsi="Arial" w:cs="Arial"/>
          <w:sz w:val="24"/>
          <w:szCs w:val="24"/>
        </w:rPr>
        <w:t>Por fim, o artigo 7º compreende outra dimensão da violência doméstica e familiar contra mulher, a moral. A violência moral pode está relacionada com a violência psicológica, quando as ações típicas da violação moral atinja</w:t>
      </w:r>
      <w:r w:rsidR="00D0024D" w:rsidRPr="00016B36">
        <w:rPr>
          <w:rFonts w:ascii="Arial" w:hAnsi="Arial" w:cs="Arial"/>
          <w:sz w:val="24"/>
          <w:szCs w:val="24"/>
        </w:rPr>
        <w:t>m</w:t>
      </w:r>
      <w:r w:rsidRPr="00016B36">
        <w:rPr>
          <w:rFonts w:ascii="Arial" w:hAnsi="Arial" w:cs="Arial"/>
          <w:sz w:val="24"/>
          <w:szCs w:val="24"/>
        </w:rPr>
        <w:t xml:space="preserve"> fortemente a psique da vítima, de modo </w:t>
      </w:r>
      <w:r w:rsidR="00D0024D" w:rsidRPr="00016B36">
        <w:rPr>
          <w:rFonts w:ascii="Arial" w:hAnsi="Arial" w:cs="Arial"/>
          <w:sz w:val="24"/>
          <w:szCs w:val="24"/>
        </w:rPr>
        <w:t>que traga prejuízos emocionais à</w:t>
      </w:r>
      <w:r w:rsidRPr="00016B36">
        <w:rPr>
          <w:rFonts w:ascii="Arial" w:hAnsi="Arial" w:cs="Arial"/>
          <w:sz w:val="24"/>
          <w:szCs w:val="24"/>
        </w:rPr>
        <w:t xml:space="preserve"> mulher. É consider</w:t>
      </w:r>
      <w:r w:rsidR="00D0024D" w:rsidRPr="00016B36">
        <w:rPr>
          <w:rFonts w:ascii="Arial" w:hAnsi="Arial" w:cs="Arial"/>
          <w:sz w:val="24"/>
          <w:szCs w:val="24"/>
        </w:rPr>
        <w:t>ada moral quando a conduta do agente está</w:t>
      </w:r>
      <w:r w:rsidRPr="00016B36">
        <w:rPr>
          <w:rFonts w:ascii="Arial" w:hAnsi="Arial" w:cs="Arial"/>
          <w:sz w:val="24"/>
          <w:szCs w:val="24"/>
        </w:rPr>
        <w:t xml:space="preserve"> voltada </w:t>
      </w:r>
      <w:r w:rsidR="00D0024D" w:rsidRPr="00016B36">
        <w:rPr>
          <w:rFonts w:ascii="Arial" w:hAnsi="Arial" w:cs="Arial"/>
          <w:sz w:val="24"/>
          <w:szCs w:val="24"/>
        </w:rPr>
        <w:t xml:space="preserve">a </w:t>
      </w:r>
      <w:r w:rsidRPr="00016B36">
        <w:rPr>
          <w:rFonts w:ascii="Arial" w:hAnsi="Arial" w:cs="Arial"/>
          <w:sz w:val="24"/>
          <w:szCs w:val="24"/>
        </w:rPr>
        <w:t>agir com calúnia, difamação ou injúria a</w:t>
      </w:r>
      <w:r w:rsidR="00D0024D" w:rsidRPr="00016B36">
        <w:rPr>
          <w:rFonts w:ascii="Arial" w:hAnsi="Arial" w:cs="Arial"/>
          <w:sz w:val="24"/>
          <w:szCs w:val="24"/>
        </w:rPr>
        <w:t xml:space="preserve"> prejudicar a vítima. Lima (2014</w:t>
      </w:r>
      <w:r w:rsidRPr="00016B36">
        <w:rPr>
          <w:rFonts w:ascii="Arial" w:hAnsi="Arial" w:cs="Arial"/>
          <w:sz w:val="24"/>
          <w:szCs w:val="24"/>
        </w:rPr>
        <w:t>) contribui com o entendimento.</w:t>
      </w:r>
    </w:p>
    <w:p w:rsidR="00DE6734" w:rsidRPr="00016B36" w:rsidRDefault="00DE6734">
      <w:pPr>
        <w:spacing w:after="0" w:line="360" w:lineRule="auto"/>
        <w:ind w:firstLine="709"/>
        <w:contextualSpacing/>
        <w:jc w:val="both"/>
        <w:rPr>
          <w:rFonts w:ascii="Arial" w:hAnsi="Arial" w:cs="Arial"/>
          <w:sz w:val="24"/>
          <w:szCs w:val="24"/>
        </w:rPr>
      </w:pPr>
    </w:p>
    <w:p w:rsidR="00D0024D" w:rsidRPr="00016B36" w:rsidRDefault="00D0024D">
      <w:pPr>
        <w:spacing w:after="0" w:line="360" w:lineRule="auto"/>
        <w:ind w:firstLine="709"/>
        <w:contextualSpacing/>
        <w:jc w:val="both"/>
        <w:rPr>
          <w:rFonts w:ascii="Arial" w:hAnsi="Arial" w:cs="Arial"/>
          <w:sz w:val="24"/>
          <w:szCs w:val="24"/>
        </w:rPr>
      </w:pPr>
    </w:p>
    <w:p w:rsidR="00DE6734" w:rsidRPr="00016B36" w:rsidRDefault="000B17DA">
      <w:pPr>
        <w:spacing w:after="0" w:line="240" w:lineRule="auto"/>
        <w:ind w:left="2268"/>
        <w:contextualSpacing/>
        <w:jc w:val="both"/>
        <w:rPr>
          <w:rFonts w:ascii="Arial" w:hAnsi="Arial" w:cs="Arial"/>
        </w:rPr>
      </w:pPr>
      <w:r w:rsidRPr="00016B36">
        <w:rPr>
          <w:rFonts w:ascii="Arial" w:hAnsi="Arial" w:cs="Arial"/>
        </w:rPr>
        <w:t xml:space="preserve">Portanto, caracterizada a hipótese de violência moral contra a mulher no âmbito de uma relação doméstica, familiar ou íntima de afeto, mesmo que a infração penal seja praticada de menor potencial ofensivo, fixar-se-á a competência do Juizado da Violência Doméstica e Familiar contra a Mulher (LIMA p. 914, 2014). </w:t>
      </w:r>
    </w:p>
    <w:p w:rsidR="00DE6734" w:rsidRPr="00016B36" w:rsidRDefault="00DE6734">
      <w:pPr>
        <w:rPr>
          <w:rFonts w:ascii="Arial" w:hAnsi="Arial" w:cs="Arial"/>
          <w:sz w:val="24"/>
          <w:szCs w:val="24"/>
        </w:rPr>
      </w:pPr>
    </w:p>
    <w:p w:rsidR="00DE6734" w:rsidRPr="00016B36" w:rsidRDefault="00DE6734">
      <w:pPr>
        <w:rPr>
          <w:rFonts w:ascii="Arial" w:hAnsi="Arial" w:cs="Arial"/>
          <w:sz w:val="24"/>
          <w:szCs w:val="24"/>
        </w:rPr>
      </w:pPr>
    </w:p>
    <w:p w:rsidR="00DE6734" w:rsidRPr="00016B36" w:rsidRDefault="000B17DA">
      <w:pPr>
        <w:spacing w:after="0" w:line="360" w:lineRule="auto"/>
        <w:ind w:firstLine="709"/>
        <w:contextualSpacing/>
        <w:jc w:val="both"/>
        <w:rPr>
          <w:rFonts w:ascii="Arial" w:hAnsi="Arial" w:cs="Arial"/>
          <w:sz w:val="24"/>
          <w:szCs w:val="24"/>
        </w:rPr>
      </w:pPr>
      <w:r w:rsidRPr="00016B36">
        <w:rPr>
          <w:rFonts w:ascii="Arial" w:hAnsi="Arial" w:cs="Arial"/>
          <w:sz w:val="24"/>
          <w:szCs w:val="24"/>
        </w:rPr>
        <w:t>O trecho trazido por Lima (2014) corresponde a um posicionamento da 3ª Seção do STJ, cujo Rel. Ministro Napoleão Nunes Maia Filho a respeito da competência processual para o Juizado da Violência Doméstica e Familiar contra a Mulher (CC 102.812/MG). O destaque do relator revela a condição de violência moral em que a vítima está inserida, reforçando não só a aplicação pertinente da lei 11.340/2006, mas também versando sobre a competência processual.</w:t>
      </w:r>
    </w:p>
    <w:p w:rsidR="00DE6734" w:rsidRPr="00016B36" w:rsidRDefault="00DE6734">
      <w:pPr>
        <w:spacing w:after="0" w:line="360" w:lineRule="auto"/>
        <w:contextualSpacing/>
        <w:rPr>
          <w:rFonts w:ascii="Arial" w:hAnsi="Arial" w:cs="Arial"/>
          <w:b/>
          <w:sz w:val="24"/>
          <w:szCs w:val="24"/>
        </w:rPr>
      </w:pPr>
    </w:p>
    <w:p w:rsidR="00DE6734" w:rsidRPr="00016B36" w:rsidRDefault="000B17DA">
      <w:pPr>
        <w:spacing w:after="0" w:line="360" w:lineRule="auto"/>
        <w:contextualSpacing/>
        <w:rPr>
          <w:rFonts w:ascii="Arial" w:hAnsi="Arial" w:cs="Arial"/>
          <w:b/>
          <w:sz w:val="24"/>
          <w:szCs w:val="24"/>
        </w:rPr>
      </w:pPr>
      <w:r w:rsidRPr="00016B36">
        <w:rPr>
          <w:rFonts w:ascii="Arial" w:hAnsi="Arial" w:cs="Arial"/>
          <w:b/>
          <w:sz w:val="24"/>
          <w:szCs w:val="24"/>
        </w:rPr>
        <w:t>2.3 Sujeitos envolvidos: a vítima e o agressor</w:t>
      </w:r>
    </w:p>
    <w:p w:rsidR="00DE6734" w:rsidRPr="00016B36" w:rsidRDefault="00DE6734">
      <w:pPr>
        <w:spacing w:after="0" w:line="360" w:lineRule="auto"/>
        <w:contextualSpacing/>
        <w:rPr>
          <w:rFonts w:ascii="Arial" w:hAnsi="Arial" w:cs="Arial"/>
          <w:sz w:val="24"/>
          <w:szCs w:val="24"/>
        </w:rPr>
      </w:pPr>
    </w:p>
    <w:p w:rsidR="00DE6734" w:rsidRPr="00016B36" w:rsidRDefault="000B17DA">
      <w:pPr>
        <w:spacing w:after="0" w:line="360" w:lineRule="auto"/>
        <w:ind w:firstLine="709"/>
        <w:contextualSpacing/>
        <w:jc w:val="both"/>
        <w:rPr>
          <w:rFonts w:ascii="Arial" w:hAnsi="Arial" w:cs="Arial"/>
          <w:sz w:val="24"/>
          <w:szCs w:val="24"/>
        </w:rPr>
      </w:pPr>
      <w:r w:rsidRPr="00016B36">
        <w:rPr>
          <w:rFonts w:ascii="Arial" w:hAnsi="Arial" w:cs="Arial"/>
          <w:sz w:val="24"/>
          <w:szCs w:val="24"/>
        </w:rPr>
        <w:t xml:space="preserve">A legislação 11.340/2006 versa entre o texto sobre a relação que está estabelecida para que configure violência doméstica e/ou familiar contra a </w:t>
      </w:r>
      <w:r w:rsidRPr="00016B36">
        <w:rPr>
          <w:rFonts w:ascii="Arial" w:hAnsi="Arial" w:cs="Arial"/>
          <w:sz w:val="24"/>
          <w:szCs w:val="24"/>
        </w:rPr>
        <w:lastRenderedPageBreak/>
        <w:t>mulher. Nesse sentido, a própria legislação compreende que a relação entre a vítima e o agente está estabelecida pelo espaço doméstico e pela relação familiar. Assim, é possível perceber que o texto legal não considera o sexo de quem age com violência contra a mulher, apenas considera o sexo da vítima. Ao não identificar o sexo de quem viola, o legislador trouxe um avanço no que tange a liberdade sexual da vítima ao assegurar a possibilidade de aplicação do referido artigo, independente da orientação sexual da vítima (art. 5º, parágrafo único).</w:t>
      </w:r>
    </w:p>
    <w:p w:rsidR="009238C2" w:rsidRPr="00016B36" w:rsidRDefault="000B17DA" w:rsidP="009238C2">
      <w:pPr>
        <w:spacing w:after="0" w:line="360" w:lineRule="auto"/>
        <w:ind w:firstLine="709"/>
        <w:contextualSpacing/>
        <w:jc w:val="both"/>
        <w:rPr>
          <w:rFonts w:ascii="Arial" w:hAnsi="Arial" w:cs="Arial"/>
          <w:sz w:val="24"/>
          <w:szCs w:val="24"/>
        </w:rPr>
      </w:pPr>
      <w:r w:rsidRPr="00016B36">
        <w:rPr>
          <w:rFonts w:ascii="Arial" w:hAnsi="Arial" w:cs="Arial"/>
          <w:sz w:val="24"/>
          <w:szCs w:val="24"/>
        </w:rPr>
        <w:t xml:space="preserve">Silva (2017) revela que a legislação só determina o sexo biológico a vítima, e não quem agride. A determinação de quem promove a violência contra a mulher está estabelecida na relação que tem o agressor com a vítima, podendo ser homem ou mulher. Mas não é só isso, a legislação também não determina a idade, formação cognitiva, intelectual de quem age com violência contra a mulher. Alguns estudos sobre Lei Maria da Penha tendem a caracterizar como violência doméstica e familiar contra a mulher, os atos praticados por adolescente (FONSECA, 2012; BORDIGON, 2009). O autor revela que a possibilidade está por considerar como violência contra a mulher, por uma questão da vítima, e não de quem agride. </w:t>
      </w:r>
    </w:p>
    <w:p w:rsidR="000B17DA" w:rsidRPr="00016B36" w:rsidRDefault="000B17DA" w:rsidP="009238C2">
      <w:pPr>
        <w:spacing w:after="0" w:line="360" w:lineRule="auto"/>
        <w:ind w:firstLine="709"/>
        <w:contextualSpacing/>
        <w:jc w:val="both"/>
        <w:rPr>
          <w:rFonts w:ascii="Arial" w:hAnsi="Arial" w:cs="Arial"/>
          <w:sz w:val="24"/>
          <w:szCs w:val="24"/>
        </w:rPr>
      </w:pPr>
      <w:r w:rsidRPr="00016B36">
        <w:rPr>
          <w:rFonts w:ascii="Arial" w:hAnsi="Arial" w:cs="Arial"/>
          <w:sz w:val="24"/>
          <w:szCs w:val="24"/>
        </w:rPr>
        <w:t>A Lei Maria da Penha permite considerar através da liberd</w:t>
      </w:r>
      <w:r w:rsidR="0003439E" w:rsidRPr="00016B36">
        <w:rPr>
          <w:rFonts w:ascii="Arial" w:hAnsi="Arial" w:cs="Arial"/>
          <w:sz w:val="24"/>
          <w:szCs w:val="24"/>
        </w:rPr>
        <w:t>ade sexual, a mulher que se defina socialmente quanto mulher. Nesse sentido a 4º Turma do STJ, em 2017, garantiu a retificação da certidão de nascimento a mulher transexual que não realizou a operação de mudança de sexual. Na ocasião o relator considerou, baseado no princípio da dignidade da pessoa humana, a identidade constituída</w:t>
      </w:r>
      <w:r w:rsidR="009238C2" w:rsidRPr="00016B36">
        <w:rPr>
          <w:rFonts w:ascii="Arial" w:hAnsi="Arial" w:cs="Arial"/>
          <w:sz w:val="24"/>
          <w:szCs w:val="24"/>
        </w:rPr>
        <w:t xml:space="preserve"> </w:t>
      </w:r>
      <w:r w:rsidR="0003439E" w:rsidRPr="00016B36">
        <w:rPr>
          <w:rFonts w:ascii="Arial" w:hAnsi="Arial" w:cs="Arial"/>
          <w:sz w:val="24"/>
          <w:szCs w:val="24"/>
        </w:rPr>
        <w:t>da requerente como comprovada</w:t>
      </w:r>
      <w:r w:rsidR="009238C2" w:rsidRPr="00016B36">
        <w:rPr>
          <w:rFonts w:ascii="Arial" w:hAnsi="Arial" w:cs="Arial"/>
          <w:sz w:val="24"/>
          <w:szCs w:val="24"/>
        </w:rPr>
        <w:t xml:space="preserve"> pela sua</w:t>
      </w:r>
      <w:r w:rsidR="0003439E" w:rsidRPr="00016B36">
        <w:rPr>
          <w:rFonts w:ascii="Arial" w:hAnsi="Arial" w:cs="Arial"/>
          <w:sz w:val="24"/>
          <w:szCs w:val="24"/>
        </w:rPr>
        <w:t xml:space="preserve"> </w:t>
      </w:r>
      <w:r w:rsidR="009238C2" w:rsidRPr="00016B36">
        <w:rPr>
          <w:rFonts w:ascii="Arial" w:hAnsi="Arial" w:cs="Arial"/>
          <w:sz w:val="24"/>
          <w:szCs w:val="24"/>
        </w:rPr>
        <w:t xml:space="preserve">social e e seu entendimento psicologicamente (STJ 4ª Turma, </w:t>
      </w:r>
      <w:hyperlink r:id="rId8" w:history="1">
        <w:r w:rsidR="009238C2" w:rsidRPr="00016B36">
          <w:rPr>
            <w:rStyle w:val="Hyperlink"/>
            <w:rFonts w:ascii="Arial" w:hAnsi="Arial" w:cs="Arial"/>
            <w:color w:val="auto"/>
            <w:sz w:val="24"/>
            <w:szCs w:val="24"/>
            <w:u w:val="none"/>
          </w:rPr>
          <w:t>REsp 1626739 RS 2016/0245586-9</w:t>
        </w:r>
      </w:hyperlink>
      <w:r w:rsidR="009238C2" w:rsidRPr="00016B36">
        <w:rPr>
          <w:rFonts w:ascii="Arial" w:hAnsi="Arial" w:cs="Arial"/>
          <w:sz w:val="24"/>
          <w:szCs w:val="24"/>
        </w:rPr>
        <w:t>. Relator: Ministro LUIS FELIPE SALOMÃO).</w:t>
      </w:r>
    </w:p>
    <w:p w:rsidR="009238C2" w:rsidRPr="00016B36" w:rsidRDefault="009238C2" w:rsidP="009238C2">
      <w:pPr>
        <w:spacing w:after="0" w:line="360" w:lineRule="auto"/>
        <w:ind w:firstLine="709"/>
        <w:contextualSpacing/>
        <w:jc w:val="both"/>
        <w:rPr>
          <w:rFonts w:ascii="Arial" w:hAnsi="Arial" w:cs="Arial"/>
          <w:sz w:val="24"/>
          <w:szCs w:val="24"/>
        </w:rPr>
      </w:pPr>
      <w:r w:rsidRPr="00016B36">
        <w:rPr>
          <w:rFonts w:ascii="Arial" w:hAnsi="Arial" w:cs="Arial"/>
          <w:sz w:val="24"/>
          <w:szCs w:val="24"/>
        </w:rPr>
        <w:t xml:space="preserve">Assim, é possível compreender que para a aplicação da Lei 11.340/2006 a mulher transexual, perpassa a entendimento da identidade social construída. Dessa forma, </w:t>
      </w:r>
      <w:r w:rsidR="00DF72AE" w:rsidRPr="00016B36">
        <w:rPr>
          <w:rFonts w:ascii="Arial" w:hAnsi="Arial" w:cs="Arial"/>
          <w:sz w:val="24"/>
          <w:szCs w:val="24"/>
        </w:rPr>
        <w:t>que alguns tribunais compreende a possibilidade da aplicação da Lei Maria da Penha. (</w:t>
      </w:r>
      <w:r w:rsidR="00DF72AE" w:rsidRPr="00016B36">
        <w:rPr>
          <w:rFonts w:ascii="Arial" w:hAnsi="Arial" w:cs="Arial"/>
          <w:spacing w:val="2"/>
          <w:sz w:val="24"/>
          <w:szCs w:val="24"/>
          <w:shd w:val="clear" w:color="auto" w:fill="FFFFFF"/>
        </w:rPr>
        <w:t>Proc. nº. 201103873908 -  </w:t>
      </w:r>
      <w:r w:rsidR="00DF72AE" w:rsidRPr="00016B36">
        <w:rPr>
          <w:rFonts w:ascii="Arial" w:hAnsi="Arial" w:cs="Arial"/>
          <w:sz w:val="24"/>
          <w:szCs w:val="24"/>
        </w:rPr>
        <w:t>1ª Vara Criminal da Comarca de Anápolis</w:t>
      </w:r>
      <w:r w:rsidR="00DF72AE" w:rsidRPr="00016B36">
        <w:rPr>
          <w:rFonts w:ascii="Arial" w:hAnsi="Arial" w:cs="Arial"/>
          <w:spacing w:val="2"/>
          <w:sz w:val="24"/>
          <w:szCs w:val="24"/>
          <w:shd w:val="clear" w:color="auto" w:fill="FFFFFF"/>
        </w:rPr>
        <w:t xml:space="preserve"> TJMS/2011 (BIANCHIN</w:t>
      </w:r>
      <w:r w:rsidR="00DB0F84" w:rsidRPr="00016B36">
        <w:rPr>
          <w:rFonts w:ascii="Arial" w:hAnsi="Arial" w:cs="Arial"/>
          <w:spacing w:val="2"/>
          <w:sz w:val="24"/>
          <w:szCs w:val="24"/>
          <w:shd w:val="clear" w:color="auto" w:fill="FFFFFF"/>
        </w:rPr>
        <w:t xml:space="preserve">I, 2011); </w:t>
      </w:r>
      <w:r w:rsidR="00DB0F84" w:rsidRPr="00016B36">
        <w:rPr>
          <w:rFonts w:ascii="Arial" w:hAnsi="Arial" w:cs="Arial"/>
          <w:sz w:val="24"/>
          <w:szCs w:val="24"/>
        </w:rPr>
        <w:t xml:space="preserve">1ª </w:t>
      </w:r>
      <w:r w:rsidR="0034435C" w:rsidRPr="00016B36">
        <w:rPr>
          <w:rFonts w:ascii="Arial" w:hAnsi="Arial" w:cs="Arial"/>
          <w:sz w:val="24"/>
          <w:szCs w:val="24"/>
        </w:rPr>
        <w:t>Turma Criminal Recurso em Sentido Estrito</w:t>
      </w:r>
      <w:r w:rsidR="00DB0F84" w:rsidRPr="00016B36">
        <w:rPr>
          <w:rFonts w:ascii="Arial" w:hAnsi="Arial" w:cs="Arial"/>
          <w:sz w:val="24"/>
          <w:szCs w:val="24"/>
        </w:rPr>
        <w:t xml:space="preserve"> 20171610076127RSE (0006926-72.2017.8.07.0020) - TJDF/2017</w:t>
      </w:r>
      <w:r w:rsidR="00DF72AE" w:rsidRPr="00016B36">
        <w:rPr>
          <w:rFonts w:ascii="Arial" w:hAnsi="Arial" w:cs="Arial"/>
          <w:spacing w:val="2"/>
          <w:sz w:val="24"/>
          <w:szCs w:val="24"/>
          <w:shd w:val="clear" w:color="auto" w:fill="FFFFFF"/>
        </w:rPr>
        <w:t xml:space="preserve">) </w:t>
      </w:r>
    </w:p>
    <w:p w:rsidR="00DE6734" w:rsidRPr="00016B36" w:rsidRDefault="00DE6734">
      <w:pPr>
        <w:spacing w:after="0" w:line="360" w:lineRule="auto"/>
        <w:ind w:firstLine="709"/>
        <w:contextualSpacing/>
        <w:jc w:val="both"/>
        <w:rPr>
          <w:rFonts w:ascii="Arial" w:hAnsi="Arial" w:cs="Arial"/>
          <w:sz w:val="24"/>
          <w:szCs w:val="24"/>
        </w:rPr>
      </w:pPr>
    </w:p>
    <w:p w:rsidR="00DE6734" w:rsidRPr="00016B36" w:rsidRDefault="000B17DA">
      <w:pPr>
        <w:rPr>
          <w:rFonts w:ascii="Arial" w:hAnsi="Arial" w:cs="Arial"/>
          <w:b/>
          <w:sz w:val="24"/>
          <w:szCs w:val="24"/>
        </w:rPr>
      </w:pPr>
      <w:r w:rsidRPr="00016B36">
        <w:rPr>
          <w:rFonts w:ascii="Arial" w:hAnsi="Arial" w:cs="Arial"/>
          <w:b/>
          <w:sz w:val="24"/>
          <w:szCs w:val="24"/>
        </w:rPr>
        <w:lastRenderedPageBreak/>
        <w:t>3 Quando o agressor é protegido pelo ECA</w:t>
      </w:r>
    </w:p>
    <w:p w:rsidR="00DE6734" w:rsidRPr="00016B36" w:rsidRDefault="00DE6734">
      <w:pPr>
        <w:rPr>
          <w:rFonts w:ascii="Arial" w:hAnsi="Arial" w:cs="Arial"/>
          <w:sz w:val="24"/>
          <w:szCs w:val="24"/>
        </w:rPr>
      </w:pPr>
    </w:p>
    <w:p w:rsidR="00DE6734" w:rsidRPr="00016B36" w:rsidRDefault="000B17DA">
      <w:pPr>
        <w:spacing w:after="0" w:line="360" w:lineRule="auto"/>
        <w:ind w:firstLine="709"/>
        <w:contextualSpacing/>
        <w:jc w:val="both"/>
        <w:rPr>
          <w:rFonts w:ascii="Arial" w:hAnsi="Arial" w:cs="Arial"/>
          <w:sz w:val="24"/>
          <w:szCs w:val="24"/>
        </w:rPr>
      </w:pPr>
      <w:r w:rsidRPr="00016B36">
        <w:rPr>
          <w:rFonts w:ascii="Arial" w:hAnsi="Arial" w:cs="Arial"/>
          <w:sz w:val="24"/>
          <w:szCs w:val="24"/>
        </w:rPr>
        <w:t>Ao perceber que o agressor é uma adolescente abre-se a possibilidade de pensar um conflito normativo, no que tange a Lei Maria da Penha e o Estatuto da Criança e do Adolescente, e na relação entre a</w:t>
      </w:r>
      <w:r w:rsidR="0034435C" w:rsidRPr="00016B36">
        <w:rPr>
          <w:rFonts w:ascii="Arial" w:hAnsi="Arial" w:cs="Arial"/>
          <w:sz w:val="24"/>
          <w:szCs w:val="24"/>
        </w:rPr>
        <w:t xml:space="preserve"> vítima e agressor. A Lei</w:t>
      </w:r>
      <w:r w:rsidRPr="00016B36">
        <w:rPr>
          <w:rFonts w:ascii="Arial" w:hAnsi="Arial" w:cs="Arial"/>
          <w:sz w:val="24"/>
          <w:szCs w:val="24"/>
        </w:rPr>
        <w:t xml:space="preserve"> 8.069/90 é um diploma legal que visa tratar os indivíduos menores de 18 anos, idade que é considerada pelo ordenamento jurídico como maioridade civil e penal. A inserção do ECA no ordenamento legislativo brasileiro, é resultado da assinatura do Estado na Convenção sobre os Direitos da Criança, ocorrida em Assembleia Geral das Nações Unidas em 1989. </w:t>
      </w:r>
    </w:p>
    <w:p w:rsidR="00C708FC" w:rsidRPr="00016B36" w:rsidRDefault="00C708FC" w:rsidP="00C708FC">
      <w:pPr>
        <w:spacing w:after="0" w:line="360" w:lineRule="auto"/>
        <w:ind w:firstLine="709"/>
        <w:contextualSpacing/>
        <w:jc w:val="both"/>
        <w:rPr>
          <w:rFonts w:ascii="Arial" w:hAnsi="Arial" w:cs="Arial"/>
          <w:sz w:val="24"/>
          <w:szCs w:val="24"/>
        </w:rPr>
      </w:pPr>
      <w:r w:rsidRPr="00016B36">
        <w:rPr>
          <w:rFonts w:ascii="Arial" w:hAnsi="Arial" w:cs="Arial"/>
          <w:sz w:val="24"/>
          <w:szCs w:val="24"/>
        </w:rPr>
        <w:t>Dessa forma, o Estatuto passou a ser considerado um avanço no que tange a elaboração de termos como criança e adolescente, tendo em vista a diferenciação de ordenamentos legislativos anteriores que tratavam a criança e o adolescente como menor. Assim, o ECA passou a diferenciar no artigo 2, o indivíduo que é considerando como criança até os 12 anos incompletos, e será adolescente aquele que tiver entre os 12 e 18 anos.</w:t>
      </w:r>
    </w:p>
    <w:p w:rsidR="00C708FC" w:rsidRPr="00016B36" w:rsidRDefault="00C708FC" w:rsidP="00C708FC">
      <w:pPr>
        <w:spacing w:after="0" w:line="360" w:lineRule="auto"/>
        <w:ind w:firstLine="709"/>
        <w:contextualSpacing/>
        <w:jc w:val="both"/>
        <w:rPr>
          <w:rFonts w:ascii="Arial" w:hAnsi="Arial" w:cs="Arial"/>
          <w:sz w:val="24"/>
          <w:szCs w:val="24"/>
          <w:shd w:val="clear" w:color="auto" w:fill="FFFFFF"/>
        </w:rPr>
      </w:pPr>
      <w:r w:rsidRPr="00016B36">
        <w:rPr>
          <w:rFonts w:ascii="Arial" w:hAnsi="Arial" w:cs="Arial"/>
          <w:sz w:val="24"/>
          <w:szCs w:val="24"/>
        </w:rPr>
        <w:t xml:space="preserve">Ao mesmo tempo em que a legislação vem a proteger as crianças e os adolescentes, dando garantias e liberdade de pleno desenvolvimento, o legislador trouxe a contrapartida, ao perceber a necessidade de responsabilizar o menor (art. 103, Lei 8.069/1990). Ao propor a responsabilidade o artigo trouxe semelhanças com o Código Penal, visto que passou a considerar “ato infracional a conduta descrita como crime ou contravenção penal” do referido artigo. </w:t>
      </w:r>
    </w:p>
    <w:p w:rsidR="00C708FC" w:rsidRPr="00016B36" w:rsidRDefault="00C708FC" w:rsidP="00C708FC">
      <w:pPr>
        <w:spacing w:after="0" w:line="360" w:lineRule="auto"/>
        <w:ind w:firstLine="709"/>
        <w:contextualSpacing/>
        <w:jc w:val="both"/>
        <w:rPr>
          <w:rFonts w:ascii="Arial" w:hAnsi="Arial" w:cs="Arial"/>
          <w:sz w:val="24"/>
          <w:szCs w:val="24"/>
        </w:rPr>
      </w:pPr>
      <w:r w:rsidRPr="00016B36">
        <w:rPr>
          <w:rFonts w:ascii="Arial" w:hAnsi="Arial" w:cs="Arial"/>
          <w:sz w:val="24"/>
          <w:szCs w:val="24"/>
          <w:shd w:val="clear" w:color="auto" w:fill="FFFFFF"/>
        </w:rPr>
        <w:t>Dessa forma, o mesmo legislador trouxe uma distinção entre crime e ato infracional. Essa diferenciação reside no agente que comete a infração legal. Nesse sentido, Bordigon (2009) compreende que trata inimputabilidade do adolescente, não desconsidera que o ato de infração seja inimputável, visto que o desvio legal foi consolidado com execução do ato infracional.</w:t>
      </w:r>
      <w:r w:rsidRPr="00016B36">
        <w:rPr>
          <w:rFonts w:ascii="Arial" w:hAnsi="Arial" w:cs="Arial"/>
          <w:sz w:val="24"/>
          <w:szCs w:val="24"/>
        </w:rPr>
        <w:t xml:space="preserve"> O entendimento do autor reside na legislação que também estabelece responsabilidade do adolescente para práticas que discordem de todo um ordenamento jurídico penal </w:t>
      </w:r>
      <w:r w:rsidRPr="00016B36">
        <w:rPr>
          <w:rFonts w:ascii="Arial" w:hAnsi="Arial" w:cs="Arial"/>
          <w:sz w:val="24"/>
          <w:szCs w:val="24"/>
          <w:shd w:val="clear" w:color="auto" w:fill="FFFFFF"/>
        </w:rPr>
        <w:t>(art. 103 e 104, Lei 8.069/1990)</w:t>
      </w:r>
      <w:r w:rsidRPr="00016B36">
        <w:rPr>
          <w:rFonts w:ascii="Arial" w:hAnsi="Arial" w:cs="Arial"/>
          <w:sz w:val="24"/>
          <w:szCs w:val="24"/>
        </w:rPr>
        <w:t xml:space="preserve">. Para Fonseca (2012) os indivíduos protegidos pelo ECA, quando praticantes de ato infracional, não devem ser tratados da mesma forma pela legislação penal, mas sim respaldado pela Lei 8.069/1990. </w:t>
      </w:r>
    </w:p>
    <w:p w:rsidR="00C708FC" w:rsidRPr="00016B36" w:rsidRDefault="00C708FC" w:rsidP="00C708FC">
      <w:pPr>
        <w:spacing w:after="0" w:line="360" w:lineRule="auto"/>
        <w:ind w:firstLine="709"/>
        <w:contextualSpacing/>
        <w:jc w:val="both"/>
        <w:rPr>
          <w:rFonts w:ascii="Arial" w:hAnsi="Arial" w:cs="Arial"/>
          <w:sz w:val="24"/>
          <w:szCs w:val="24"/>
        </w:rPr>
      </w:pPr>
      <w:r w:rsidRPr="00016B36">
        <w:rPr>
          <w:rFonts w:ascii="Arial" w:hAnsi="Arial" w:cs="Arial"/>
          <w:sz w:val="24"/>
          <w:szCs w:val="24"/>
        </w:rPr>
        <w:lastRenderedPageBreak/>
        <w:t xml:space="preserve">O posicionamento do autor reside na existência do Estatuto da Criança e Adolescente que difere dos Códigos, Penal, Processual Penal e demais legislações especiais penais (FONSECA, 2012). Contudo, o argumento do autor não só na diferença entra as legislações, mas também pela própria Constituição Federal que assegurou a criança e adolescente, responsabilizando o Estado, a família e a sociedade (art. 227, CF/1988). Ao mesmo tempo, a própria Carta Magna estabeleceu a inimputabilidade dos menores de dezoito anos (art. 228, CF/1988), e trouxe para a legislação especial a responsabilidade de normatizar a conduta da criança e do adolescente. </w:t>
      </w:r>
    </w:p>
    <w:p w:rsidR="00C708FC" w:rsidRPr="00016B36" w:rsidRDefault="00C708FC" w:rsidP="00C708FC">
      <w:pPr>
        <w:spacing w:after="0" w:line="360" w:lineRule="auto"/>
        <w:ind w:firstLine="709"/>
        <w:contextualSpacing/>
        <w:jc w:val="both"/>
        <w:rPr>
          <w:rFonts w:ascii="Arial" w:hAnsi="Arial" w:cs="Arial"/>
          <w:sz w:val="24"/>
          <w:szCs w:val="24"/>
        </w:rPr>
      </w:pPr>
    </w:p>
    <w:p w:rsidR="00C708FC" w:rsidRPr="00016B36" w:rsidRDefault="00C708FC" w:rsidP="00C708FC">
      <w:pPr>
        <w:spacing w:after="0" w:line="360" w:lineRule="auto"/>
        <w:contextualSpacing/>
        <w:rPr>
          <w:rFonts w:ascii="Arial" w:hAnsi="Arial" w:cs="Arial"/>
          <w:b/>
          <w:sz w:val="24"/>
          <w:szCs w:val="24"/>
        </w:rPr>
      </w:pPr>
      <w:r w:rsidRPr="00016B36">
        <w:rPr>
          <w:rFonts w:ascii="Arial" w:hAnsi="Arial" w:cs="Arial"/>
          <w:b/>
          <w:sz w:val="24"/>
          <w:szCs w:val="24"/>
        </w:rPr>
        <w:t xml:space="preserve">3.1 A legislação aplicada: entre o ECA e Lei Maria da Penha </w:t>
      </w:r>
    </w:p>
    <w:p w:rsidR="00C708FC" w:rsidRPr="00016B36" w:rsidRDefault="00C708FC" w:rsidP="00C708FC">
      <w:pPr>
        <w:spacing w:after="0" w:line="360" w:lineRule="auto"/>
        <w:contextualSpacing/>
        <w:rPr>
          <w:rFonts w:ascii="Arial" w:hAnsi="Arial" w:cs="Arial"/>
          <w:sz w:val="24"/>
          <w:szCs w:val="24"/>
        </w:rPr>
      </w:pPr>
    </w:p>
    <w:p w:rsidR="00C708FC" w:rsidRPr="00016B36" w:rsidRDefault="00C708FC" w:rsidP="00C708FC">
      <w:pPr>
        <w:spacing w:after="0" w:line="360" w:lineRule="auto"/>
        <w:ind w:firstLine="709"/>
        <w:contextualSpacing/>
        <w:jc w:val="both"/>
        <w:rPr>
          <w:rFonts w:ascii="Arial" w:hAnsi="Arial" w:cs="Arial"/>
          <w:sz w:val="24"/>
          <w:szCs w:val="24"/>
        </w:rPr>
      </w:pPr>
      <w:r w:rsidRPr="00016B36">
        <w:rPr>
          <w:rFonts w:ascii="Arial" w:hAnsi="Arial" w:cs="Arial"/>
          <w:sz w:val="24"/>
          <w:szCs w:val="24"/>
        </w:rPr>
        <w:t xml:space="preserve">Ao perceber a violência doméstica e familiar contra a mulher sendo praticada por um adolescente, percebemos a existência de um conflito normativo, por duas legislações de grande relevância para o ordenamento jurídico atual. De um lado uma legislação aplicada como forma de proteger a vítima e reparar o dano sofrido, e do outro uma legislação que também protege o agressor. Assim, é possível perceber que um dos conflitos entre as normas está na proteção que as mesmas oferecem a mulher e a criança e ao adolescente. </w:t>
      </w:r>
    </w:p>
    <w:p w:rsidR="00C708FC" w:rsidRPr="00016B36" w:rsidRDefault="00C708FC" w:rsidP="00C708FC">
      <w:pPr>
        <w:spacing w:after="0" w:line="360" w:lineRule="auto"/>
        <w:ind w:firstLine="709"/>
        <w:contextualSpacing/>
        <w:jc w:val="both"/>
        <w:rPr>
          <w:rFonts w:ascii="Arial" w:hAnsi="Arial" w:cs="Arial"/>
          <w:sz w:val="24"/>
          <w:szCs w:val="24"/>
        </w:rPr>
      </w:pPr>
      <w:r w:rsidRPr="00016B36">
        <w:rPr>
          <w:rFonts w:ascii="Arial" w:hAnsi="Arial" w:cs="Arial"/>
          <w:sz w:val="24"/>
          <w:szCs w:val="24"/>
        </w:rPr>
        <w:t xml:space="preserve">A proteção legislativa se refere a sujeitos diferentes, reside também em proteções distintas para estes sujeitos. A Lei Maria da Penha protege a mulher que esteja em situação de violência, acontecendo pelas diversas formas já esplanadas, além de responsabilizar o agressor (DIAS, 2007; LIMA, 2014; SILVA, 2017; ALVES &amp; OLIVEIRA, 2017). A lei, também, protege a condição de gênero que em muitas das vezes encontra-se subalternizada nas relações sociais, reforçadas diariamente pela construção sócio-histórica da opressão do homem sobre a mulher (ALVES &amp; OLIVEIRA, 2017; RODRIGUES, 2017). </w:t>
      </w:r>
    </w:p>
    <w:p w:rsidR="00C708FC" w:rsidRPr="00016B36" w:rsidRDefault="00C708FC" w:rsidP="00C708FC">
      <w:pPr>
        <w:spacing w:after="0" w:line="360" w:lineRule="auto"/>
        <w:ind w:firstLine="709"/>
        <w:contextualSpacing/>
        <w:jc w:val="both"/>
        <w:rPr>
          <w:rFonts w:ascii="Arial" w:hAnsi="Arial" w:cs="Arial"/>
          <w:sz w:val="24"/>
          <w:szCs w:val="24"/>
        </w:rPr>
      </w:pPr>
      <w:r w:rsidRPr="00016B36">
        <w:rPr>
          <w:rFonts w:ascii="Arial" w:hAnsi="Arial" w:cs="Arial"/>
          <w:sz w:val="24"/>
          <w:szCs w:val="24"/>
        </w:rPr>
        <w:t xml:space="preserve">Já a Lei 8.069/1990 protege criança e o adolescente, visto que a própria Constituição coloca o Estado como responsável, possibilitando meios para garantir a criança e o adolescente no período inicial, uma formação e desenvolvimento intelectual para a vida adulta. Fonseca (2012) destaca que a proteção do Estado para com a criança e o adolescente é integral, e que dessa forma não atingiria a mulher. </w:t>
      </w:r>
    </w:p>
    <w:p w:rsidR="00C708FC" w:rsidRPr="00016B36" w:rsidRDefault="00C708FC" w:rsidP="00C708FC">
      <w:pPr>
        <w:spacing w:after="0" w:line="360" w:lineRule="auto"/>
        <w:ind w:firstLine="709"/>
        <w:contextualSpacing/>
        <w:jc w:val="both"/>
        <w:rPr>
          <w:rFonts w:ascii="Arial" w:hAnsi="Arial" w:cs="Arial"/>
          <w:sz w:val="24"/>
          <w:szCs w:val="24"/>
        </w:rPr>
      </w:pPr>
      <w:r w:rsidRPr="00016B36">
        <w:rPr>
          <w:rFonts w:ascii="Arial" w:hAnsi="Arial" w:cs="Arial"/>
          <w:sz w:val="24"/>
          <w:szCs w:val="24"/>
        </w:rPr>
        <w:lastRenderedPageBreak/>
        <w:t xml:space="preserve"> </w:t>
      </w:r>
    </w:p>
    <w:p w:rsidR="00C708FC" w:rsidRPr="00016B36" w:rsidRDefault="00C708FC" w:rsidP="00C708FC">
      <w:pPr>
        <w:spacing w:after="0" w:line="360" w:lineRule="auto"/>
        <w:ind w:firstLine="709"/>
        <w:contextualSpacing/>
        <w:jc w:val="both"/>
        <w:rPr>
          <w:rFonts w:ascii="Arial" w:hAnsi="Arial" w:cs="Arial"/>
          <w:sz w:val="24"/>
          <w:szCs w:val="24"/>
        </w:rPr>
      </w:pPr>
    </w:p>
    <w:p w:rsidR="00C708FC" w:rsidRPr="00016B36" w:rsidRDefault="00C708FC" w:rsidP="00C708FC">
      <w:pPr>
        <w:spacing w:after="0" w:line="240" w:lineRule="auto"/>
        <w:ind w:left="2268"/>
        <w:contextualSpacing/>
        <w:jc w:val="both"/>
        <w:rPr>
          <w:rFonts w:ascii="Arial" w:hAnsi="Arial" w:cs="Arial"/>
        </w:rPr>
      </w:pPr>
      <w:r w:rsidRPr="00016B36">
        <w:rPr>
          <w:rFonts w:ascii="Arial" w:hAnsi="Arial" w:cs="Arial"/>
        </w:rPr>
        <w:t>A criança e o adolescente detêm como princípio para sua vida o sistema de proteção integral, que não atinge a mulher. No caso de adolescentes infratores, nem mesmo no campo das medidas protetivas de urgência à mulher poder-se-ia cogitar da aplicação da Lei Maria da Penha, uma vez que o ato infracional sempre será crime ou contravenção (art. 103, ECA), e, como sustentamos, para estes o Estatuto traz medidas mais do que suﬁcientes para estancar eventual mau comportamento do adolescente, seja na área cível ou penal. (FONSECA p. 48, 2012)</w:t>
      </w:r>
    </w:p>
    <w:p w:rsidR="00C708FC" w:rsidRPr="00016B36" w:rsidRDefault="00C708FC" w:rsidP="00C708FC">
      <w:pPr>
        <w:spacing w:after="0" w:line="360" w:lineRule="auto"/>
        <w:contextualSpacing/>
        <w:rPr>
          <w:rFonts w:ascii="Arial" w:hAnsi="Arial" w:cs="Arial"/>
          <w:sz w:val="24"/>
          <w:szCs w:val="24"/>
        </w:rPr>
      </w:pPr>
    </w:p>
    <w:p w:rsidR="00C708FC" w:rsidRPr="00016B36" w:rsidRDefault="00C708FC" w:rsidP="00C708FC">
      <w:pPr>
        <w:spacing w:after="0" w:line="360" w:lineRule="auto"/>
        <w:contextualSpacing/>
        <w:rPr>
          <w:rFonts w:ascii="Arial" w:hAnsi="Arial" w:cs="Arial"/>
          <w:sz w:val="24"/>
          <w:szCs w:val="24"/>
        </w:rPr>
      </w:pPr>
    </w:p>
    <w:p w:rsidR="00C708FC" w:rsidRPr="00016B36" w:rsidRDefault="00C708FC" w:rsidP="00C708FC">
      <w:pPr>
        <w:spacing w:after="0" w:line="360" w:lineRule="auto"/>
        <w:ind w:firstLine="709"/>
        <w:contextualSpacing/>
        <w:jc w:val="both"/>
        <w:rPr>
          <w:rFonts w:ascii="Arial" w:hAnsi="Arial" w:cs="Arial"/>
          <w:sz w:val="24"/>
          <w:szCs w:val="24"/>
        </w:rPr>
      </w:pPr>
      <w:r w:rsidRPr="00016B36">
        <w:rPr>
          <w:rFonts w:ascii="Arial" w:hAnsi="Arial" w:cs="Arial"/>
          <w:sz w:val="24"/>
          <w:szCs w:val="24"/>
        </w:rPr>
        <w:t>O entendimento do autor se esbarra na condição inicial de vida da criança e do adolescente, e também no entendimento de que o Estatuto da Criança e do Adolescente está avançado em detrimento a Lei Maria da Penha (FONSECA, 2012). Contudo, apesar de pontuar o avanço Fonseca destaca que as medidas protetivas na Lei Maria da Penha tem semelhanças com o Estatuto da Criança e do Adolescente, é esta norma que deve ser aplicada no caso do adolescente que comete ato infracional promove formas de violência contra a mulher (BORDIGON, 2009; FONSECA, 2012). Além disso, é possível perceber que o ECA deve ser aplicada nesse caso, tendo em vista a competência jurisdicional que juízo tem sobre o agente.</w:t>
      </w:r>
    </w:p>
    <w:p w:rsidR="00DE6734" w:rsidRPr="00016B36" w:rsidRDefault="00DE6734">
      <w:pPr>
        <w:spacing w:after="0" w:line="360" w:lineRule="auto"/>
        <w:ind w:firstLine="709"/>
        <w:contextualSpacing/>
        <w:jc w:val="both"/>
        <w:rPr>
          <w:rFonts w:ascii="Arial" w:hAnsi="Arial" w:cs="Arial"/>
          <w:sz w:val="24"/>
          <w:szCs w:val="24"/>
        </w:rPr>
      </w:pPr>
    </w:p>
    <w:p w:rsidR="00DE6734" w:rsidRPr="00016B36" w:rsidRDefault="00DE6734">
      <w:pPr>
        <w:spacing w:after="0" w:line="360" w:lineRule="auto"/>
        <w:contextualSpacing/>
        <w:rPr>
          <w:rFonts w:ascii="Arial" w:hAnsi="Arial" w:cs="Arial"/>
          <w:b/>
          <w:sz w:val="24"/>
          <w:szCs w:val="24"/>
        </w:rPr>
      </w:pPr>
    </w:p>
    <w:p w:rsidR="00DE6734" w:rsidRPr="00016B36" w:rsidRDefault="000B17DA">
      <w:pPr>
        <w:spacing w:after="0" w:line="360" w:lineRule="auto"/>
        <w:contextualSpacing/>
        <w:rPr>
          <w:rFonts w:ascii="Arial" w:hAnsi="Arial" w:cs="Arial"/>
          <w:b/>
          <w:sz w:val="24"/>
          <w:szCs w:val="24"/>
        </w:rPr>
      </w:pPr>
      <w:r w:rsidRPr="00016B36">
        <w:rPr>
          <w:rFonts w:ascii="Arial" w:hAnsi="Arial" w:cs="Arial"/>
          <w:b/>
          <w:sz w:val="24"/>
          <w:szCs w:val="24"/>
        </w:rPr>
        <w:t>4 RESULTADOS E DISCUSSÃO</w:t>
      </w:r>
    </w:p>
    <w:p w:rsidR="00DE6734" w:rsidRPr="00016B36" w:rsidRDefault="00DE6734">
      <w:pPr>
        <w:spacing w:after="0" w:line="360" w:lineRule="auto"/>
        <w:contextualSpacing/>
        <w:rPr>
          <w:rFonts w:ascii="Arial" w:hAnsi="Arial" w:cs="Arial"/>
          <w:sz w:val="24"/>
          <w:szCs w:val="24"/>
        </w:rPr>
      </w:pPr>
    </w:p>
    <w:p w:rsidR="00DE6734" w:rsidRPr="00016B36" w:rsidRDefault="000B17DA">
      <w:pPr>
        <w:spacing w:after="0" w:line="360" w:lineRule="auto"/>
        <w:ind w:firstLine="709"/>
        <w:contextualSpacing/>
        <w:jc w:val="both"/>
        <w:rPr>
          <w:rFonts w:ascii="Arial" w:hAnsi="Arial" w:cs="Arial"/>
          <w:sz w:val="24"/>
          <w:szCs w:val="24"/>
        </w:rPr>
      </w:pPr>
      <w:r w:rsidRPr="00016B36">
        <w:rPr>
          <w:rFonts w:ascii="Arial" w:hAnsi="Arial" w:cs="Arial"/>
          <w:sz w:val="24"/>
          <w:szCs w:val="24"/>
        </w:rPr>
        <w:t>A pesquisa foi realizada na Vara da Infância e Juventude da comarca de Campina Grande – PB. Desse modo, foi realizada a pesquisa nas sentenças da respectiva Vara, na qual gerou um seguinte resultado: dentro 40 sentenças pesquisadas,</w:t>
      </w:r>
      <w:r w:rsidR="00E72DDA" w:rsidRPr="00016B36">
        <w:rPr>
          <w:rFonts w:ascii="Arial" w:hAnsi="Arial" w:cs="Arial"/>
          <w:sz w:val="24"/>
          <w:szCs w:val="24"/>
        </w:rPr>
        <w:t xml:space="preserve"> </w:t>
      </w:r>
      <w:r w:rsidRPr="00016B36">
        <w:rPr>
          <w:rFonts w:ascii="Arial" w:hAnsi="Arial" w:cs="Arial"/>
          <w:sz w:val="24"/>
          <w:szCs w:val="24"/>
        </w:rPr>
        <w:t xml:space="preserve">nas quais 2 foram encontradas ato infracional semelhante a lesão corporal no ambiente doméstico e familiar. As duas amostras, em alguns aspectos se assemelham, as infrações foram cometidas por adolescente do sexo feminino, bem como em desfavor as suas respectivas genitoras. Assim passamos a expor detalhadamente os dois casos: </w:t>
      </w:r>
    </w:p>
    <w:p w:rsidR="00DE6734" w:rsidRPr="00016B36" w:rsidRDefault="00DE6734">
      <w:pPr>
        <w:spacing w:after="0" w:line="360" w:lineRule="auto"/>
        <w:contextualSpacing/>
        <w:jc w:val="both"/>
        <w:rPr>
          <w:rFonts w:ascii="Arial" w:hAnsi="Arial" w:cs="Arial"/>
          <w:sz w:val="24"/>
          <w:szCs w:val="24"/>
        </w:rPr>
      </w:pPr>
    </w:p>
    <w:p w:rsidR="00DE6734" w:rsidRPr="00016B36" w:rsidRDefault="000B17DA">
      <w:pPr>
        <w:spacing w:after="0" w:line="360" w:lineRule="auto"/>
        <w:ind w:firstLine="709"/>
        <w:contextualSpacing/>
        <w:jc w:val="both"/>
        <w:rPr>
          <w:rFonts w:ascii="Arial" w:hAnsi="Arial" w:cs="Arial"/>
          <w:b/>
          <w:sz w:val="24"/>
          <w:szCs w:val="24"/>
        </w:rPr>
      </w:pPr>
      <w:r w:rsidRPr="00016B36">
        <w:rPr>
          <w:rFonts w:ascii="Arial" w:hAnsi="Arial" w:cs="Arial"/>
          <w:b/>
          <w:sz w:val="24"/>
          <w:szCs w:val="24"/>
        </w:rPr>
        <w:t xml:space="preserve">1º Caso: </w:t>
      </w:r>
    </w:p>
    <w:p w:rsidR="00DE6734" w:rsidRPr="00016B36" w:rsidRDefault="000B17DA">
      <w:pPr>
        <w:spacing w:after="0" w:line="360" w:lineRule="auto"/>
        <w:ind w:firstLine="709"/>
        <w:contextualSpacing/>
        <w:jc w:val="both"/>
        <w:rPr>
          <w:rFonts w:ascii="Arial" w:hAnsi="Arial" w:cs="Arial"/>
          <w:sz w:val="24"/>
          <w:szCs w:val="24"/>
        </w:rPr>
      </w:pPr>
      <w:r w:rsidRPr="00016B36">
        <w:rPr>
          <w:rFonts w:ascii="Arial" w:hAnsi="Arial" w:cs="Arial"/>
          <w:b/>
          <w:sz w:val="24"/>
          <w:szCs w:val="24"/>
        </w:rPr>
        <w:lastRenderedPageBreak/>
        <w:t>Infração:</w:t>
      </w:r>
      <w:r w:rsidRPr="00016B36">
        <w:rPr>
          <w:rFonts w:ascii="Arial" w:hAnsi="Arial" w:cs="Arial"/>
          <w:sz w:val="24"/>
          <w:szCs w:val="24"/>
        </w:rPr>
        <w:t xml:space="preserve"> lesão corporal no âmbito violência doméstica;</w:t>
      </w:r>
    </w:p>
    <w:p w:rsidR="00DE6734" w:rsidRPr="00016B36" w:rsidRDefault="000B17DA">
      <w:pPr>
        <w:spacing w:after="0" w:line="360" w:lineRule="auto"/>
        <w:ind w:firstLine="709"/>
        <w:contextualSpacing/>
        <w:jc w:val="both"/>
        <w:rPr>
          <w:rFonts w:ascii="Arial" w:hAnsi="Arial" w:cs="Arial"/>
          <w:sz w:val="24"/>
          <w:szCs w:val="24"/>
        </w:rPr>
      </w:pPr>
      <w:r w:rsidRPr="00016B36">
        <w:rPr>
          <w:rFonts w:ascii="Arial" w:hAnsi="Arial" w:cs="Arial"/>
          <w:b/>
          <w:sz w:val="24"/>
          <w:szCs w:val="24"/>
        </w:rPr>
        <w:t>Infrator:</w:t>
      </w:r>
      <w:r w:rsidRPr="00016B36">
        <w:rPr>
          <w:rFonts w:ascii="Arial" w:hAnsi="Arial" w:cs="Arial"/>
          <w:sz w:val="24"/>
          <w:szCs w:val="24"/>
        </w:rPr>
        <w:t xml:space="preserve"> adolescente com idade de 15 anos;</w:t>
      </w:r>
    </w:p>
    <w:p w:rsidR="00DE6734" w:rsidRPr="00016B36" w:rsidRDefault="000B17DA">
      <w:pPr>
        <w:spacing w:after="0" w:line="360" w:lineRule="auto"/>
        <w:ind w:firstLine="709"/>
        <w:contextualSpacing/>
        <w:jc w:val="both"/>
        <w:rPr>
          <w:rFonts w:ascii="Arial" w:hAnsi="Arial" w:cs="Arial"/>
          <w:sz w:val="24"/>
          <w:szCs w:val="24"/>
        </w:rPr>
      </w:pPr>
      <w:r w:rsidRPr="00016B36">
        <w:rPr>
          <w:rFonts w:ascii="Arial" w:hAnsi="Arial" w:cs="Arial"/>
          <w:b/>
          <w:sz w:val="24"/>
          <w:szCs w:val="24"/>
        </w:rPr>
        <w:t>Vítima:</w:t>
      </w:r>
      <w:r w:rsidRPr="00016B36">
        <w:rPr>
          <w:rFonts w:ascii="Arial" w:hAnsi="Arial" w:cs="Arial"/>
          <w:sz w:val="24"/>
          <w:szCs w:val="24"/>
        </w:rPr>
        <w:t xml:space="preserve"> mãe</w:t>
      </w:r>
    </w:p>
    <w:p w:rsidR="00DE6734" w:rsidRPr="00016B36" w:rsidRDefault="000B17DA">
      <w:pPr>
        <w:spacing w:after="0" w:line="360" w:lineRule="auto"/>
        <w:ind w:firstLine="709"/>
        <w:contextualSpacing/>
        <w:jc w:val="both"/>
        <w:rPr>
          <w:rFonts w:ascii="Arial" w:hAnsi="Arial" w:cs="Arial"/>
          <w:sz w:val="24"/>
          <w:szCs w:val="24"/>
        </w:rPr>
      </w:pPr>
      <w:r w:rsidRPr="00016B36">
        <w:rPr>
          <w:rFonts w:ascii="Arial" w:hAnsi="Arial" w:cs="Arial"/>
          <w:b/>
          <w:sz w:val="24"/>
          <w:szCs w:val="24"/>
        </w:rPr>
        <w:t>Fatos:</w:t>
      </w:r>
      <w:r w:rsidRPr="00016B36">
        <w:rPr>
          <w:rFonts w:ascii="Arial" w:hAnsi="Arial" w:cs="Arial"/>
          <w:sz w:val="24"/>
          <w:szCs w:val="24"/>
        </w:rPr>
        <w:t xml:space="preserve"> Agrediu sua a genitora chegando a lesioná-la sua genitora. Uma certa manhã iniciou-se uma discussão, e chegou a agredi-la, tendo inclusive pego uma faca para ameaça-la. Uma vizinha chegou e pediu para que soltasse a faca, mas começou a agredir com unhada, só largando quando seu irmão lhe deu um soco no seu nariz, ato infracional similar ao que amolda ao tipo penal descrito no art. 129, parágrafo 9º do Código Penal. </w:t>
      </w:r>
    </w:p>
    <w:p w:rsidR="00DE6734" w:rsidRPr="00016B36" w:rsidRDefault="000B17DA">
      <w:pPr>
        <w:spacing w:after="0" w:line="360" w:lineRule="auto"/>
        <w:ind w:firstLine="709"/>
        <w:contextualSpacing/>
        <w:jc w:val="both"/>
        <w:rPr>
          <w:rFonts w:ascii="Arial" w:hAnsi="Arial" w:cs="Arial"/>
          <w:sz w:val="24"/>
          <w:szCs w:val="24"/>
        </w:rPr>
      </w:pPr>
      <w:r w:rsidRPr="00016B36">
        <w:rPr>
          <w:rFonts w:ascii="Arial" w:hAnsi="Arial" w:cs="Arial"/>
          <w:b/>
          <w:sz w:val="24"/>
          <w:szCs w:val="24"/>
        </w:rPr>
        <w:t>Ministério Público:</w:t>
      </w:r>
      <w:r w:rsidRPr="00016B36">
        <w:rPr>
          <w:rFonts w:ascii="Arial" w:hAnsi="Arial" w:cs="Arial"/>
          <w:sz w:val="24"/>
          <w:szCs w:val="24"/>
        </w:rPr>
        <w:t xml:space="preserve"> A representação atribuiu à infratora a conduta do</w:t>
      </w:r>
      <w:r w:rsidR="00E72DDA" w:rsidRPr="00016B36">
        <w:rPr>
          <w:rFonts w:ascii="Arial" w:hAnsi="Arial" w:cs="Arial"/>
          <w:sz w:val="24"/>
          <w:szCs w:val="24"/>
        </w:rPr>
        <w:t xml:space="preserve"> </w:t>
      </w:r>
      <w:r w:rsidRPr="00016B36">
        <w:rPr>
          <w:rFonts w:ascii="Arial" w:hAnsi="Arial" w:cs="Arial"/>
          <w:sz w:val="24"/>
          <w:szCs w:val="24"/>
        </w:rPr>
        <w:t>ato infracional presumível ao tipo penal descrito no art. 349-A, c/c o art. 14, inciso II do Código Penal. A medida socioeducativa adequada, nos arts. 110 e 111 da Lei 8.069/90. A adolescente cometeu ato infracional similar ao que se amolda ao tipo penal descrito no art. 129 parágrafo 9º do Código Penal;</w:t>
      </w:r>
    </w:p>
    <w:p w:rsidR="00DE6734" w:rsidRPr="00016B36" w:rsidRDefault="00DE6734">
      <w:pPr>
        <w:spacing w:after="0" w:line="360" w:lineRule="auto"/>
        <w:ind w:firstLine="709"/>
        <w:contextualSpacing/>
        <w:jc w:val="both"/>
        <w:rPr>
          <w:rFonts w:ascii="Arial" w:hAnsi="Arial" w:cs="Arial"/>
          <w:sz w:val="24"/>
          <w:szCs w:val="24"/>
        </w:rPr>
      </w:pPr>
    </w:p>
    <w:p w:rsidR="00DE6734" w:rsidRPr="00016B36" w:rsidRDefault="000B17DA">
      <w:pPr>
        <w:spacing w:after="0" w:line="360" w:lineRule="auto"/>
        <w:ind w:firstLine="709"/>
        <w:contextualSpacing/>
        <w:jc w:val="both"/>
        <w:rPr>
          <w:rFonts w:ascii="Arial" w:hAnsi="Arial" w:cs="Arial"/>
          <w:sz w:val="24"/>
          <w:szCs w:val="24"/>
        </w:rPr>
      </w:pPr>
      <w:r w:rsidRPr="00016B36">
        <w:rPr>
          <w:rFonts w:ascii="Arial" w:hAnsi="Arial" w:cs="Arial"/>
          <w:b/>
          <w:sz w:val="24"/>
          <w:szCs w:val="24"/>
        </w:rPr>
        <w:t>Juízo:</w:t>
      </w:r>
      <w:r w:rsidRPr="00016B36">
        <w:rPr>
          <w:rFonts w:ascii="Arial" w:hAnsi="Arial" w:cs="Arial"/>
          <w:sz w:val="24"/>
          <w:szCs w:val="24"/>
        </w:rPr>
        <w:t xml:space="preserve"> Art. 349-A, c/c o art. 14, inciso II do Código Penal, tudo com base no art. 112, III e IV, c/c arts. 117 e 118 do ECA. Será executado pelo CREAS, devendo o programa de atendimento observar as exigências do art. 119 do ECA. Considerando que os atos não geraram graves consequências e que diante da situação pessoal da adolescente verifica-se que ela precisa de um acompanhamento, concedendo-lhe nos termos dos artigos 186, parágrafo 1º, 126 parágrafo único, 127 c/c 117 todos do ECA. </w:t>
      </w:r>
    </w:p>
    <w:p w:rsidR="00DE6734" w:rsidRPr="00016B36" w:rsidRDefault="00DE6734">
      <w:pPr>
        <w:spacing w:after="0" w:line="360" w:lineRule="auto"/>
        <w:contextualSpacing/>
        <w:jc w:val="both"/>
        <w:rPr>
          <w:rFonts w:ascii="Arial" w:hAnsi="Arial" w:cs="Arial"/>
          <w:sz w:val="24"/>
          <w:szCs w:val="24"/>
        </w:rPr>
      </w:pPr>
    </w:p>
    <w:p w:rsidR="00DE6734" w:rsidRPr="00016B36" w:rsidRDefault="000B17DA">
      <w:pPr>
        <w:spacing w:after="0" w:line="360" w:lineRule="auto"/>
        <w:ind w:firstLine="709"/>
        <w:contextualSpacing/>
        <w:jc w:val="both"/>
        <w:rPr>
          <w:rFonts w:ascii="Arial" w:hAnsi="Arial" w:cs="Arial"/>
          <w:b/>
          <w:sz w:val="24"/>
          <w:szCs w:val="24"/>
        </w:rPr>
      </w:pPr>
      <w:r w:rsidRPr="00016B36">
        <w:rPr>
          <w:rFonts w:ascii="Arial" w:hAnsi="Arial" w:cs="Arial"/>
          <w:b/>
          <w:sz w:val="24"/>
          <w:szCs w:val="24"/>
        </w:rPr>
        <w:t xml:space="preserve">2º Caso: </w:t>
      </w:r>
    </w:p>
    <w:p w:rsidR="00DE6734" w:rsidRPr="00016B36" w:rsidRDefault="000B17DA">
      <w:pPr>
        <w:spacing w:after="0" w:line="360" w:lineRule="auto"/>
        <w:ind w:firstLine="709"/>
        <w:contextualSpacing/>
        <w:jc w:val="both"/>
        <w:rPr>
          <w:rFonts w:ascii="Arial" w:hAnsi="Arial" w:cs="Arial"/>
          <w:sz w:val="24"/>
          <w:szCs w:val="24"/>
        </w:rPr>
      </w:pPr>
      <w:r w:rsidRPr="00016B36">
        <w:rPr>
          <w:rFonts w:ascii="Arial" w:hAnsi="Arial" w:cs="Arial"/>
          <w:b/>
          <w:sz w:val="24"/>
          <w:szCs w:val="24"/>
        </w:rPr>
        <w:t>Infração:</w:t>
      </w:r>
      <w:r w:rsidRPr="00016B36">
        <w:rPr>
          <w:rFonts w:ascii="Arial" w:hAnsi="Arial" w:cs="Arial"/>
          <w:sz w:val="24"/>
          <w:szCs w:val="24"/>
        </w:rPr>
        <w:t xml:space="preserve"> lesão corporal no âmbito violência doméstica;</w:t>
      </w:r>
    </w:p>
    <w:p w:rsidR="00DE6734" w:rsidRPr="00016B36" w:rsidRDefault="000B17DA">
      <w:pPr>
        <w:spacing w:after="0" w:line="360" w:lineRule="auto"/>
        <w:ind w:firstLine="709"/>
        <w:contextualSpacing/>
        <w:jc w:val="both"/>
        <w:rPr>
          <w:rFonts w:ascii="Arial" w:hAnsi="Arial" w:cs="Arial"/>
          <w:sz w:val="24"/>
          <w:szCs w:val="24"/>
        </w:rPr>
      </w:pPr>
      <w:r w:rsidRPr="00016B36">
        <w:rPr>
          <w:rFonts w:ascii="Arial" w:hAnsi="Arial" w:cs="Arial"/>
          <w:b/>
          <w:sz w:val="24"/>
          <w:szCs w:val="24"/>
        </w:rPr>
        <w:t xml:space="preserve">Infrator: </w:t>
      </w:r>
      <w:r w:rsidRPr="00016B36">
        <w:rPr>
          <w:rFonts w:ascii="Arial" w:hAnsi="Arial" w:cs="Arial"/>
          <w:sz w:val="24"/>
          <w:szCs w:val="24"/>
        </w:rPr>
        <w:t>adolescente com idade de 14 anos;</w:t>
      </w:r>
    </w:p>
    <w:p w:rsidR="00DE6734" w:rsidRPr="00016B36" w:rsidRDefault="000B17DA">
      <w:pPr>
        <w:spacing w:after="0" w:line="360" w:lineRule="auto"/>
        <w:ind w:firstLine="709"/>
        <w:contextualSpacing/>
        <w:jc w:val="both"/>
        <w:rPr>
          <w:rFonts w:ascii="Arial" w:hAnsi="Arial" w:cs="Arial"/>
          <w:sz w:val="24"/>
          <w:szCs w:val="24"/>
        </w:rPr>
      </w:pPr>
      <w:r w:rsidRPr="00016B36">
        <w:rPr>
          <w:rFonts w:ascii="Arial" w:hAnsi="Arial" w:cs="Arial"/>
          <w:b/>
          <w:sz w:val="24"/>
          <w:szCs w:val="24"/>
        </w:rPr>
        <w:t>Vítima:</w:t>
      </w:r>
      <w:r w:rsidRPr="00016B36">
        <w:rPr>
          <w:rFonts w:ascii="Arial" w:hAnsi="Arial" w:cs="Arial"/>
          <w:sz w:val="24"/>
          <w:szCs w:val="24"/>
        </w:rPr>
        <w:t xml:space="preserve"> mãe;</w:t>
      </w:r>
    </w:p>
    <w:p w:rsidR="00DE6734" w:rsidRPr="00016B36" w:rsidRDefault="000B17DA">
      <w:pPr>
        <w:spacing w:after="0" w:line="360" w:lineRule="auto"/>
        <w:ind w:firstLine="709"/>
        <w:contextualSpacing/>
        <w:jc w:val="both"/>
        <w:rPr>
          <w:rFonts w:ascii="Arial" w:hAnsi="Arial" w:cs="Arial"/>
          <w:sz w:val="24"/>
          <w:szCs w:val="24"/>
        </w:rPr>
      </w:pPr>
      <w:r w:rsidRPr="00016B36">
        <w:rPr>
          <w:rFonts w:ascii="Arial" w:hAnsi="Arial" w:cs="Arial"/>
          <w:b/>
          <w:sz w:val="24"/>
          <w:szCs w:val="24"/>
        </w:rPr>
        <w:t>Dos fatos:</w:t>
      </w:r>
      <w:r w:rsidRPr="00016B36">
        <w:rPr>
          <w:rFonts w:ascii="Arial" w:hAnsi="Arial" w:cs="Arial"/>
          <w:sz w:val="24"/>
          <w:szCs w:val="24"/>
        </w:rPr>
        <w:t xml:space="preserve"> A agressora não tinha roupa nova. E que foi para o quarto da vítima, a qual foi por ela impedida que adentrasse no recinto. Utilizando-se de suas técnicas de arte marcial, passou a deferir socos, a agressora chute sobre sua própria mãe;</w:t>
      </w:r>
    </w:p>
    <w:p w:rsidR="00DE6734" w:rsidRPr="00016B36" w:rsidRDefault="000B17DA">
      <w:pPr>
        <w:spacing w:after="0" w:line="360" w:lineRule="auto"/>
        <w:ind w:firstLine="709"/>
        <w:contextualSpacing/>
        <w:jc w:val="both"/>
        <w:rPr>
          <w:rFonts w:ascii="Arial" w:hAnsi="Arial" w:cs="Arial"/>
          <w:sz w:val="24"/>
          <w:szCs w:val="24"/>
        </w:rPr>
      </w:pPr>
      <w:r w:rsidRPr="00016B36">
        <w:rPr>
          <w:rFonts w:ascii="Arial" w:hAnsi="Arial" w:cs="Arial"/>
          <w:b/>
          <w:sz w:val="24"/>
          <w:szCs w:val="24"/>
        </w:rPr>
        <w:t>Ministério Público:</w:t>
      </w:r>
      <w:r w:rsidRPr="00016B36">
        <w:rPr>
          <w:rFonts w:ascii="Arial" w:hAnsi="Arial" w:cs="Arial"/>
          <w:sz w:val="24"/>
          <w:szCs w:val="24"/>
        </w:rPr>
        <w:t xml:space="preserve"> Art. 201, II, da Lei 8.069/90. Cometeu ato infracional com sua genitora ofendeu a integridade corporal da vítima;</w:t>
      </w:r>
    </w:p>
    <w:p w:rsidR="00DE6734" w:rsidRPr="00016B36" w:rsidRDefault="000B17DA">
      <w:pPr>
        <w:spacing w:after="0" w:line="360" w:lineRule="auto"/>
        <w:ind w:firstLine="709"/>
        <w:contextualSpacing/>
        <w:jc w:val="both"/>
        <w:rPr>
          <w:rFonts w:ascii="Arial" w:hAnsi="Arial" w:cs="Arial"/>
          <w:sz w:val="24"/>
          <w:szCs w:val="24"/>
        </w:rPr>
      </w:pPr>
      <w:r w:rsidRPr="00016B36">
        <w:rPr>
          <w:rFonts w:ascii="Arial" w:hAnsi="Arial" w:cs="Arial"/>
          <w:b/>
          <w:sz w:val="24"/>
          <w:szCs w:val="24"/>
        </w:rPr>
        <w:lastRenderedPageBreak/>
        <w:t>Juízo:</w:t>
      </w:r>
      <w:r w:rsidRPr="00016B36">
        <w:rPr>
          <w:rFonts w:ascii="Arial" w:hAnsi="Arial" w:cs="Arial"/>
          <w:sz w:val="24"/>
          <w:szCs w:val="24"/>
        </w:rPr>
        <w:t xml:space="preserve"> Art. 129, parágrafo 9° do Código Penal e fez com base no art. 112, IV inciso, c/c art. 118 ECA. O cumprimento será executado pelo CREAS devendo o programa de atendimento observar as exigências no art. 119 Lei 8.069/90, encaminhando relatórios bimestrais a esse juízo.</w:t>
      </w:r>
    </w:p>
    <w:p w:rsidR="00DE6734" w:rsidRPr="00016B36" w:rsidRDefault="00DE6734">
      <w:pPr>
        <w:spacing w:after="0" w:line="360" w:lineRule="auto"/>
        <w:contextualSpacing/>
        <w:jc w:val="both"/>
        <w:rPr>
          <w:rFonts w:ascii="Arial" w:hAnsi="Arial" w:cs="Arial"/>
          <w:sz w:val="24"/>
          <w:szCs w:val="24"/>
        </w:rPr>
      </w:pPr>
    </w:p>
    <w:p w:rsidR="00DE6734" w:rsidRPr="00016B36" w:rsidRDefault="000B17DA">
      <w:pPr>
        <w:spacing w:after="0" w:line="360" w:lineRule="auto"/>
        <w:ind w:firstLine="709"/>
        <w:contextualSpacing/>
        <w:jc w:val="both"/>
        <w:rPr>
          <w:rFonts w:ascii="Arial" w:hAnsi="Arial" w:cs="Arial"/>
          <w:sz w:val="24"/>
          <w:szCs w:val="24"/>
        </w:rPr>
      </w:pPr>
      <w:r w:rsidRPr="00016B36">
        <w:rPr>
          <w:rFonts w:ascii="Arial" w:hAnsi="Arial" w:cs="Arial"/>
          <w:sz w:val="24"/>
          <w:szCs w:val="24"/>
        </w:rPr>
        <w:t xml:space="preserve">Nos dois casos as infrações foram consideradas semelhantes a lesão corporal do art. 129, § 9° do Código Penal, além de ter sido cometido por adolescente da mesma faixa etária e, do sexo feminino, e as vítimas são genitoras das adolescentes. </w:t>
      </w:r>
    </w:p>
    <w:p w:rsidR="00DE6734" w:rsidRPr="00016B36" w:rsidRDefault="000B17DA">
      <w:pPr>
        <w:spacing w:after="0" w:line="360" w:lineRule="auto"/>
        <w:ind w:firstLine="709"/>
        <w:contextualSpacing/>
        <w:jc w:val="both"/>
        <w:rPr>
          <w:rFonts w:ascii="Arial" w:hAnsi="Arial" w:cs="Arial"/>
          <w:sz w:val="24"/>
          <w:szCs w:val="24"/>
        </w:rPr>
      </w:pPr>
      <w:r w:rsidRPr="00016B36">
        <w:rPr>
          <w:rFonts w:ascii="Arial" w:hAnsi="Arial" w:cs="Arial"/>
          <w:sz w:val="24"/>
          <w:szCs w:val="24"/>
        </w:rPr>
        <w:t>Entretanto, algumas diferenças precisam ser destacadas. A primeira delas é de que no 1º caso, o Ministério Público atribuiu à adolescente ato infracional similar ao que se amolda ao tipo penal descrito no art. 129 parágrafo 9º, segundo o relato (unhadas sobre a genitora). Entretanto, pelo entendimento do juízo a adolescente foi condenada pela tentativa do art. 349-A do CP. Assim, propõe o referido artigo</w:t>
      </w:r>
    </w:p>
    <w:p w:rsidR="00DE6734" w:rsidRPr="00016B36" w:rsidRDefault="00DE6734">
      <w:pPr>
        <w:spacing w:after="0" w:line="360" w:lineRule="auto"/>
        <w:ind w:firstLine="709"/>
        <w:contextualSpacing/>
        <w:jc w:val="both"/>
        <w:rPr>
          <w:rFonts w:ascii="Arial" w:hAnsi="Arial" w:cs="Arial"/>
          <w:sz w:val="24"/>
          <w:szCs w:val="24"/>
        </w:rPr>
      </w:pPr>
    </w:p>
    <w:p w:rsidR="00DE6734" w:rsidRPr="00016B36" w:rsidRDefault="000B17DA">
      <w:pPr>
        <w:spacing w:after="0" w:line="240" w:lineRule="auto"/>
        <w:ind w:left="2268"/>
        <w:contextualSpacing/>
        <w:jc w:val="both"/>
        <w:rPr>
          <w:rFonts w:ascii="Arial" w:hAnsi="Arial" w:cs="Arial"/>
          <w:shd w:val="clear" w:color="auto" w:fill="FFFFFF"/>
        </w:rPr>
      </w:pPr>
      <w:r w:rsidRPr="00016B36">
        <w:rPr>
          <w:rFonts w:ascii="Arial" w:hAnsi="Arial" w:cs="Arial"/>
          <w:b/>
          <w:bCs/>
          <w:shd w:val="clear" w:color="auto" w:fill="FFFFFF"/>
        </w:rPr>
        <w:t>Art. 349</w:t>
      </w:r>
      <w:r w:rsidRPr="00016B36">
        <w:rPr>
          <w:rFonts w:ascii="Arial" w:hAnsi="Arial" w:cs="Arial"/>
          <w:b/>
          <w:shd w:val="clear" w:color="auto" w:fill="FFFFFF"/>
        </w:rPr>
        <w:t>-A:</w:t>
      </w:r>
      <w:r w:rsidRPr="00016B36">
        <w:rPr>
          <w:rFonts w:ascii="Arial" w:hAnsi="Arial" w:cs="Arial"/>
          <w:shd w:val="clear" w:color="auto" w:fill="FFFFFF"/>
        </w:rPr>
        <w:t xml:space="preserve"> Ingressar, promover, intermediar, auxiliar ou facilitar a entrada de aparelho telefônico de comunicação móvel, de rádio ou similar, sem autorização legal, em estabelecimento prisional. </w:t>
      </w:r>
      <w:r w:rsidRPr="00016B36">
        <w:rPr>
          <w:rFonts w:ascii="Arial" w:hAnsi="Arial" w:cs="Arial"/>
          <w:sz w:val="20"/>
          <w:szCs w:val="20"/>
          <w:shd w:val="clear" w:color="auto" w:fill="FFFFFF"/>
        </w:rPr>
        <w:t>(Incluído pela Lei nº 12.012, de 2009).</w:t>
      </w:r>
      <w:r w:rsidRPr="00016B36">
        <w:rPr>
          <w:rFonts w:ascii="Arial" w:hAnsi="Arial" w:cs="Arial"/>
          <w:shd w:val="clear" w:color="auto" w:fill="FFFFFF"/>
        </w:rPr>
        <w:t xml:space="preserve"> </w:t>
      </w:r>
    </w:p>
    <w:p w:rsidR="00DE6734" w:rsidRPr="00016B36" w:rsidRDefault="000B17DA">
      <w:pPr>
        <w:spacing w:after="0" w:line="240" w:lineRule="auto"/>
        <w:ind w:left="2268"/>
        <w:contextualSpacing/>
        <w:jc w:val="both"/>
        <w:rPr>
          <w:rFonts w:ascii="Arial" w:hAnsi="Arial" w:cs="Arial"/>
        </w:rPr>
      </w:pPr>
      <w:r w:rsidRPr="00016B36">
        <w:rPr>
          <w:rFonts w:ascii="Arial" w:hAnsi="Arial" w:cs="Arial"/>
          <w:shd w:val="clear" w:color="auto" w:fill="FFFFFF"/>
        </w:rPr>
        <w:t>Pena: detenção, de 3 (três) meses a 1 (um) ano.</w:t>
      </w:r>
      <w:r w:rsidRPr="00016B36">
        <w:rPr>
          <w:rFonts w:ascii="Arial" w:hAnsi="Arial" w:cs="Arial"/>
        </w:rPr>
        <w:t xml:space="preserve"> </w:t>
      </w:r>
    </w:p>
    <w:p w:rsidR="00DE6734" w:rsidRPr="00016B36" w:rsidRDefault="00DE6734">
      <w:pPr>
        <w:spacing w:after="0" w:line="360" w:lineRule="auto"/>
        <w:contextualSpacing/>
        <w:jc w:val="both"/>
        <w:rPr>
          <w:rFonts w:ascii="Arial" w:hAnsi="Arial" w:cs="Arial"/>
          <w:sz w:val="24"/>
          <w:szCs w:val="24"/>
        </w:rPr>
      </w:pPr>
    </w:p>
    <w:p w:rsidR="00DE6734" w:rsidRPr="00016B36" w:rsidRDefault="00DE6734">
      <w:pPr>
        <w:spacing w:after="0" w:line="360" w:lineRule="auto"/>
        <w:contextualSpacing/>
        <w:jc w:val="both"/>
        <w:rPr>
          <w:rFonts w:ascii="Arial" w:hAnsi="Arial" w:cs="Arial"/>
          <w:sz w:val="24"/>
          <w:szCs w:val="24"/>
        </w:rPr>
      </w:pPr>
    </w:p>
    <w:p w:rsidR="00DE6734" w:rsidRPr="00016B36" w:rsidRDefault="000B17DA">
      <w:pPr>
        <w:spacing w:after="0" w:line="360" w:lineRule="auto"/>
        <w:ind w:firstLine="709"/>
        <w:contextualSpacing/>
        <w:jc w:val="both"/>
        <w:rPr>
          <w:rFonts w:ascii="Arial" w:hAnsi="Arial" w:cs="Arial"/>
          <w:sz w:val="24"/>
          <w:szCs w:val="24"/>
        </w:rPr>
      </w:pPr>
      <w:r w:rsidRPr="00016B36">
        <w:rPr>
          <w:rFonts w:ascii="Arial" w:hAnsi="Arial" w:cs="Arial"/>
          <w:sz w:val="24"/>
          <w:szCs w:val="24"/>
        </w:rPr>
        <w:t>Uma questão se apresenta ao observar o artigo que a mesma promoveu uma tentativa nas diversas ações do artigo. A entrada de adolescente ou criança em estabelecimento de cumprimento de pena foi permitida pela vigência da Lei 12.962/2014. A legislação foi incluída ao Estatuto da Criança e Adolescente em referência a proteção que Lei 8.069/90 dá ao propor uma criação no seio familiar, em convivência com o pai e com a mãe, conforme o  do art. 19, § 4° do ECA.</w:t>
      </w:r>
    </w:p>
    <w:p w:rsidR="00DE6734" w:rsidRPr="00016B36" w:rsidRDefault="000B17DA">
      <w:pPr>
        <w:spacing w:after="0" w:line="360" w:lineRule="auto"/>
        <w:ind w:firstLine="709"/>
        <w:contextualSpacing/>
        <w:jc w:val="both"/>
        <w:rPr>
          <w:rFonts w:ascii="Arial" w:hAnsi="Arial" w:cs="Arial"/>
          <w:sz w:val="24"/>
          <w:szCs w:val="24"/>
        </w:rPr>
      </w:pPr>
      <w:r w:rsidRPr="00016B36">
        <w:rPr>
          <w:rFonts w:ascii="Arial" w:hAnsi="Arial" w:cs="Arial"/>
          <w:sz w:val="24"/>
          <w:szCs w:val="24"/>
        </w:rPr>
        <w:t xml:space="preserve">Apesar de não está descrito nas decisões dos casos (1 e 2) em análise, apresentam-se como ações violentas provocadas no âmbito da violência doméstica e familiar contra a mulher. Pelos relatos as infrações foram cometidas dentro de casa, o que a caracteriza por si só a violência doméstica. Além disso, as infratoras se assemelham pela mesma condição biológica, na ação de lesionar o corpo das suas genitoras, o que tipifica a violência contra a mulher (art. 1º e 2º, Lei 11.340/2006). A violência praticada configura também como </w:t>
      </w:r>
      <w:r w:rsidRPr="00016B36">
        <w:rPr>
          <w:rFonts w:ascii="Arial" w:hAnsi="Arial" w:cs="Arial"/>
          <w:sz w:val="24"/>
          <w:szCs w:val="24"/>
        </w:rPr>
        <w:lastRenderedPageBreak/>
        <w:t xml:space="preserve">familiar, tendo em vista a vínculo social e dos laços de afetos produzidos no núcleo familiar. Assim, é possível perceber que as infrações que se assemelham a lesão corporal (art. 129, CP), e por consequência podem ser caracterizada por violência doméstica contra a mulher, está estabelecida por dois fatores: o âmbito doméstico e familiar. </w:t>
      </w:r>
    </w:p>
    <w:p w:rsidR="00DE6734" w:rsidRPr="00016B36" w:rsidRDefault="000B17DA">
      <w:pPr>
        <w:spacing w:after="0" w:line="360" w:lineRule="auto"/>
        <w:ind w:firstLine="709"/>
        <w:contextualSpacing/>
        <w:jc w:val="both"/>
        <w:rPr>
          <w:rFonts w:ascii="Arial" w:hAnsi="Arial" w:cs="Arial"/>
          <w:sz w:val="24"/>
          <w:szCs w:val="24"/>
        </w:rPr>
      </w:pPr>
      <w:r w:rsidRPr="00016B36">
        <w:rPr>
          <w:rFonts w:ascii="Arial" w:hAnsi="Arial" w:cs="Arial"/>
          <w:sz w:val="24"/>
          <w:szCs w:val="24"/>
        </w:rPr>
        <w:t>Além disso, é possível perceber que os atos infracionais que são similares de lesão corporal podem ser associados à Lei Maria da Penha a partir do artigo 7º. Por esse argumento, pode ser também caracterizado pelo ato de violência física que ofendeu a integridade física e corpórea das vítimas (art. 7º, inciso I, 11.340/2006).</w:t>
      </w:r>
    </w:p>
    <w:p w:rsidR="00DE6734" w:rsidRPr="00016B36" w:rsidRDefault="000B17DA">
      <w:pPr>
        <w:spacing w:after="0" w:line="360" w:lineRule="auto"/>
        <w:ind w:firstLine="709"/>
        <w:contextualSpacing/>
        <w:jc w:val="both"/>
        <w:rPr>
          <w:rFonts w:ascii="Arial" w:hAnsi="Arial" w:cs="Arial"/>
          <w:sz w:val="24"/>
          <w:szCs w:val="24"/>
        </w:rPr>
      </w:pPr>
      <w:r w:rsidRPr="00016B36">
        <w:rPr>
          <w:rFonts w:ascii="Arial" w:hAnsi="Arial" w:cs="Arial"/>
          <w:sz w:val="24"/>
          <w:szCs w:val="24"/>
        </w:rPr>
        <w:t xml:space="preserve">Contudo, a violência doméstica dos casos em análise não está só na conduta de ofender fisicamente as vítimas, mas também caracterizado por uma violência moral e psicológica (LIMA, 2014; ALVES &amp; OLIVEIRA, 2017). A Lei Maria da Penha como foi visto anteriormente, também entende como violência psicológica quando sobre as vítimas, há um emprego na ação de desestabilizar emocionalmente as vítimas, também estabelecida como moral pelo vínculo familiar. Esse vínculo está constituído em virtude do laço consanguíneo e social entre as vítimas e as infratoras. Assim, a posição de mãe ocupada pelas vítimas em relação às adolescente, passou a ser considerada não só pelo sangue, mas também pelo vínculo social depois do nascimento, conforme os apontamentos teóricos debatidos anteriormente (LIMA, 2014).  </w:t>
      </w:r>
    </w:p>
    <w:p w:rsidR="00DE6734" w:rsidRPr="00016B36" w:rsidRDefault="000B17DA">
      <w:pPr>
        <w:spacing w:after="0" w:line="360" w:lineRule="auto"/>
        <w:ind w:firstLine="709"/>
        <w:contextualSpacing/>
        <w:jc w:val="both"/>
        <w:rPr>
          <w:rFonts w:ascii="Arial" w:hAnsi="Arial" w:cs="Arial"/>
          <w:sz w:val="24"/>
          <w:szCs w:val="24"/>
        </w:rPr>
      </w:pPr>
      <w:r w:rsidRPr="00016B36">
        <w:rPr>
          <w:rFonts w:ascii="Arial" w:hAnsi="Arial" w:cs="Arial"/>
          <w:sz w:val="24"/>
          <w:szCs w:val="24"/>
        </w:rPr>
        <w:t xml:space="preserve">Outro olhar sobre os casos acima explanados servem para desmistificar o senso comum, de que a violência doméstica só é caracterizada quando praticada pela figura masculina e marido da vítima. Como vimos anteriormente a legislação não determina quem é o agressor (BORDIGON, 2009; FONSECA, 2012; LIMA, 2014; ALVES &amp; OLIVEIRA, 2017). Nesse argumento, é importante salientar também que no 1º caso, a adolescente também foi vítima de violência doméstica, quando o filho da vítima deu um soco no rosto da adolescente com intuito de acabar com a agressão contra a mãe. </w:t>
      </w:r>
    </w:p>
    <w:p w:rsidR="00DE6734" w:rsidRPr="00016B36" w:rsidRDefault="000B17DA">
      <w:pPr>
        <w:spacing w:after="0" w:line="360" w:lineRule="auto"/>
        <w:ind w:firstLine="709"/>
        <w:contextualSpacing/>
        <w:jc w:val="both"/>
        <w:rPr>
          <w:rFonts w:ascii="Arial" w:hAnsi="Arial" w:cs="Arial"/>
          <w:sz w:val="24"/>
          <w:szCs w:val="24"/>
        </w:rPr>
      </w:pPr>
      <w:r w:rsidRPr="00016B36">
        <w:rPr>
          <w:rFonts w:ascii="Arial" w:hAnsi="Arial" w:cs="Arial"/>
          <w:sz w:val="24"/>
          <w:szCs w:val="24"/>
        </w:rPr>
        <w:t xml:space="preserve">Apesar de está no relato estabelecido que a vontade do irmão foi de poder acabar com a agressão, a violência doméstica contra a adolescente está estabelecida pelo soco proferido contra a agressora (art. 1º, 2º, 5º e 7º, inciso I Lei 11.340/2006). Além da norma jurídica penal pronunciar como legítima defesa de terceiro (art. 25, CP). </w:t>
      </w:r>
    </w:p>
    <w:p w:rsidR="00DE6734" w:rsidRPr="00016B36" w:rsidRDefault="000B17DA">
      <w:pPr>
        <w:spacing w:after="0" w:line="360" w:lineRule="auto"/>
        <w:ind w:firstLine="709"/>
        <w:contextualSpacing/>
        <w:jc w:val="both"/>
        <w:rPr>
          <w:rFonts w:ascii="Arial" w:hAnsi="Arial" w:cs="Arial"/>
          <w:sz w:val="24"/>
          <w:szCs w:val="24"/>
        </w:rPr>
      </w:pPr>
      <w:r w:rsidRPr="00016B36">
        <w:rPr>
          <w:rFonts w:ascii="Arial" w:hAnsi="Arial" w:cs="Arial"/>
          <w:sz w:val="24"/>
          <w:szCs w:val="24"/>
        </w:rPr>
        <w:lastRenderedPageBreak/>
        <w:t xml:space="preserve">Assim finalizando a análise, sobressalta que nos dois casos as decisões não levaram em consideração o ambiente doméstico e familiar em que aconteceram os atos infracionais nas similares lesões corporais (art. 103, Lei 8.069/1990). Em nenhuma das decisões em análise não foram encontrados artigos da Lei Maria da Penha, o que se deve levar em consideração da aplicação da norma visto a idade os agentes infratores e competência jurisdicional (BORDIGON, 2009; FONSECA, 2012), pelas condições especiais em que foi constituída o Estatuto da Criança e do Adolescente (FONSECA, 2012). Nesse sentido, ao compreender que os infratores estão não só assegurados por uma legislação (Lei 8.069/1990), mas também pela Constituição Federal de 1988 nos artigos 227 e 228.  </w:t>
      </w:r>
    </w:p>
    <w:p w:rsidR="00DE6734" w:rsidRPr="00016B36" w:rsidRDefault="000B17DA">
      <w:pPr>
        <w:spacing w:after="0" w:line="360" w:lineRule="auto"/>
        <w:ind w:firstLine="709"/>
        <w:contextualSpacing/>
        <w:jc w:val="both"/>
        <w:rPr>
          <w:rFonts w:ascii="Arial" w:hAnsi="Arial" w:cs="Arial"/>
          <w:sz w:val="24"/>
          <w:szCs w:val="24"/>
          <w:shd w:val="clear" w:color="auto" w:fill="FFFFFF"/>
        </w:rPr>
      </w:pPr>
      <w:r w:rsidRPr="00016B36">
        <w:rPr>
          <w:rFonts w:ascii="Arial" w:hAnsi="Arial" w:cs="Arial"/>
          <w:sz w:val="24"/>
          <w:szCs w:val="24"/>
          <w:shd w:val="clear" w:color="auto" w:fill="FFFFFF"/>
        </w:rPr>
        <w:t>A escolha do juízo em aplicar apenas o ECA, uma das normas em análise, está colocada a partir da competência jurisdicional. Contudo, diante dos relatos das decisões em análise e provados como um atos infracionais, seja pelo entendimento do juízo, seja pelo entendimento do Ministério Público, que aconteceram em ambiente doméstico e dentro da relação familiar contra mulheres, as duas legislações são passíveis de aplicação. A primeira, como dito anteriormente, pela competência jurisdicional e pelo agente do ato infracional. Mas também seria possível pensar a aplicação da Lei 11.340/1990 tendo em vista os artigos 5º e 7º, não somente o art. 129 do CP.</w:t>
      </w:r>
    </w:p>
    <w:p w:rsidR="00DE6734" w:rsidRPr="00016B36" w:rsidRDefault="000B17DA">
      <w:pPr>
        <w:spacing w:after="0" w:line="360" w:lineRule="auto"/>
        <w:ind w:firstLine="709"/>
        <w:contextualSpacing/>
        <w:jc w:val="both"/>
        <w:rPr>
          <w:rFonts w:ascii="Arial" w:hAnsi="Arial" w:cs="Arial"/>
          <w:sz w:val="24"/>
          <w:szCs w:val="24"/>
        </w:rPr>
      </w:pPr>
      <w:r w:rsidRPr="00016B36">
        <w:rPr>
          <w:rFonts w:ascii="Arial" w:hAnsi="Arial" w:cs="Arial"/>
          <w:sz w:val="24"/>
          <w:szCs w:val="24"/>
        </w:rPr>
        <w:t xml:space="preserve">Contudo, o Superior Tribunal de Justiça entende que: </w:t>
      </w:r>
    </w:p>
    <w:p w:rsidR="00DE6734" w:rsidRPr="00016B36" w:rsidRDefault="00DE6734">
      <w:pPr>
        <w:spacing w:after="0" w:line="360" w:lineRule="auto"/>
        <w:ind w:firstLine="709"/>
        <w:contextualSpacing/>
        <w:jc w:val="both"/>
        <w:rPr>
          <w:rFonts w:ascii="Arial" w:hAnsi="Arial" w:cs="Arial"/>
          <w:sz w:val="24"/>
          <w:szCs w:val="24"/>
        </w:rPr>
      </w:pPr>
    </w:p>
    <w:p w:rsidR="00DE6734" w:rsidRPr="00016B36" w:rsidRDefault="000B17DA">
      <w:pPr>
        <w:spacing w:after="0" w:line="240" w:lineRule="auto"/>
        <w:ind w:left="2268"/>
        <w:jc w:val="both"/>
        <w:rPr>
          <w:rFonts w:ascii="Arial" w:eastAsia="Times New Roman" w:hAnsi="Arial" w:cs="Arial"/>
          <w:spacing w:val="2"/>
          <w:lang w:eastAsia="pt-BR"/>
        </w:rPr>
      </w:pPr>
      <w:r w:rsidRPr="00016B36">
        <w:rPr>
          <w:rFonts w:ascii="Arial" w:eastAsia="Times New Roman" w:hAnsi="Arial" w:cs="Arial"/>
          <w:spacing w:val="2"/>
          <w:lang w:eastAsia="pt-BR"/>
        </w:rPr>
        <w:t xml:space="preserve">PENAL E PROCESSO PENAL. RECURSO EM HABEAS CORPUS. LESÃO CORPORAL PRATICADA POR FILHA CONTRA MÃE. INAPLICABILIDADE DA LEI MARIA DA PENHA. AUSÊNCIA DE SUBMISSÃO. DESCARACTERIZAÇÃO DA AÇÃO BASEADA NO GÊNERO. RECURSO PARCIALMENTE PROVIDO. 1. Para incidência da Lei Maria da Penha, é necessário que a violência doméstica e familiar contra a mulher decorra de: (a) ação ou omissão baseada no gênero; (b) no âmbito da unidade doméstica, familiar ou relação de afeto; decorrendo daí (c) morte, lesão, sofrimento físico, sexual ou psicológico e dano moral ou patrimonial. 2. A definição do gênero sobre o qual baseada a conduta comissiva ou omissiva decorre do equivocado entendimento/motivação do sujeito ativo de possuir "direitos" sobre a mulher ou de que ela lhe pertence, evidenciando vulnerabilidade pela redução ou nulidade da autodeterminação, caracterizando-se, assim, conduta baseada no gênero para efeitos da Lei n. 11.340/2006. 3. No caso em comento, não se verifica o preenchimento dos pressupostos elementares da </w:t>
      </w:r>
      <w:r w:rsidRPr="00016B36">
        <w:rPr>
          <w:rFonts w:ascii="Arial" w:eastAsia="Times New Roman" w:hAnsi="Arial" w:cs="Arial"/>
          <w:spacing w:val="2"/>
          <w:lang w:eastAsia="pt-BR"/>
        </w:rPr>
        <w:lastRenderedPageBreak/>
        <w:t>violência doméstica e familiar contra a mulher, porquanto, embora a agressão perpetrada tenha ocorrido no âmbito familiar, decorreu de desentendimentos múltiplos entre mãe e filha, restando descaracterizada a ação baseada no gênero. 4. Recurso parcialmente provido para, afastando a incidência da Lei n. 11.340/2006, fixar a competência do Juízo da 5ª Vara Criminal de Maceió/AL. (STJ - RHC: 50636 AL 2014/0206419-4, Relator: Ministro RIBEIRO DANTAS, Data de Julgamento: 28/11/2017, T5 - QUINTA TURMA, Data de Publicação: DJe 01/12/2017) (BRASIL, 2017).</w:t>
      </w:r>
    </w:p>
    <w:p w:rsidR="00DE6734" w:rsidRPr="00016B36" w:rsidRDefault="00DE6734">
      <w:pPr>
        <w:spacing w:after="0" w:line="360" w:lineRule="auto"/>
        <w:ind w:firstLine="709"/>
        <w:contextualSpacing/>
        <w:jc w:val="both"/>
        <w:rPr>
          <w:rFonts w:ascii="Arial" w:hAnsi="Arial" w:cs="Arial"/>
          <w:sz w:val="24"/>
          <w:szCs w:val="24"/>
        </w:rPr>
      </w:pPr>
    </w:p>
    <w:p w:rsidR="00DE6734" w:rsidRPr="00016B36" w:rsidRDefault="00DE6734">
      <w:pPr>
        <w:spacing w:after="0" w:line="360" w:lineRule="auto"/>
        <w:ind w:firstLine="709"/>
        <w:contextualSpacing/>
        <w:jc w:val="both"/>
        <w:rPr>
          <w:rFonts w:ascii="Arial" w:hAnsi="Arial" w:cs="Arial"/>
          <w:sz w:val="24"/>
          <w:szCs w:val="24"/>
        </w:rPr>
      </w:pPr>
    </w:p>
    <w:p w:rsidR="00DE6734" w:rsidRPr="00016B36" w:rsidRDefault="000B17DA">
      <w:pPr>
        <w:spacing w:after="0" w:line="360" w:lineRule="auto"/>
        <w:ind w:firstLine="709"/>
        <w:contextualSpacing/>
        <w:jc w:val="both"/>
        <w:rPr>
          <w:rFonts w:ascii="Arial" w:eastAsia="Times New Roman" w:hAnsi="Arial" w:cs="Arial"/>
          <w:spacing w:val="2"/>
          <w:sz w:val="24"/>
          <w:szCs w:val="24"/>
          <w:lang w:eastAsia="pt-BR"/>
        </w:rPr>
      </w:pPr>
      <w:r w:rsidRPr="00016B36">
        <w:rPr>
          <w:rFonts w:ascii="Arial" w:hAnsi="Arial" w:cs="Arial"/>
          <w:sz w:val="24"/>
          <w:szCs w:val="24"/>
        </w:rPr>
        <w:t xml:space="preserve">Segundo o entendimento jurisprudencial do STJ a violência doméstica e familiar contra a mulher deve ser compreendida também a partir da relação de posse e controle sobre o gênero. Nesse sentido, o Tribunal evidenciou a condição de gênero, que está estabelecido a partir de uma submissão da relação entre os gêneros, pela qual o  assujeitamento passivo da vítima está na submissão socialmente construída sobre o gênero masculino. Dessa forma,  o STJ entende que não aconteceu violência doméstica e familiar contra a mulher, visto que há </w:t>
      </w:r>
      <w:r w:rsidRPr="00016B36">
        <w:rPr>
          <w:rFonts w:ascii="Arial" w:eastAsia="Times New Roman" w:hAnsi="Arial" w:cs="Arial"/>
          <w:spacing w:val="2"/>
          <w:sz w:val="24"/>
          <w:szCs w:val="24"/>
          <w:lang w:eastAsia="pt-BR"/>
        </w:rPr>
        <w:t>desentendimentos múltiplos</w:t>
      </w:r>
      <w:r w:rsidRPr="00016B36">
        <w:rPr>
          <w:rFonts w:ascii="Arial" w:hAnsi="Arial" w:cs="Arial"/>
          <w:sz w:val="24"/>
          <w:szCs w:val="24"/>
        </w:rPr>
        <w:t xml:space="preserve"> mãe e filha, bem como são sujeitos do mesmo gênero, “</w:t>
      </w:r>
      <w:r w:rsidRPr="00016B36">
        <w:rPr>
          <w:rFonts w:ascii="Arial" w:eastAsia="Times New Roman" w:hAnsi="Arial" w:cs="Arial"/>
          <w:spacing w:val="2"/>
          <w:sz w:val="24"/>
          <w:szCs w:val="24"/>
          <w:lang w:eastAsia="pt-BR"/>
        </w:rPr>
        <w:t>descaracterizada a ação baseada no gênero”.</w:t>
      </w:r>
    </w:p>
    <w:p w:rsidR="00DE6734" w:rsidRPr="00016B36" w:rsidRDefault="000B17DA">
      <w:pPr>
        <w:spacing w:after="0" w:line="360" w:lineRule="auto"/>
        <w:ind w:firstLine="709"/>
        <w:contextualSpacing/>
        <w:jc w:val="both"/>
        <w:rPr>
          <w:rFonts w:ascii="Arial" w:eastAsia="Times New Roman" w:hAnsi="Arial" w:cs="Arial"/>
          <w:spacing w:val="2"/>
          <w:sz w:val="24"/>
          <w:szCs w:val="24"/>
          <w:lang w:eastAsia="pt-BR"/>
        </w:rPr>
      </w:pPr>
      <w:r w:rsidRPr="00016B36">
        <w:rPr>
          <w:rFonts w:ascii="Arial" w:eastAsia="Times New Roman" w:hAnsi="Arial" w:cs="Arial"/>
          <w:spacing w:val="2"/>
          <w:sz w:val="24"/>
          <w:szCs w:val="24"/>
          <w:lang w:eastAsia="pt-BR"/>
        </w:rPr>
        <w:t>Por essa</w:t>
      </w:r>
      <w:r w:rsidR="00D0024D" w:rsidRPr="00016B36">
        <w:rPr>
          <w:rFonts w:ascii="Arial" w:eastAsia="Times New Roman" w:hAnsi="Arial" w:cs="Arial"/>
          <w:spacing w:val="2"/>
          <w:sz w:val="24"/>
          <w:szCs w:val="24"/>
          <w:lang w:eastAsia="pt-BR"/>
        </w:rPr>
        <w:t xml:space="preserve">s razões o entendimento também é compreensível ao artigo </w:t>
      </w:r>
      <w:r w:rsidR="00E80496" w:rsidRPr="00016B36">
        <w:rPr>
          <w:rFonts w:ascii="Arial" w:eastAsia="Times New Roman" w:hAnsi="Arial" w:cs="Arial"/>
          <w:spacing w:val="2"/>
          <w:sz w:val="24"/>
          <w:szCs w:val="24"/>
          <w:lang w:eastAsia="pt-BR"/>
        </w:rPr>
        <w:t xml:space="preserve">5º </w:t>
      </w:r>
      <w:r w:rsidR="00D0024D" w:rsidRPr="00016B36">
        <w:rPr>
          <w:rFonts w:ascii="Arial" w:eastAsia="Times New Roman" w:hAnsi="Arial" w:cs="Arial"/>
          <w:spacing w:val="2"/>
          <w:sz w:val="24"/>
          <w:szCs w:val="24"/>
          <w:lang w:eastAsia="pt-BR"/>
        </w:rPr>
        <w:t>da Lei Maria da Penha 11.340/2006</w:t>
      </w:r>
      <w:r w:rsidR="00E80496" w:rsidRPr="00016B36">
        <w:rPr>
          <w:rFonts w:ascii="Arial" w:eastAsia="Times New Roman" w:hAnsi="Arial" w:cs="Arial"/>
          <w:spacing w:val="2"/>
          <w:sz w:val="24"/>
          <w:szCs w:val="24"/>
          <w:lang w:eastAsia="pt-BR"/>
        </w:rPr>
        <w:t xml:space="preserve">, no qual consta como base da violência a condição de gênero, que está estabelecida a ação violenta. </w:t>
      </w:r>
    </w:p>
    <w:p w:rsidR="00E80496" w:rsidRPr="00016B36" w:rsidRDefault="00E80496">
      <w:pPr>
        <w:spacing w:after="0" w:line="360" w:lineRule="auto"/>
        <w:contextualSpacing/>
        <w:rPr>
          <w:rFonts w:ascii="Arial" w:hAnsi="Arial" w:cs="Arial"/>
          <w:spacing w:val="2"/>
          <w:sz w:val="24"/>
          <w:szCs w:val="24"/>
          <w:shd w:val="clear" w:color="auto" w:fill="FFFFFF"/>
        </w:rPr>
      </w:pPr>
    </w:p>
    <w:p w:rsidR="00DE6734" w:rsidRPr="00016B36" w:rsidRDefault="000B17DA">
      <w:pPr>
        <w:spacing w:after="0" w:line="360" w:lineRule="auto"/>
        <w:contextualSpacing/>
        <w:rPr>
          <w:rFonts w:ascii="Arial" w:hAnsi="Arial" w:cs="Arial"/>
          <w:b/>
          <w:sz w:val="24"/>
          <w:szCs w:val="24"/>
        </w:rPr>
      </w:pPr>
      <w:r w:rsidRPr="00016B36">
        <w:rPr>
          <w:rFonts w:ascii="Arial" w:hAnsi="Arial" w:cs="Arial"/>
          <w:b/>
          <w:sz w:val="24"/>
          <w:szCs w:val="24"/>
        </w:rPr>
        <w:t>5 METODOLOGIA</w:t>
      </w:r>
    </w:p>
    <w:p w:rsidR="00DE6734" w:rsidRPr="00016B36" w:rsidRDefault="00DE6734">
      <w:pPr>
        <w:spacing w:line="360" w:lineRule="auto"/>
        <w:contextualSpacing/>
        <w:jc w:val="both"/>
        <w:rPr>
          <w:rFonts w:ascii="Arial" w:hAnsi="Arial" w:cs="Arial"/>
          <w:sz w:val="24"/>
          <w:szCs w:val="24"/>
        </w:rPr>
      </w:pPr>
    </w:p>
    <w:p w:rsidR="00DE6734" w:rsidRPr="00016B36" w:rsidRDefault="000B17DA">
      <w:pPr>
        <w:spacing w:line="360" w:lineRule="auto"/>
        <w:ind w:firstLine="709"/>
        <w:contextualSpacing/>
        <w:jc w:val="both"/>
        <w:rPr>
          <w:rFonts w:ascii="Arial" w:hAnsi="Arial" w:cs="Arial"/>
          <w:sz w:val="24"/>
          <w:szCs w:val="24"/>
        </w:rPr>
      </w:pPr>
      <w:r w:rsidRPr="00016B36">
        <w:rPr>
          <w:rFonts w:ascii="Arial" w:hAnsi="Arial" w:cs="Arial"/>
          <w:sz w:val="24"/>
          <w:szCs w:val="24"/>
        </w:rPr>
        <w:t xml:space="preserve">Para definir a pesquisa foi utilizado um recorte geográfico e jurisdicional sobre o campo de pesquisa, a Vara da Infância e Juventude da comarca de Campina Grande – PB. A inserção do campo aconteceu por meio de um documento oficial (ANEXO A), no qual possibilitou o acesso às sentenças. Dessa forma, foi possível chegar às decisões analisadas neste trabalho. </w:t>
      </w:r>
    </w:p>
    <w:p w:rsidR="00DE6734" w:rsidRPr="00016B36" w:rsidRDefault="000B17DA">
      <w:pPr>
        <w:spacing w:line="360" w:lineRule="auto"/>
        <w:ind w:firstLine="709"/>
        <w:contextualSpacing/>
        <w:jc w:val="both"/>
        <w:rPr>
          <w:rFonts w:ascii="Arial" w:hAnsi="Arial" w:cs="Arial"/>
          <w:sz w:val="24"/>
          <w:szCs w:val="24"/>
        </w:rPr>
      </w:pPr>
      <w:r w:rsidRPr="00016B36">
        <w:rPr>
          <w:rFonts w:ascii="Arial" w:hAnsi="Arial" w:cs="Arial"/>
          <w:sz w:val="24"/>
          <w:szCs w:val="24"/>
        </w:rPr>
        <w:t>A metodologia aplicada compreendeu uma pesquisa exploratória sobre um estudo de caso, pois possibilitou diversos olhares sobre a análise das amostras coletadas. Para Gil (2008) a importância da pesquisa exploratória no estudo de caso reside na “finalidade desenvolver, esclarecer e modificar conceitos e ideias, tendo em vista a formulação de problemas mais precisos ou hipóteses pesquisáveis” (GIL p. 27, 2008).</w:t>
      </w:r>
    </w:p>
    <w:p w:rsidR="00DE6734" w:rsidRPr="00016B36" w:rsidRDefault="000B17DA">
      <w:pPr>
        <w:spacing w:line="360" w:lineRule="auto"/>
        <w:ind w:firstLine="709"/>
        <w:contextualSpacing/>
        <w:jc w:val="both"/>
        <w:rPr>
          <w:rFonts w:ascii="Arial" w:hAnsi="Arial" w:cs="Arial"/>
          <w:sz w:val="24"/>
          <w:szCs w:val="24"/>
        </w:rPr>
      </w:pPr>
      <w:r w:rsidRPr="00016B36">
        <w:rPr>
          <w:rFonts w:ascii="Arial" w:hAnsi="Arial" w:cs="Arial"/>
          <w:sz w:val="24"/>
          <w:szCs w:val="24"/>
        </w:rPr>
        <w:lastRenderedPageBreak/>
        <w:t xml:space="preserve">Assim foi possível utilizar meios de pesquisa que alicerçaram este estudo: a bibliográfica e documental. A primeira contribuiu em virtude do aporte teórico sobre o objeto que foi pesquisado. Antônio Carlos Gil (2008) destaca a importância da contribuição da pesquisa de cunho bibliográfico, pois tem como função auxiliar no aprofundamento do pesquisador ao se debruçar sobre a produção científica contemporânea sobre o tema e objeto de pesquisa. </w:t>
      </w:r>
    </w:p>
    <w:p w:rsidR="00DE6734" w:rsidRPr="00016B36" w:rsidRDefault="000B17DA">
      <w:pPr>
        <w:spacing w:line="360" w:lineRule="auto"/>
        <w:ind w:firstLine="709"/>
        <w:contextualSpacing/>
        <w:jc w:val="both"/>
        <w:rPr>
          <w:rFonts w:ascii="Arial" w:hAnsi="Arial" w:cs="Arial"/>
          <w:sz w:val="24"/>
          <w:szCs w:val="24"/>
        </w:rPr>
      </w:pPr>
      <w:r w:rsidRPr="00016B36">
        <w:rPr>
          <w:rFonts w:ascii="Arial" w:hAnsi="Arial" w:cs="Arial"/>
          <w:sz w:val="24"/>
          <w:szCs w:val="24"/>
        </w:rPr>
        <w:t xml:space="preserve">O segundo método de pesquisa utilizado seria a análise documental sobre as amostras das sentenças encontradas na pesquisa realizada no campo. Para Marconi &amp; Lakatos (2011) a pesquisa documental está referida a partir da coleta de dados que constam documentos escritos, podendo se referir ao momento do fenômeno ou depois. Por se tratarem das sentenças a pesquisa documental foi de fonte primária, tendo em vista seu caráter oficial, bem como as legislações analisadas.  (MARCONI &amp; LAKATOS, 2011). </w:t>
      </w:r>
    </w:p>
    <w:p w:rsidR="00DE6734" w:rsidRPr="00016B36" w:rsidRDefault="000B17DA">
      <w:pPr>
        <w:spacing w:line="360" w:lineRule="auto"/>
        <w:ind w:firstLine="709"/>
        <w:contextualSpacing/>
        <w:jc w:val="both"/>
        <w:rPr>
          <w:rFonts w:ascii="Arial" w:hAnsi="Arial" w:cs="Arial"/>
          <w:sz w:val="24"/>
          <w:szCs w:val="24"/>
        </w:rPr>
      </w:pPr>
      <w:r w:rsidRPr="00016B36">
        <w:rPr>
          <w:rFonts w:ascii="Arial" w:hAnsi="Arial" w:cs="Arial"/>
          <w:sz w:val="24"/>
          <w:szCs w:val="24"/>
        </w:rPr>
        <w:t xml:space="preserve">Assim foi possível uma análise tanto quantitativa quanto qualitativa dos dados obtidos pela coleta. No primeiro momento foi somada a quantidade de sentenças que foram acessadas, no segundo extraídas as sentenças que se aproximam com o tema de pesquisa. Dessa forma, foi possível a análise qualitativa dos dados, permitindo uma análise de conteúdo acerca do que foi encontrado nos documentos oficiais, permitindo uma compreensão e interpretação do caso (MINAYO, 2007).    </w:t>
      </w:r>
    </w:p>
    <w:p w:rsidR="00DE6734" w:rsidRPr="00016B36" w:rsidRDefault="00DE6734">
      <w:pPr>
        <w:spacing w:after="0" w:line="360" w:lineRule="auto"/>
        <w:contextualSpacing/>
        <w:jc w:val="both"/>
        <w:rPr>
          <w:rFonts w:ascii="Arial" w:hAnsi="Arial" w:cs="Arial"/>
          <w:sz w:val="24"/>
          <w:szCs w:val="24"/>
        </w:rPr>
      </w:pPr>
    </w:p>
    <w:p w:rsidR="00DE6734" w:rsidRPr="00016B36" w:rsidRDefault="000B17DA">
      <w:pPr>
        <w:rPr>
          <w:rFonts w:ascii="Arial" w:hAnsi="Arial" w:cs="Arial"/>
          <w:b/>
          <w:sz w:val="24"/>
          <w:szCs w:val="24"/>
        </w:rPr>
      </w:pPr>
      <w:r w:rsidRPr="00016B36">
        <w:rPr>
          <w:rFonts w:ascii="Arial" w:hAnsi="Arial" w:cs="Arial"/>
          <w:b/>
          <w:sz w:val="24"/>
          <w:szCs w:val="24"/>
        </w:rPr>
        <w:t>5. CONSIDERAÇÕES FINAIS</w:t>
      </w:r>
    </w:p>
    <w:p w:rsidR="00DE6734" w:rsidRPr="00016B36" w:rsidRDefault="00DE6734">
      <w:pPr>
        <w:rPr>
          <w:rFonts w:ascii="Arial" w:hAnsi="Arial" w:cs="Arial"/>
          <w:sz w:val="24"/>
          <w:szCs w:val="24"/>
        </w:rPr>
      </w:pPr>
    </w:p>
    <w:p w:rsidR="00DE6734" w:rsidRPr="00016B36" w:rsidRDefault="000B17DA">
      <w:pPr>
        <w:spacing w:after="0" w:line="360" w:lineRule="auto"/>
        <w:ind w:firstLine="709"/>
        <w:contextualSpacing/>
        <w:jc w:val="both"/>
        <w:rPr>
          <w:rFonts w:ascii="Arial" w:hAnsi="Arial" w:cs="Arial"/>
          <w:sz w:val="24"/>
          <w:szCs w:val="24"/>
        </w:rPr>
      </w:pPr>
      <w:r w:rsidRPr="00016B36">
        <w:rPr>
          <w:rFonts w:ascii="Arial" w:hAnsi="Arial" w:cs="Arial"/>
          <w:sz w:val="24"/>
          <w:szCs w:val="24"/>
        </w:rPr>
        <w:t xml:space="preserve">O presente estudo procurou compreender a violência contra a mulher no espaço doméstico e no contexto familiar, bem como a conjunção da Lei Maria da Penha (11.340/2006) com o Estatuto da Criança e Adolescente (8.069/2006), quando o agressor é sujeito protegido pelo ECA. Pelas inúmeras possibilidades de se constituir a relação de violência contra a mulher, foi percebido dentre os argumentos teóricos e indeterminação do agressor da referida lei, foi possível perceber que posição de agressor na violência doméstica e familiar ser ocupado por adolescente. </w:t>
      </w:r>
    </w:p>
    <w:p w:rsidR="00DE6734" w:rsidRPr="00016B36" w:rsidRDefault="000B17DA">
      <w:pPr>
        <w:spacing w:after="0" w:line="360" w:lineRule="auto"/>
        <w:ind w:firstLine="709"/>
        <w:contextualSpacing/>
        <w:jc w:val="both"/>
        <w:rPr>
          <w:rFonts w:ascii="Arial" w:hAnsi="Arial" w:cs="Arial"/>
          <w:sz w:val="24"/>
          <w:szCs w:val="24"/>
        </w:rPr>
      </w:pPr>
      <w:r w:rsidRPr="00016B36">
        <w:rPr>
          <w:rFonts w:ascii="Arial" w:hAnsi="Arial" w:cs="Arial"/>
          <w:sz w:val="24"/>
          <w:szCs w:val="24"/>
        </w:rPr>
        <w:t xml:space="preserve">Nos dados coletados da pesquisa foi observado que a posição de agressor, foi ocupada por adolescentes do sexo feminino, e contra suas </w:t>
      </w:r>
      <w:r w:rsidRPr="00016B36">
        <w:rPr>
          <w:rFonts w:ascii="Arial" w:hAnsi="Arial" w:cs="Arial"/>
          <w:sz w:val="24"/>
          <w:szCs w:val="24"/>
        </w:rPr>
        <w:lastRenderedPageBreak/>
        <w:t xml:space="preserve">genitoras. Pela obediência da legislação 8.069/1990 os dois casos foram tratados na Vara da Infância e Juventude de Campina Grande - PB, e as decisões analisadas foram proferidas a partir do ECA e do Código Penal Brasileiro. Entretanto, para esses dois casos e dentro do universo das 40 sentenças pesquisadas, o juízo </w:t>
      </w:r>
      <w:r w:rsidRPr="00016B36">
        <w:rPr>
          <w:rFonts w:ascii="Arial" w:eastAsia="Times New Roman" w:hAnsi="Arial" w:cs="Arial"/>
          <w:spacing w:val="2"/>
          <w:sz w:val="24"/>
          <w:szCs w:val="24"/>
          <w:lang w:eastAsia="pt-BR"/>
        </w:rPr>
        <w:t>aplicação do ECA conforme a letra da lei, no sentido de perceber que a responsabilização dos atos  de infração praticadas pelas agentes devem obedecer o Código Penal Brasileiro (art. 226, Lei 8.069/1990)</w:t>
      </w:r>
    </w:p>
    <w:p w:rsidR="00DE6734" w:rsidRPr="00016B36" w:rsidRDefault="000B17DA">
      <w:pPr>
        <w:spacing w:after="0" w:line="360" w:lineRule="auto"/>
        <w:ind w:firstLine="709"/>
        <w:contextualSpacing/>
        <w:jc w:val="both"/>
        <w:rPr>
          <w:rFonts w:ascii="Arial" w:eastAsia="SimSun" w:hAnsi="Arial" w:cs="Arial"/>
          <w:sz w:val="24"/>
          <w:szCs w:val="24"/>
          <w:shd w:val="clear" w:color="auto" w:fill="FFFFFF"/>
        </w:rPr>
      </w:pPr>
      <w:r w:rsidRPr="00016B36">
        <w:rPr>
          <w:rFonts w:ascii="Arial" w:hAnsi="Arial" w:cs="Arial"/>
          <w:sz w:val="24"/>
          <w:szCs w:val="24"/>
        </w:rPr>
        <w:t>Além disso, o entendimento do juízo não considerou, em suas decisões,  os atos infracionais como violência doméstica e familiar contra a mulher, o que reforça uma posição em conjunção nas decisões analisadas com o pensamento jurisprudencial do STJ (</w:t>
      </w:r>
      <w:r w:rsidRPr="00016B36">
        <w:rPr>
          <w:rFonts w:ascii="Arial" w:eastAsia="Times New Roman" w:hAnsi="Arial" w:cs="Arial"/>
          <w:spacing w:val="2"/>
          <w:sz w:val="24"/>
          <w:szCs w:val="24"/>
          <w:lang w:eastAsia="pt-BR"/>
        </w:rPr>
        <w:t xml:space="preserve">STJ - RHC: 50636 AL 2014/0206419-4). </w:t>
      </w:r>
    </w:p>
    <w:p w:rsidR="00DE6734" w:rsidRPr="00016B36" w:rsidRDefault="000B17DA">
      <w:pPr>
        <w:spacing w:after="0" w:line="360" w:lineRule="auto"/>
        <w:ind w:firstLine="709"/>
        <w:contextualSpacing/>
        <w:jc w:val="both"/>
        <w:rPr>
          <w:rFonts w:ascii="Arial" w:hAnsi="Arial" w:cs="Arial"/>
          <w:sz w:val="24"/>
          <w:szCs w:val="24"/>
        </w:rPr>
      </w:pPr>
      <w:r w:rsidRPr="00016B36">
        <w:rPr>
          <w:rFonts w:ascii="Arial" w:hAnsi="Arial" w:cs="Arial"/>
          <w:sz w:val="24"/>
          <w:szCs w:val="24"/>
        </w:rPr>
        <w:t>Apesar das decisões proferidas pelo juízo a violência doméstica e familiar contra a mulher, está estabelecida pelos fatos relatados. Contudo, legalmente e jurisprudencialmente de acordo com o posição do STJ, a violência proferida pelas adolescentes infratoras não podem ser configuradas na Lei Maria da Penha, visto que a legislação em análise assegura não só a mulher quanto o único sujeito passivo da ação violenta, mas também a condição de gênero que se constituiu socialmente como um modo insegurança para a vida da mulher. Segundo o próprio tribunal, a condição de subordinação de gênero deve ser elementar para configurar violência doméstica e familiar contra a mulher.</w:t>
      </w:r>
    </w:p>
    <w:p w:rsidR="00DE6734" w:rsidRPr="00016B36" w:rsidRDefault="00DE6734">
      <w:pPr>
        <w:rPr>
          <w:rFonts w:ascii="Arial" w:hAnsi="Arial" w:cs="Arial"/>
          <w:sz w:val="24"/>
          <w:szCs w:val="24"/>
        </w:rPr>
      </w:pPr>
    </w:p>
    <w:p w:rsidR="00DE6734" w:rsidRPr="00016B36" w:rsidRDefault="000B17DA">
      <w:pPr>
        <w:spacing w:after="0" w:line="240" w:lineRule="auto"/>
        <w:contextualSpacing/>
        <w:jc w:val="center"/>
        <w:rPr>
          <w:rFonts w:ascii="Arial" w:hAnsi="Arial" w:cs="Arial"/>
          <w:b/>
          <w:sz w:val="24"/>
          <w:szCs w:val="24"/>
        </w:rPr>
      </w:pPr>
      <w:r w:rsidRPr="00016B36">
        <w:rPr>
          <w:rFonts w:ascii="Arial" w:hAnsi="Arial" w:cs="Arial"/>
          <w:b/>
          <w:sz w:val="24"/>
          <w:szCs w:val="24"/>
        </w:rPr>
        <w:t>REFERÊNCIAS BIBLIOGRÁFICAS</w:t>
      </w:r>
    </w:p>
    <w:p w:rsidR="00DE6734" w:rsidRPr="00016B36" w:rsidRDefault="00DE6734">
      <w:pPr>
        <w:spacing w:after="0" w:line="240" w:lineRule="auto"/>
        <w:contextualSpacing/>
        <w:jc w:val="both"/>
        <w:rPr>
          <w:rFonts w:ascii="Arial" w:hAnsi="Arial" w:cs="Arial"/>
          <w:sz w:val="24"/>
          <w:szCs w:val="24"/>
        </w:rPr>
      </w:pPr>
    </w:p>
    <w:p w:rsidR="00DE6734" w:rsidRPr="00016B36" w:rsidRDefault="00DE6734">
      <w:pPr>
        <w:spacing w:after="0" w:line="240" w:lineRule="auto"/>
        <w:contextualSpacing/>
        <w:jc w:val="both"/>
        <w:rPr>
          <w:rFonts w:ascii="Arial" w:hAnsi="Arial" w:cs="Arial"/>
          <w:sz w:val="24"/>
          <w:szCs w:val="24"/>
        </w:rPr>
      </w:pPr>
    </w:p>
    <w:p w:rsidR="00DE6734" w:rsidRPr="00016B36" w:rsidRDefault="000B17DA">
      <w:pPr>
        <w:spacing w:after="0" w:line="240" w:lineRule="auto"/>
        <w:contextualSpacing/>
        <w:jc w:val="both"/>
        <w:rPr>
          <w:rFonts w:ascii="Arial" w:hAnsi="Arial" w:cs="Arial"/>
          <w:sz w:val="24"/>
          <w:szCs w:val="24"/>
        </w:rPr>
      </w:pPr>
      <w:r w:rsidRPr="00016B36">
        <w:rPr>
          <w:rFonts w:ascii="Arial" w:hAnsi="Arial" w:cs="Arial"/>
          <w:sz w:val="24"/>
          <w:szCs w:val="24"/>
        </w:rPr>
        <w:t xml:space="preserve">ALVES, Williana Alexandre; OLIVEIRA, Maria Tereza. A lei Maria da Penha e o enfrentamento à violência contra a mulher. </w:t>
      </w:r>
      <w:r w:rsidRPr="00016B36">
        <w:rPr>
          <w:rFonts w:ascii="Arial" w:hAnsi="Arial" w:cs="Arial"/>
          <w:i/>
          <w:sz w:val="24"/>
          <w:szCs w:val="24"/>
        </w:rPr>
        <w:t xml:space="preserve">IN </w:t>
      </w:r>
      <w:r w:rsidRPr="00016B36">
        <w:rPr>
          <w:rFonts w:ascii="Arial" w:hAnsi="Arial" w:cs="Arial"/>
          <w:sz w:val="24"/>
          <w:szCs w:val="24"/>
        </w:rPr>
        <w:t xml:space="preserve">FONAVID. </w:t>
      </w:r>
      <w:r w:rsidRPr="00016B36">
        <w:rPr>
          <w:rFonts w:ascii="Arial" w:hAnsi="Arial" w:cs="Arial"/>
          <w:b/>
          <w:sz w:val="24"/>
          <w:szCs w:val="24"/>
        </w:rPr>
        <w:t>Leituras de direito: violência doméstica e familiar contra a mulher</w:t>
      </w:r>
      <w:r w:rsidRPr="00016B36">
        <w:rPr>
          <w:rFonts w:ascii="Arial" w:hAnsi="Arial" w:cs="Arial"/>
          <w:sz w:val="24"/>
          <w:szCs w:val="24"/>
        </w:rPr>
        <w:t>. Orgs. NETO, Cornélio Alves de Azevedo; MARQUES, Deyvis de Oliveira. TJRN: Natal, 2017.</w:t>
      </w:r>
    </w:p>
    <w:p w:rsidR="00DB0F84" w:rsidRPr="00016B36" w:rsidRDefault="00DB0F84">
      <w:pPr>
        <w:spacing w:after="0" w:line="240" w:lineRule="auto"/>
        <w:contextualSpacing/>
        <w:jc w:val="both"/>
        <w:rPr>
          <w:rFonts w:ascii="Arial" w:hAnsi="Arial" w:cs="Arial"/>
          <w:sz w:val="24"/>
          <w:szCs w:val="24"/>
        </w:rPr>
      </w:pPr>
    </w:p>
    <w:p w:rsidR="00DB0F84" w:rsidRPr="00016B36" w:rsidRDefault="00DB0F84" w:rsidP="00DB0F84">
      <w:pPr>
        <w:pStyle w:val="Ttulo1"/>
        <w:shd w:val="clear" w:color="auto" w:fill="FFFFFF"/>
        <w:spacing w:after="0" w:line="240" w:lineRule="auto"/>
        <w:contextualSpacing/>
        <w:jc w:val="both"/>
        <w:rPr>
          <w:rFonts w:ascii="Arial" w:hAnsi="Arial" w:cs="Arial"/>
          <w:b w:val="0"/>
          <w:color w:val="auto"/>
          <w:szCs w:val="24"/>
        </w:rPr>
      </w:pPr>
      <w:r w:rsidRPr="00016B36">
        <w:rPr>
          <w:rFonts w:ascii="Arial" w:hAnsi="Arial" w:cs="Arial"/>
          <w:b w:val="0"/>
          <w:color w:val="auto"/>
          <w:szCs w:val="24"/>
        </w:rPr>
        <w:t xml:space="preserve">BIANCHINI, Alice. Aplicação da lei maria da penha a transexual, 2011. Disponível em: </w:t>
      </w:r>
      <w:hyperlink r:id="rId9" w:history="1">
        <w:r w:rsidRPr="00016B36">
          <w:rPr>
            <w:rStyle w:val="Hyperlink"/>
            <w:rFonts w:ascii="Arial" w:hAnsi="Arial" w:cs="Arial"/>
            <w:b w:val="0"/>
            <w:color w:val="auto"/>
            <w:szCs w:val="24"/>
            <w:u w:val="none"/>
          </w:rPr>
          <w:t>https://professoraalice.jusbrasil.com.br/artigos/121814113/aplicacao-da-lei-maria-da-penha-a-transexual</w:t>
        </w:r>
      </w:hyperlink>
      <w:r w:rsidRPr="00016B36">
        <w:rPr>
          <w:rFonts w:ascii="Arial" w:hAnsi="Arial" w:cs="Arial"/>
          <w:b w:val="0"/>
          <w:color w:val="auto"/>
          <w:szCs w:val="24"/>
        </w:rPr>
        <w:t>. Acesso em: 12 nov 2019</w:t>
      </w:r>
    </w:p>
    <w:p w:rsidR="00DE6734" w:rsidRPr="00016B36" w:rsidRDefault="00DE6734">
      <w:pPr>
        <w:spacing w:after="0" w:line="240" w:lineRule="auto"/>
        <w:contextualSpacing/>
        <w:jc w:val="both"/>
        <w:rPr>
          <w:rFonts w:ascii="Arial" w:hAnsi="Arial" w:cs="Arial"/>
          <w:sz w:val="24"/>
          <w:szCs w:val="24"/>
        </w:rPr>
      </w:pPr>
    </w:p>
    <w:p w:rsidR="00DE6734" w:rsidRPr="00016B36" w:rsidRDefault="000B17DA">
      <w:pPr>
        <w:spacing w:after="0" w:line="240" w:lineRule="auto"/>
        <w:contextualSpacing/>
        <w:jc w:val="both"/>
        <w:rPr>
          <w:rFonts w:ascii="Arial" w:hAnsi="Arial" w:cs="Arial"/>
          <w:sz w:val="24"/>
          <w:szCs w:val="24"/>
        </w:rPr>
      </w:pPr>
      <w:r w:rsidRPr="00016B36">
        <w:rPr>
          <w:rFonts w:ascii="Arial" w:hAnsi="Arial" w:cs="Arial"/>
          <w:sz w:val="24"/>
          <w:szCs w:val="24"/>
        </w:rPr>
        <w:t xml:space="preserve">BORDIGON, Jones. </w:t>
      </w:r>
      <w:r w:rsidRPr="00016B36">
        <w:rPr>
          <w:rFonts w:ascii="Arial" w:hAnsi="Arial" w:cs="Arial"/>
          <w:b/>
          <w:sz w:val="24"/>
          <w:szCs w:val="24"/>
        </w:rPr>
        <w:t>A aplicabilidade da Lei 11.340/06 (Lei Maria da Penha) e/ou da Lei 8.069/90 nos casos em que o agressor (a) é adolescente</w:t>
      </w:r>
      <w:r w:rsidRPr="00016B36">
        <w:rPr>
          <w:rFonts w:ascii="Arial" w:hAnsi="Arial" w:cs="Arial"/>
          <w:sz w:val="24"/>
          <w:szCs w:val="24"/>
        </w:rPr>
        <w:t>. UNIVATES, Monografia: Lajeado, 2009.</w:t>
      </w:r>
    </w:p>
    <w:p w:rsidR="00DE6734" w:rsidRPr="00016B36" w:rsidRDefault="00DE6734">
      <w:pPr>
        <w:spacing w:after="0" w:line="240" w:lineRule="auto"/>
        <w:contextualSpacing/>
        <w:jc w:val="both"/>
        <w:rPr>
          <w:rFonts w:ascii="Arial" w:hAnsi="Arial" w:cs="Arial"/>
          <w:sz w:val="24"/>
          <w:szCs w:val="24"/>
        </w:rPr>
      </w:pPr>
    </w:p>
    <w:p w:rsidR="00DE6734" w:rsidRPr="00016B36" w:rsidRDefault="000B17DA">
      <w:pPr>
        <w:spacing w:after="0" w:line="240" w:lineRule="auto"/>
        <w:ind w:right="-1"/>
        <w:contextualSpacing/>
        <w:jc w:val="both"/>
        <w:rPr>
          <w:rFonts w:ascii="Arial" w:hAnsi="Arial" w:cs="Arial"/>
          <w:sz w:val="24"/>
          <w:szCs w:val="24"/>
        </w:rPr>
      </w:pPr>
      <w:r w:rsidRPr="00016B36">
        <w:rPr>
          <w:rFonts w:ascii="Arial" w:hAnsi="Arial" w:cs="Arial"/>
          <w:sz w:val="24"/>
          <w:szCs w:val="24"/>
        </w:rPr>
        <w:lastRenderedPageBreak/>
        <w:t xml:space="preserve">BRASIL. </w:t>
      </w:r>
      <w:hyperlink r:id="rId10" w:history="1">
        <w:r w:rsidRPr="00016B36">
          <w:rPr>
            <w:rStyle w:val="Forte"/>
            <w:rFonts w:ascii="Arial" w:hAnsi="Arial" w:cs="Arial"/>
            <w:sz w:val="24"/>
            <w:szCs w:val="24"/>
            <w:shd w:val="clear" w:color="auto" w:fill="FFFFFF"/>
          </w:rPr>
          <w:t>Lei nº 8.069, de 13 de julho de 1990.</w:t>
        </w:r>
      </w:hyperlink>
      <w:r w:rsidRPr="00016B36">
        <w:rPr>
          <w:rFonts w:ascii="Arial" w:hAnsi="Arial" w:cs="Arial"/>
          <w:sz w:val="24"/>
          <w:szCs w:val="24"/>
        </w:rPr>
        <w:t xml:space="preserve"> Disponível em: </w:t>
      </w:r>
      <w:hyperlink r:id="rId11" w:history="1">
        <w:r w:rsidRPr="00016B36">
          <w:rPr>
            <w:rStyle w:val="Hyperlink"/>
            <w:rFonts w:ascii="Arial" w:hAnsi="Arial" w:cs="Arial"/>
            <w:color w:val="auto"/>
            <w:sz w:val="24"/>
            <w:szCs w:val="24"/>
            <w:u w:val="none"/>
          </w:rPr>
          <w:t>http://www.planalto.gov.br/ccivil_03/leis/l8069.htm</w:t>
        </w:r>
      </w:hyperlink>
      <w:r w:rsidRPr="00016B36">
        <w:rPr>
          <w:rFonts w:ascii="Arial" w:hAnsi="Arial" w:cs="Arial"/>
          <w:sz w:val="24"/>
          <w:szCs w:val="24"/>
        </w:rPr>
        <w:t xml:space="preserve">. Acesso em: 30 out 2019 </w:t>
      </w:r>
    </w:p>
    <w:p w:rsidR="00DE6734" w:rsidRPr="00016B36" w:rsidRDefault="00DE6734">
      <w:pPr>
        <w:spacing w:after="0" w:line="240" w:lineRule="auto"/>
        <w:ind w:right="-1"/>
        <w:contextualSpacing/>
        <w:jc w:val="both"/>
        <w:rPr>
          <w:rFonts w:ascii="Arial" w:hAnsi="Arial" w:cs="Arial"/>
          <w:sz w:val="24"/>
          <w:szCs w:val="24"/>
        </w:rPr>
      </w:pPr>
    </w:p>
    <w:p w:rsidR="00DE6734" w:rsidRPr="00016B36" w:rsidRDefault="000B17DA">
      <w:pPr>
        <w:spacing w:after="0" w:line="240" w:lineRule="auto"/>
        <w:ind w:right="-1"/>
        <w:contextualSpacing/>
        <w:jc w:val="both"/>
        <w:rPr>
          <w:rFonts w:ascii="Arial" w:hAnsi="Arial" w:cs="Arial"/>
          <w:sz w:val="24"/>
          <w:szCs w:val="24"/>
        </w:rPr>
      </w:pPr>
      <w:r w:rsidRPr="00016B36">
        <w:rPr>
          <w:rFonts w:ascii="Arial" w:hAnsi="Arial" w:cs="Arial"/>
          <w:sz w:val="24"/>
          <w:szCs w:val="24"/>
        </w:rPr>
        <w:t xml:space="preserve">BRASIL. </w:t>
      </w:r>
      <w:hyperlink r:id="rId12" w:history="1">
        <w:r w:rsidRPr="00016B36">
          <w:rPr>
            <w:rStyle w:val="Hyperlink"/>
            <w:rFonts w:ascii="Arial" w:hAnsi="Arial" w:cs="Arial"/>
            <w:b/>
            <w:bCs/>
            <w:color w:val="auto"/>
            <w:sz w:val="24"/>
            <w:szCs w:val="24"/>
            <w:u w:val="none"/>
          </w:rPr>
          <w:t>Lei nº 11.340, de 7 de agosto de 2006</w:t>
        </w:r>
      </w:hyperlink>
      <w:r w:rsidRPr="00016B36">
        <w:rPr>
          <w:rStyle w:val="Forte"/>
          <w:rFonts w:ascii="Arial" w:hAnsi="Arial" w:cs="Arial"/>
          <w:b w:val="0"/>
          <w:sz w:val="24"/>
          <w:szCs w:val="24"/>
        </w:rPr>
        <w:t>.</w:t>
      </w:r>
      <w:r w:rsidRPr="00016B36">
        <w:rPr>
          <w:rFonts w:ascii="Arial" w:hAnsi="Arial" w:cs="Arial"/>
          <w:sz w:val="24"/>
          <w:szCs w:val="24"/>
        </w:rPr>
        <w:t xml:space="preserve"> Disponível em: </w:t>
      </w:r>
      <w:hyperlink r:id="rId13" w:history="1">
        <w:r w:rsidRPr="00016B36">
          <w:rPr>
            <w:rStyle w:val="Hyperlink"/>
            <w:rFonts w:ascii="Arial" w:hAnsi="Arial" w:cs="Arial"/>
            <w:color w:val="auto"/>
            <w:sz w:val="24"/>
            <w:szCs w:val="24"/>
            <w:u w:val="none"/>
          </w:rPr>
          <w:t>http://www.planalto.gov.br/ccivil_03/_ato2004-2006/2006/lei/l11340.htm</w:t>
        </w:r>
      </w:hyperlink>
      <w:r w:rsidRPr="00016B36">
        <w:rPr>
          <w:rFonts w:ascii="Arial" w:hAnsi="Arial" w:cs="Arial"/>
          <w:sz w:val="24"/>
          <w:szCs w:val="24"/>
        </w:rPr>
        <w:t xml:space="preserve"> Acesso em: 28 out 2019 </w:t>
      </w:r>
    </w:p>
    <w:p w:rsidR="00DE6734" w:rsidRPr="00016B36" w:rsidRDefault="00DE6734">
      <w:pPr>
        <w:spacing w:after="0" w:line="240" w:lineRule="auto"/>
        <w:ind w:right="-1"/>
        <w:contextualSpacing/>
        <w:jc w:val="both"/>
        <w:rPr>
          <w:rFonts w:ascii="Arial" w:hAnsi="Arial" w:cs="Arial"/>
          <w:sz w:val="24"/>
          <w:szCs w:val="24"/>
        </w:rPr>
      </w:pPr>
    </w:p>
    <w:p w:rsidR="00DE6734" w:rsidRPr="00016B36" w:rsidRDefault="000B17DA">
      <w:pPr>
        <w:spacing w:after="0" w:line="240" w:lineRule="auto"/>
        <w:ind w:right="-1"/>
        <w:contextualSpacing/>
        <w:jc w:val="both"/>
        <w:rPr>
          <w:rFonts w:ascii="Arial" w:hAnsi="Arial" w:cs="Arial"/>
          <w:sz w:val="24"/>
          <w:szCs w:val="24"/>
        </w:rPr>
      </w:pPr>
      <w:r w:rsidRPr="00016B36">
        <w:rPr>
          <w:rFonts w:ascii="Arial" w:hAnsi="Arial" w:cs="Arial"/>
          <w:sz w:val="24"/>
          <w:szCs w:val="24"/>
        </w:rPr>
        <w:t xml:space="preserve">BRASIL. </w:t>
      </w:r>
      <w:r w:rsidRPr="00016B36">
        <w:rPr>
          <w:rFonts w:ascii="Arial" w:hAnsi="Arial" w:cs="Arial"/>
          <w:b/>
          <w:sz w:val="24"/>
          <w:szCs w:val="24"/>
        </w:rPr>
        <w:t xml:space="preserve">CÓDIGO PENAL: </w:t>
      </w:r>
      <w:hyperlink r:id="rId14" w:history="1">
        <w:r w:rsidRPr="00016B36">
          <w:rPr>
            <w:rStyle w:val="Forte"/>
            <w:rFonts w:ascii="Arial" w:hAnsi="Arial" w:cs="Arial"/>
            <w:b w:val="0"/>
            <w:sz w:val="24"/>
            <w:szCs w:val="24"/>
            <w:shd w:val="clear" w:color="auto" w:fill="FFFFFF"/>
          </w:rPr>
          <w:t>decreto-lei n</w:t>
        </w:r>
        <w:r w:rsidRPr="00016B36">
          <w:rPr>
            <w:rStyle w:val="Forte"/>
            <w:rFonts w:ascii="Arial" w:hAnsi="Arial" w:cs="Arial"/>
            <w:b w:val="0"/>
            <w:sz w:val="24"/>
            <w:szCs w:val="24"/>
            <w:shd w:val="clear" w:color="auto" w:fill="FFFFFF"/>
            <w:vertAlign w:val="superscript"/>
          </w:rPr>
          <w:t>o</w:t>
        </w:r>
        <w:r w:rsidRPr="00016B36">
          <w:rPr>
            <w:rStyle w:val="Forte"/>
            <w:rFonts w:ascii="Arial" w:hAnsi="Arial" w:cs="Arial"/>
            <w:b w:val="0"/>
            <w:sz w:val="24"/>
            <w:szCs w:val="24"/>
            <w:shd w:val="clear" w:color="auto" w:fill="FFFFFF"/>
          </w:rPr>
          <w:t> 2.848, de 7 de dezembro de 1940.</w:t>
        </w:r>
      </w:hyperlink>
      <w:r w:rsidRPr="00016B36">
        <w:rPr>
          <w:rFonts w:ascii="Arial" w:hAnsi="Arial" w:cs="Arial"/>
          <w:sz w:val="24"/>
          <w:szCs w:val="24"/>
        </w:rPr>
        <w:t xml:space="preserve"> Disponível em: </w:t>
      </w:r>
      <w:hyperlink r:id="rId15" w:history="1">
        <w:r w:rsidRPr="00016B36">
          <w:rPr>
            <w:rStyle w:val="Hyperlink"/>
            <w:rFonts w:ascii="Arial" w:hAnsi="Arial" w:cs="Arial"/>
            <w:color w:val="auto"/>
            <w:sz w:val="24"/>
            <w:szCs w:val="24"/>
            <w:u w:val="none"/>
          </w:rPr>
          <w:t>http://www.planalto.gov.br/ccivil_03/decreto-lei/del2848.htm</w:t>
        </w:r>
      </w:hyperlink>
      <w:r w:rsidRPr="00016B36">
        <w:rPr>
          <w:rFonts w:ascii="Arial" w:hAnsi="Arial" w:cs="Arial"/>
          <w:sz w:val="24"/>
          <w:szCs w:val="24"/>
        </w:rPr>
        <w:t xml:space="preserve">. Acesso em: 05 nov 2019 </w:t>
      </w:r>
    </w:p>
    <w:p w:rsidR="00DE6734" w:rsidRPr="00016B36" w:rsidRDefault="00DE6734">
      <w:pPr>
        <w:spacing w:after="0" w:line="240" w:lineRule="auto"/>
        <w:ind w:right="-1"/>
        <w:contextualSpacing/>
        <w:jc w:val="both"/>
        <w:rPr>
          <w:rFonts w:ascii="Arial" w:hAnsi="Arial" w:cs="Arial"/>
          <w:sz w:val="24"/>
          <w:szCs w:val="24"/>
        </w:rPr>
      </w:pPr>
    </w:p>
    <w:p w:rsidR="00DE6734" w:rsidRPr="00016B36" w:rsidRDefault="000B17DA">
      <w:pPr>
        <w:spacing w:after="0" w:line="240" w:lineRule="auto"/>
        <w:ind w:right="-1"/>
        <w:contextualSpacing/>
        <w:jc w:val="both"/>
        <w:rPr>
          <w:rFonts w:ascii="Arial" w:hAnsi="Arial" w:cs="Arial"/>
          <w:sz w:val="24"/>
          <w:szCs w:val="24"/>
        </w:rPr>
      </w:pPr>
      <w:r w:rsidRPr="00016B36">
        <w:rPr>
          <w:rFonts w:ascii="Arial" w:hAnsi="Arial" w:cs="Arial"/>
          <w:sz w:val="24"/>
          <w:szCs w:val="24"/>
        </w:rPr>
        <w:t xml:space="preserve">BRASIL. </w:t>
      </w:r>
      <w:hyperlink r:id="rId16" w:history="1">
        <w:r w:rsidRPr="00016B36">
          <w:rPr>
            <w:rStyle w:val="Hyperlink"/>
            <w:rFonts w:ascii="Arial" w:hAnsi="Arial" w:cs="Arial"/>
            <w:b/>
            <w:bCs/>
            <w:color w:val="auto"/>
            <w:sz w:val="24"/>
            <w:szCs w:val="24"/>
            <w:u w:val="none"/>
            <w:shd w:val="clear" w:color="auto" w:fill="FFFFFF"/>
          </w:rPr>
          <w:t>Constituição da República Federativa do Brasil de 1988</w:t>
        </w:r>
      </w:hyperlink>
      <w:r w:rsidRPr="00016B36">
        <w:rPr>
          <w:rFonts w:ascii="Arial" w:hAnsi="Arial" w:cs="Arial"/>
          <w:b/>
          <w:sz w:val="24"/>
          <w:szCs w:val="24"/>
        </w:rPr>
        <w:t>.</w:t>
      </w:r>
      <w:r w:rsidRPr="00016B36">
        <w:rPr>
          <w:rFonts w:ascii="Arial" w:hAnsi="Arial" w:cs="Arial"/>
          <w:sz w:val="24"/>
          <w:szCs w:val="24"/>
        </w:rPr>
        <w:t xml:space="preserve"> Disponível em: </w:t>
      </w:r>
      <w:hyperlink r:id="rId17" w:history="1">
        <w:r w:rsidRPr="00016B36">
          <w:rPr>
            <w:rStyle w:val="Hyperlink"/>
            <w:rFonts w:ascii="Arial" w:hAnsi="Arial" w:cs="Arial"/>
            <w:color w:val="auto"/>
            <w:sz w:val="24"/>
            <w:szCs w:val="24"/>
            <w:u w:val="none"/>
          </w:rPr>
          <w:t>http://www.planalto.gov.br/ccivil_03/constituicao/constituicao.htm</w:t>
        </w:r>
      </w:hyperlink>
      <w:r w:rsidRPr="00016B36">
        <w:rPr>
          <w:rFonts w:ascii="Arial" w:hAnsi="Arial" w:cs="Arial"/>
          <w:sz w:val="24"/>
          <w:szCs w:val="24"/>
        </w:rPr>
        <w:t xml:space="preserve">. Acesso em: 07 nov 2019 </w:t>
      </w:r>
    </w:p>
    <w:p w:rsidR="00DE6734" w:rsidRPr="00016B36" w:rsidRDefault="00DE6734">
      <w:pPr>
        <w:spacing w:after="0" w:line="240" w:lineRule="auto"/>
        <w:ind w:right="-1"/>
        <w:contextualSpacing/>
        <w:jc w:val="both"/>
        <w:rPr>
          <w:rFonts w:ascii="Arial" w:hAnsi="Arial" w:cs="Arial"/>
          <w:sz w:val="24"/>
          <w:szCs w:val="24"/>
        </w:rPr>
      </w:pPr>
    </w:p>
    <w:p w:rsidR="00DE6734" w:rsidRPr="00016B36" w:rsidRDefault="000B17DA">
      <w:pPr>
        <w:spacing w:after="0" w:line="240" w:lineRule="auto"/>
        <w:ind w:right="-1"/>
        <w:contextualSpacing/>
        <w:jc w:val="both"/>
        <w:rPr>
          <w:rFonts w:ascii="Arial" w:hAnsi="Arial" w:cs="Arial"/>
          <w:sz w:val="24"/>
          <w:szCs w:val="24"/>
        </w:rPr>
      </w:pPr>
      <w:r w:rsidRPr="00016B36">
        <w:rPr>
          <w:rFonts w:ascii="Arial" w:hAnsi="Arial" w:cs="Arial"/>
          <w:sz w:val="24"/>
          <w:szCs w:val="24"/>
        </w:rPr>
        <w:t xml:space="preserve">DIAS, Maria Berenice. A Lei Maria da Penha na Justiça. </w:t>
      </w:r>
      <w:r w:rsidRPr="00016B36">
        <w:rPr>
          <w:rFonts w:ascii="Arial" w:hAnsi="Arial" w:cs="Arial"/>
          <w:b/>
          <w:sz w:val="24"/>
          <w:szCs w:val="24"/>
        </w:rPr>
        <w:t>Revista dos Tribunais</w:t>
      </w:r>
      <w:r w:rsidRPr="00016B36">
        <w:rPr>
          <w:rFonts w:ascii="Arial" w:hAnsi="Arial" w:cs="Arial"/>
          <w:sz w:val="24"/>
          <w:szCs w:val="24"/>
        </w:rPr>
        <w:t xml:space="preserve">, São Paulo: 2007.  </w:t>
      </w:r>
    </w:p>
    <w:p w:rsidR="00DE6734" w:rsidRPr="00016B36" w:rsidRDefault="00DE6734">
      <w:pPr>
        <w:spacing w:after="0" w:line="240" w:lineRule="auto"/>
        <w:ind w:right="-1"/>
        <w:contextualSpacing/>
        <w:jc w:val="both"/>
        <w:rPr>
          <w:rFonts w:ascii="Arial" w:hAnsi="Arial" w:cs="Arial"/>
          <w:sz w:val="24"/>
          <w:szCs w:val="24"/>
        </w:rPr>
      </w:pPr>
    </w:p>
    <w:p w:rsidR="00DE6734" w:rsidRPr="00016B36" w:rsidRDefault="000B17DA">
      <w:pPr>
        <w:spacing w:after="0" w:line="240" w:lineRule="auto"/>
        <w:contextualSpacing/>
        <w:jc w:val="both"/>
        <w:rPr>
          <w:rFonts w:ascii="Arial" w:hAnsi="Arial" w:cs="Arial"/>
          <w:sz w:val="24"/>
          <w:szCs w:val="24"/>
        </w:rPr>
      </w:pPr>
      <w:r w:rsidRPr="00016B36">
        <w:rPr>
          <w:rFonts w:ascii="Arial" w:hAnsi="Arial" w:cs="Arial"/>
          <w:sz w:val="24"/>
          <w:szCs w:val="24"/>
        </w:rPr>
        <w:t xml:space="preserve">FONSECA, Antonio Cezar Lima. Ato infracional e lei maria da penha. </w:t>
      </w:r>
      <w:r w:rsidRPr="00016B36">
        <w:rPr>
          <w:rFonts w:ascii="Arial" w:hAnsi="Arial" w:cs="Arial"/>
          <w:i/>
          <w:sz w:val="24"/>
          <w:szCs w:val="24"/>
        </w:rPr>
        <w:t>IN</w:t>
      </w:r>
      <w:r w:rsidRPr="00016B36">
        <w:rPr>
          <w:rFonts w:ascii="Arial" w:hAnsi="Arial" w:cs="Arial"/>
          <w:sz w:val="24"/>
          <w:szCs w:val="24"/>
        </w:rPr>
        <w:t xml:space="preserve"> </w:t>
      </w:r>
      <w:r w:rsidRPr="00016B36">
        <w:rPr>
          <w:rFonts w:ascii="Arial" w:hAnsi="Arial" w:cs="Arial"/>
          <w:b/>
          <w:sz w:val="24"/>
          <w:szCs w:val="24"/>
        </w:rPr>
        <w:t>Revista do Ministério Público do RS, Porto Alegre</w:t>
      </w:r>
      <w:r w:rsidRPr="00016B36">
        <w:rPr>
          <w:rFonts w:ascii="Arial" w:hAnsi="Arial" w:cs="Arial"/>
          <w:sz w:val="24"/>
          <w:szCs w:val="24"/>
        </w:rPr>
        <w:t>, n. 71, jan. 2012 – abr. 2012</w:t>
      </w:r>
    </w:p>
    <w:p w:rsidR="00DE6734" w:rsidRPr="00016B36" w:rsidRDefault="00DE6734">
      <w:pPr>
        <w:spacing w:after="0" w:line="240" w:lineRule="auto"/>
        <w:contextualSpacing/>
        <w:jc w:val="both"/>
        <w:rPr>
          <w:rFonts w:ascii="Arial" w:hAnsi="Arial" w:cs="Arial"/>
          <w:sz w:val="24"/>
          <w:szCs w:val="24"/>
        </w:rPr>
      </w:pPr>
    </w:p>
    <w:p w:rsidR="00DE6734" w:rsidRPr="00016B36" w:rsidRDefault="000B17DA">
      <w:pPr>
        <w:spacing w:after="0" w:line="240" w:lineRule="auto"/>
        <w:contextualSpacing/>
        <w:jc w:val="both"/>
        <w:rPr>
          <w:rFonts w:ascii="Arial" w:hAnsi="Arial" w:cs="Arial"/>
          <w:sz w:val="24"/>
          <w:szCs w:val="24"/>
        </w:rPr>
      </w:pPr>
      <w:r w:rsidRPr="00016B36">
        <w:rPr>
          <w:rFonts w:ascii="Arial" w:hAnsi="Arial" w:cs="Arial"/>
          <w:sz w:val="24"/>
          <w:szCs w:val="24"/>
        </w:rPr>
        <w:t xml:space="preserve">GIL, Antônio Carlos. </w:t>
      </w:r>
      <w:r w:rsidRPr="00016B36">
        <w:rPr>
          <w:rFonts w:ascii="Arial" w:hAnsi="Arial" w:cs="Arial"/>
          <w:b/>
          <w:sz w:val="24"/>
          <w:szCs w:val="24"/>
        </w:rPr>
        <w:t>Métodos e técnicas da pesquisa social</w:t>
      </w:r>
      <w:r w:rsidRPr="00016B36">
        <w:rPr>
          <w:rFonts w:ascii="Arial" w:hAnsi="Arial" w:cs="Arial"/>
          <w:sz w:val="24"/>
          <w:szCs w:val="24"/>
        </w:rPr>
        <w:t xml:space="preserve">, 6 ed. São Paulo: Atlas, 2008. </w:t>
      </w:r>
    </w:p>
    <w:p w:rsidR="00DE6734" w:rsidRPr="00016B36" w:rsidRDefault="00DE6734">
      <w:pPr>
        <w:spacing w:after="0" w:line="240" w:lineRule="auto"/>
        <w:contextualSpacing/>
        <w:jc w:val="both"/>
        <w:rPr>
          <w:rFonts w:ascii="Arial" w:hAnsi="Arial" w:cs="Arial"/>
          <w:sz w:val="24"/>
          <w:szCs w:val="24"/>
        </w:rPr>
      </w:pPr>
    </w:p>
    <w:p w:rsidR="00DE6734" w:rsidRPr="00016B36" w:rsidRDefault="000B17DA">
      <w:pPr>
        <w:spacing w:after="0" w:line="240" w:lineRule="auto"/>
        <w:ind w:right="-1"/>
        <w:contextualSpacing/>
        <w:jc w:val="both"/>
        <w:rPr>
          <w:rFonts w:ascii="Arial" w:hAnsi="Arial" w:cs="Arial"/>
          <w:sz w:val="24"/>
          <w:szCs w:val="24"/>
        </w:rPr>
      </w:pPr>
      <w:r w:rsidRPr="00016B36">
        <w:rPr>
          <w:rFonts w:ascii="Arial" w:hAnsi="Arial" w:cs="Arial"/>
          <w:sz w:val="24"/>
          <w:szCs w:val="24"/>
        </w:rPr>
        <w:t xml:space="preserve">LIMA, Renato Brasileiro. </w:t>
      </w:r>
      <w:r w:rsidRPr="00016B36">
        <w:rPr>
          <w:rFonts w:ascii="Arial" w:hAnsi="Arial" w:cs="Arial"/>
          <w:b/>
          <w:sz w:val="24"/>
          <w:szCs w:val="24"/>
        </w:rPr>
        <w:t>Legislação Criminal Especial Comentada.</w:t>
      </w:r>
      <w:r w:rsidRPr="00016B36">
        <w:rPr>
          <w:rFonts w:ascii="Arial" w:hAnsi="Arial" w:cs="Arial"/>
          <w:sz w:val="24"/>
          <w:szCs w:val="24"/>
        </w:rPr>
        <w:t xml:space="preserve"> 2ºed. Salvador: JusPODIVM, 2014, p. 897-968</w:t>
      </w:r>
    </w:p>
    <w:p w:rsidR="00DE6734" w:rsidRPr="00016B36" w:rsidRDefault="00DE6734">
      <w:pPr>
        <w:spacing w:after="0" w:line="240" w:lineRule="auto"/>
        <w:contextualSpacing/>
        <w:jc w:val="both"/>
        <w:rPr>
          <w:rFonts w:ascii="Arial" w:hAnsi="Arial" w:cs="Arial"/>
          <w:sz w:val="24"/>
          <w:szCs w:val="24"/>
        </w:rPr>
      </w:pPr>
    </w:p>
    <w:p w:rsidR="00DE6734" w:rsidRPr="00016B36" w:rsidRDefault="000B17DA">
      <w:pPr>
        <w:spacing w:after="0" w:line="240" w:lineRule="auto"/>
        <w:contextualSpacing/>
        <w:jc w:val="both"/>
        <w:rPr>
          <w:rFonts w:ascii="Arial" w:hAnsi="Arial" w:cs="Arial"/>
          <w:sz w:val="24"/>
          <w:szCs w:val="24"/>
        </w:rPr>
      </w:pPr>
      <w:r w:rsidRPr="00016B36">
        <w:rPr>
          <w:rFonts w:ascii="Arial" w:hAnsi="Arial" w:cs="Arial"/>
          <w:sz w:val="24"/>
          <w:szCs w:val="24"/>
        </w:rPr>
        <w:t xml:space="preserve">MARCONI, Marina de Andrade; LAKATOS, Eva Maria. </w:t>
      </w:r>
      <w:r w:rsidRPr="00016B36">
        <w:rPr>
          <w:rFonts w:ascii="Arial" w:hAnsi="Arial" w:cs="Arial"/>
          <w:b/>
          <w:sz w:val="24"/>
          <w:szCs w:val="24"/>
        </w:rPr>
        <w:t>Metodologia do trabalho científico</w:t>
      </w:r>
      <w:r w:rsidRPr="00016B36">
        <w:rPr>
          <w:rFonts w:ascii="Arial" w:hAnsi="Arial" w:cs="Arial"/>
          <w:sz w:val="24"/>
          <w:szCs w:val="24"/>
        </w:rPr>
        <w:t>: procedimentos básicos, pesquisa bibliográfica, projeto e relatório, publicações e trabalhos científicos. 7. ed. São Paulo: Atlas: 2011.</w:t>
      </w:r>
    </w:p>
    <w:p w:rsidR="00DE6734" w:rsidRPr="00016B36" w:rsidRDefault="00DE6734">
      <w:pPr>
        <w:spacing w:after="0" w:line="240" w:lineRule="auto"/>
        <w:contextualSpacing/>
        <w:jc w:val="both"/>
        <w:rPr>
          <w:rFonts w:ascii="Arial" w:hAnsi="Arial" w:cs="Arial"/>
          <w:sz w:val="24"/>
          <w:szCs w:val="24"/>
        </w:rPr>
      </w:pPr>
    </w:p>
    <w:p w:rsidR="00DE6734" w:rsidRPr="00016B36" w:rsidRDefault="000B17DA">
      <w:pPr>
        <w:spacing w:after="0" w:line="240" w:lineRule="auto"/>
        <w:contextualSpacing/>
        <w:jc w:val="both"/>
        <w:rPr>
          <w:rFonts w:ascii="Arial" w:hAnsi="Arial" w:cs="Arial"/>
          <w:sz w:val="24"/>
          <w:szCs w:val="24"/>
        </w:rPr>
      </w:pPr>
      <w:r w:rsidRPr="00016B36">
        <w:rPr>
          <w:rFonts w:ascii="Arial" w:hAnsi="Arial" w:cs="Arial"/>
          <w:sz w:val="24"/>
          <w:szCs w:val="24"/>
        </w:rPr>
        <w:t xml:space="preserve">MINAYO, M. C. S. (Org.). </w:t>
      </w:r>
      <w:r w:rsidRPr="00016B36">
        <w:rPr>
          <w:rFonts w:ascii="Arial" w:hAnsi="Arial" w:cs="Arial"/>
          <w:b/>
          <w:sz w:val="24"/>
          <w:szCs w:val="24"/>
        </w:rPr>
        <w:t>Pesquisa social:</w:t>
      </w:r>
      <w:r w:rsidRPr="00016B36">
        <w:rPr>
          <w:rFonts w:ascii="Arial" w:hAnsi="Arial" w:cs="Arial"/>
          <w:sz w:val="24"/>
          <w:szCs w:val="24"/>
        </w:rPr>
        <w:t xml:space="preserve"> teoria, método e criatividade. Petrópolis: Vozes, 2001.</w:t>
      </w:r>
    </w:p>
    <w:p w:rsidR="009238C2" w:rsidRPr="00016B36" w:rsidRDefault="009238C2">
      <w:pPr>
        <w:spacing w:after="0" w:line="240" w:lineRule="auto"/>
        <w:contextualSpacing/>
        <w:jc w:val="both"/>
        <w:rPr>
          <w:rFonts w:ascii="Arial" w:hAnsi="Arial" w:cs="Arial"/>
          <w:sz w:val="24"/>
          <w:szCs w:val="24"/>
        </w:rPr>
      </w:pPr>
    </w:p>
    <w:p w:rsidR="009238C2" w:rsidRPr="00016B36" w:rsidRDefault="009238C2" w:rsidP="009238C2">
      <w:pPr>
        <w:spacing w:after="0" w:line="240" w:lineRule="auto"/>
        <w:jc w:val="both"/>
        <w:rPr>
          <w:rFonts w:ascii="Arial" w:hAnsi="Arial" w:cs="Arial"/>
          <w:sz w:val="24"/>
          <w:szCs w:val="24"/>
        </w:rPr>
      </w:pPr>
      <w:r w:rsidRPr="00016B36">
        <w:rPr>
          <w:rFonts w:ascii="Arial" w:hAnsi="Arial" w:cs="Arial"/>
          <w:sz w:val="24"/>
          <w:szCs w:val="24"/>
        </w:rPr>
        <w:t xml:space="preserve">OMS. </w:t>
      </w:r>
      <w:r w:rsidRPr="00016B36">
        <w:rPr>
          <w:rFonts w:ascii="Arial" w:hAnsi="Arial" w:cs="Arial"/>
          <w:b/>
          <w:sz w:val="24"/>
          <w:szCs w:val="24"/>
        </w:rPr>
        <w:t>Relatório mundial sobre violência e saúde</w:t>
      </w:r>
      <w:r w:rsidRPr="00016B36">
        <w:rPr>
          <w:rFonts w:ascii="Arial" w:hAnsi="Arial" w:cs="Arial"/>
          <w:sz w:val="24"/>
          <w:szCs w:val="24"/>
        </w:rPr>
        <w:t xml:space="preserve">, 2002. Disponível em: </w:t>
      </w:r>
      <w:hyperlink r:id="rId18" w:history="1">
        <w:r w:rsidRPr="00016B36">
          <w:rPr>
            <w:rStyle w:val="Hyperlink"/>
            <w:rFonts w:ascii="Arial" w:hAnsi="Arial" w:cs="Arial"/>
            <w:color w:val="auto"/>
            <w:sz w:val="24"/>
            <w:szCs w:val="24"/>
            <w:u w:val="none"/>
          </w:rPr>
          <w:t>http://portaldeboaspraticas.iff.fiocruz.br/wp-content/uploads/2019/04/14142032-relatorio-mundial-sobre-violencia-e-saude.pdf</w:t>
        </w:r>
      </w:hyperlink>
      <w:r w:rsidRPr="00016B36">
        <w:rPr>
          <w:rFonts w:ascii="Arial" w:hAnsi="Arial" w:cs="Arial"/>
          <w:sz w:val="24"/>
          <w:szCs w:val="24"/>
        </w:rPr>
        <w:t>. Acesso em: 04 nov 2019.</w:t>
      </w:r>
    </w:p>
    <w:p w:rsidR="00DF72AE" w:rsidRPr="00016B36" w:rsidRDefault="00DF72AE" w:rsidP="009238C2">
      <w:pPr>
        <w:spacing w:after="0" w:line="240" w:lineRule="auto"/>
        <w:jc w:val="both"/>
        <w:rPr>
          <w:rFonts w:ascii="Arial" w:hAnsi="Arial" w:cs="Arial"/>
          <w:sz w:val="24"/>
          <w:szCs w:val="24"/>
        </w:rPr>
      </w:pPr>
    </w:p>
    <w:p w:rsidR="00DF72AE" w:rsidRPr="00016B36" w:rsidRDefault="00DF72AE" w:rsidP="00DF72AE">
      <w:pPr>
        <w:spacing w:after="0" w:line="240" w:lineRule="auto"/>
        <w:contextualSpacing/>
        <w:jc w:val="both"/>
        <w:rPr>
          <w:rFonts w:ascii="Arial" w:hAnsi="Arial" w:cs="Arial"/>
          <w:sz w:val="24"/>
          <w:szCs w:val="24"/>
        </w:rPr>
      </w:pPr>
      <w:r w:rsidRPr="00016B36">
        <w:rPr>
          <w:rFonts w:ascii="Arial" w:hAnsi="Arial" w:cs="Arial"/>
          <w:sz w:val="24"/>
          <w:szCs w:val="24"/>
        </w:rPr>
        <w:t xml:space="preserve">ROCHA, Luciana Lopes.; NOGUEIRA, Regina Lúcia. Identidade de gênero: análise de sua pertinência e aplicabilidade das normas constantes da lei Maria da Penha IN FONAVID. </w:t>
      </w:r>
      <w:r w:rsidRPr="00016B36">
        <w:rPr>
          <w:rFonts w:ascii="Arial" w:hAnsi="Arial" w:cs="Arial"/>
          <w:b/>
          <w:sz w:val="24"/>
          <w:szCs w:val="24"/>
        </w:rPr>
        <w:t>Leituras de direito: violência doméstica e familiar contra a mulher</w:t>
      </w:r>
      <w:r w:rsidRPr="00016B36">
        <w:rPr>
          <w:rFonts w:ascii="Arial" w:hAnsi="Arial" w:cs="Arial"/>
          <w:sz w:val="24"/>
          <w:szCs w:val="24"/>
        </w:rPr>
        <w:t>. Orgs. NETO, Cornélio Alves de Azevedo; MARQUES, Deyvis de Oliveira. TJRN: Natal, 2017.</w:t>
      </w:r>
    </w:p>
    <w:p w:rsidR="00DE6734" w:rsidRPr="00016B36" w:rsidRDefault="00DE6734">
      <w:pPr>
        <w:spacing w:after="0" w:line="240" w:lineRule="auto"/>
        <w:contextualSpacing/>
        <w:jc w:val="both"/>
        <w:rPr>
          <w:rFonts w:ascii="Arial" w:hAnsi="Arial" w:cs="Arial"/>
          <w:sz w:val="24"/>
          <w:szCs w:val="24"/>
        </w:rPr>
      </w:pPr>
    </w:p>
    <w:p w:rsidR="00DE6734" w:rsidRPr="00016B36" w:rsidRDefault="000B17DA">
      <w:pPr>
        <w:spacing w:after="0" w:line="240" w:lineRule="auto"/>
        <w:contextualSpacing/>
        <w:jc w:val="both"/>
        <w:rPr>
          <w:rFonts w:ascii="Arial" w:hAnsi="Arial" w:cs="Arial"/>
          <w:sz w:val="24"/>
          <w:szCs w:val="24"/>
        </w:rPr>
      </w:pPr>
      <w:r w:rsidRPr="00016B36">
        <w:rPr>
          <w:rFonts w:ascii="Arial" w:hAnsi="Arial" w:cs="Arial"/>
          <w:sz w:val="24"/>
          <w:szCs w:val="24"/>
        </w:rPr>
        <w:t xml:space="preserve">RODRIGUES, Wagner Ribeiro. Identidade de gênero: análise de sua pertinência e aplicabilidade das normas constantes da lei Maria da Penha IN FONAVID. </w:t>
      </w:r>
      <w:r w:rsidRPr="00016B36">
        <w:rPr>
          <w:rFonts w:ascii="Arial" w:hAnsi="Arial" w:cs="Arial"/>
          <w:b/>
          <w:sz w:val="24"/>
          <w:szCs w:val="24"/>
        </w:rPr>
        <w:t>Leituras de direito: violência doméstica e familiar contra a mulher</w:t>
      </w:r>
      <w:r w:rsidRPr="00016B36">
        <w:rPr>
          <w:rFonts w:ascii="Arial" w:hAnsi="Arial" w:cs="Arial"/>
          <w:sz w:val="24"/>
          <w:szCs w:val="24"/>
        </w:rPr>
        <w:t>. Orgs. NETO, Cornélio Alves de Azevedo; MARQUES, Deyvis de Oliveira. TJRN: Natal, 2017.</w:t>
      </w:r>
    </w:p>
    <w:p w:rsidR="00DE6734" w:rsidRPr="00016B36" w:rsidRDefault="00DE6734">
      <w:pPr>
        <w:spacing w:after="0" w:line="240" w:lineRule="auto"/>
        <w:contextualSpacing/>
        <w:jc w:val="both"/>
        <w:rPr>
          <w:rFonts w:ascii="Arial" w:hAnsi="Arial" w:cs="Arial"/>
          <w:sz w:val="24"/>
          <w:szCs w:val="24"/>
        </w:rPr>
      </w:pPr>
    </w:p>
    <w:p w:rsidR="00DE6734" w:rsidRPr="00016B36" w:rsidRDefault="000B17DA">
      <w:pPr>
        <w:spacing w:after="0" w:line="240" w:lineRule="auto"/>
        <w:contextualSpacing/>
        <w:jc w:val="both"/>
        <w:rPr>
          <w:rFonts w:ascii="Arial" w:hAnsi="Arial" w:cs="Arial"/>
          <w:sz w:val="24"/>
          <w:szCs w:val="24"/>
        </w:rPr>
      </w:pPr>
      <w:r w:rsidRPr="00016B36">
        <w:rPr>
          <w:rFonts w:ascii="Arial" w:hAnsi="Arial" w:cs="Arial"/>
          <w:sz w:val="24"/>
          <w:szCs w:val="24"/>
        </w:rPr>
        <w:lastRenderedPageBreak/>
        <w:t xml:space="preserve">SENADO FEDERAL. </w:t>
      </w:r>
      <w:r w:rsidRPr="00016B36">
        <w:rPr>
          <w:rFonts w:ascii="Arial" w:hAnsi="Arial" w:cs="Arial"/>
          <w:b/>
          <w:sz w:val="24"/>
          <w:szCs w:val="24"/>
        </w:rPr>
        <w:t>Panorama da violência contra as mulheres no Brasil:</w:t>
      </w:r>
      <w:r w:rsidRPr="00016B36">
        <w:rPr>
          <w:rFonts w:ascii="Arial" w:hAnsi="Arial" w:cs="Arial"/>
          <w:sz w:val="24"/>
          <w:szCs w:val="24"/>
        </w:rPr>
        <w:t xml:space="preserve"> indicadores nacionais e estaduais, 2018.  Disponível em: </w:t>
      </w:r>
      <w:hyperlink r:id="rId19" w:history="1">
        <w:r w:rsidRPr="00016B36">
          <w:rPr>
            <w:rStyle w:val="Hyperlink"/>
            <w:rFonts w:ascii="Arial" w:hAnsi="Arial" w:cs="Arial"/>
            <w:color w:val="auto"/>
            <w:sz w:val="24"/>
            <w:szCs w:val="24"/>
            <w:u w:val="none"/>
          </w:rPr>
          <w:t>http://www.senado.gov.br/institucional/datasenado/omv/indicadores/relatorios/BR-2018.pdf</w:t>
        </w:r>
      </w:hyperlink>
      <w:r w:rsidRPr="00016B36">
        <w:rPr>
          <w:rFonts w:ascii="Arial" w:hAnsi="Arial" w:cs="Arial"/>
          <w:sz w:val="24"/>
          <w:szCs w:val="24"/>
        </w:rPr>
        <w:t xml:space="preserve"> Acesso em: 02 nov 2019</w:t>
      </w:r>
    </w:p>
    <w:p w:rsidR="00DE6734" w:rsidRPr="00016B36" w:rsidRDefault="00DE6734">
      <w:pPr>
        <w:spacing w:after="0" w:line="240" w:lineRule="auto"/>
        <w:contextualSpacing/>
        <w:jc w:val="both"/>
        <w:rPr>
          <w:rFonts w:ascii="Arial" w:hAnsi="Arial" w:cs="Arial"/>
          <w:sz w:val="24"/>
          <w:szCs w:val="24"/>
        </w:rPr>
      </w:pPr>
    </w:p>
    <w:p w:rsidR="00DE6734" w:rsidRPr="00016B36" w:rsidRDefault="000B17DA" w:rsidP="009238C2">
      <w:pPr>
        <w:spacing w:after="0" w:line="240" w:lineRule="auto"/>
        <w:contextualSpacing/>
        <w:jc w:val="both"/>
        <w:rPr>
          <w:rFonts w:ascii="Arial" w:hAnsi="Arial" w:cs="Arial"/>
          <w:sz w:val="24"/>
          <w:szCs w:val="24"/>
        </w:rPr>
      </w:pPr>
      <w:r w:rsidRPr="00016B36">
        <w:rPr>
          <w:rFonts w:ascii="Arial" w:hAnsi="Arial" w:cs="Arial"/>
          <w:sz w:val="24"/>
          <w:szCs w:val="24"/>
        </w:rPr>
        <w:t xml:space="preserve">SILVA, Juliana Elisa. </w:t>
      </w:r>
      <w:r w:rsidRPr="00016B36">
        <w:rPr>
          <w:rFonts w:ascii="Arial" w:hAnsi="Arial" w:cs="Arial"/>
          <w:b/>
          <w:sz w:val="24"/>
          <w:szCs w:val="24"/>
        </w:rPr>
        <w:t>A violência contra a mulher e a lei maria da penha.</w:t>
      </w:r>
      <w:r w:rsidRPr="00016B36">
        <w:rPr>
          <w:rFonts w:ascii="Arial" w:hAnsi="Arial" w:cs="Arial"/>
          <w:sz w:val="24"/>
          <w:szCs w:val="24"/>
        </w:rPr>
        <w:t xml:space="preserve"> Centro Universitário Toledo, Monografia: Araçatuba, 2017.</w:t>
      </w:r>
    </w:p>
    <w:p w:rsidR="00DE6734" w:rsidRPr="00016B36" w:rsidRDefault="00DE6734" w:rsidP="009238C2">
      <w:pPr>
        <w:spacing w:after="0" w:line="240" w:lineRule="auto"/>
        <w:contextualSpacing/>
        <w:jc w:val="both"/>
        <w:rPr>
          <w:rFonts w:ascii="Arial" w:hAnsi="Arial" w:cs="Arial"/>
          <w:sz w:val="24"/>
          <w:szCs w:val="24"/>
        </w:rPr>
      </w:pPr>
    </w:p>
    <w:p w:rsidR="00DE6734" w:rsidRPr="00016B36" w:rsidRDefault="009238C2" w:rsidP="009238C2">
      <w:pPr>
        <w:spacing w:after="0" w:line="240" w:lineRule="auto"/>
        <w:contextualSpacing/>
        <w:jc w:val="both"/>
        <w:rPr>
          <w:rFonts w:ascii="Arial" w:hAnsi="Arial" w:cs="Arial"/>
          <w:sz w:val="24"/>
          <w:szCs w:val="24"/>
        </w:rPr>
      </w:pPr>
      <w:r w:rsidRPr="00016B36">
        <w:rPr>
          <w:rFonts w:ascii="Arial" w:hAnsi="Arial" w:cs="Arial"/>
          <w:sz w:val="24"/>
          <w:szCs w:val="24"/>
        </w:rPr>
        <w:t xml:space="preserve">STJ. </w:t>
      </w:r>
      <w:r w:rsidRPr="00016B36">
        <w:rPr>
          <w:rFonts w:ascii="Arial" w:hAnsi="Arial" w:cs="Arial"/>
          <w:b/>
          <w:sz w:val="24"/>
          <w:szCs w:val="24"/>
        </w:rPr>
        <w:t>Recurso especial 1626739-2016-0245586-9</w:t>
      </w:r>
      <w:r w:rsidRPr="00016B36">
        <w:rPr>
          <w:rFonts w:ascii="Arial" w:hAnsi="Arial" w:cs="Arial"/>
          <w:sz w:val="24"/>
          <w:szCs w:val="24"/>
        </w:rPr>
        <w:t xml:space="preserve">, 2017. Disponível em:  </w:t>
      </w:r>
      <w:hyperlink r:id="rId20" w:history="1">
        <w:r w:rsidRPr="00016B36">
          <w:rPr>
            <w:rStyle w:val="Hyperlink"/>
            <w:rFonts w:ascii="Arial" w:hAnsi="Arial" w:cs="Arial"/>
            <w:color w:val="auto"/>
            <w:sz w:val="24"/>
            <w:szCs w:val="24"/>
            <w:u w:val="none"/>
          </w:rPr>
          <w:t>https://stj.jusbrasil.com.br/jurisprudencia/484087877/recurso-especial-resp-1626739-rs-2016-0245586-9/inteiro-teor-484087902</w:t>
        </w:r>
      </w:hyperlink>
      <w:r w:rsidRPr="00016B36">
        <w:rPr>
          <w:rFonts w:ascii="Arial" w:hAnsi="Arial" w:cs="Arial"/>
          <w:sz w:val="24"/>
          <w:szCs w:val="24"/>
        </w:rPr>
        <w:t>. Acesso em: 12 nov 2019</w:t>
      </w:r>
    </w:p>
    <w:p w:rsidR="009238C2" w:rsidRPr="00016B36" w:rsidRDefault="009238C2" w:rsidP="00DB0F84">
      <w:pPr>
        <w:spacing w:after="0" w:line="240" w:lineRule="auto"/>
        <w:contextualSpacing/>
        <w:jc w:val="both"/>
        <w:rPr>
          <w:rFonts w:ascii="Arial" w:eastAsia="SimSun" w:hAnsi="Arial" w:cs="Arial"/>
          <w:bCs/>
          <w:sz w:val="24"/>
          <w:szCs w:val="24"/>
        </w:rPr>
      </w:pPr>
    </w:p>
    <w:p w:rsidR="00C708FC" w:rsidRPr="00016B36" w:rsidRDefault="000B17DA" w:rsidP="00C708FC">
      <w:pPr>
        <w:pStyle w:val="Ttulo1"/>
        <w:keepNext w:val="0"/>
        <w:keepLines w:val="0"/>
        <w:shd w:val="clear" w:color="auto" w:fill="FFFFFF"/>
        <w:spacing w:after="0" w:line="240" w:lineRule="auto"/>
        <w:ind w:left="0" w:firstLine="0"/>
        <w:contextualSpacing/>
        <w:jc w:val="both"/>
        <w:rPr>
          <w:rFonts w:ascii="Arial" w:eastAsia="SimSun" w:hAnsi="Arial" w:cs="Arial"/>
          <w:b w:val="0"/>
          <w:bCs/>
          <w:color w:val="auto"/>
          <w:szCs w:val="24"/>
        </w:rPr>
      </w:pPr>
      <w:r w:rsidRPr="00016B36">
        <w:rPr>
          <w:rFonts w:ascii="Arial" w:eastAsia="SimSun" w:hAnsi="Arial" w:cs="Arial"/>
          <w:b w:val="0"/>
          <w:bCs/>
          <w:color w:val="auto"/>
          <w:szCs w:val="24"/>
        </w:rPr>
        <w:t xml:space="preserve">TELES, Maria Amélia e MELO, Mônica de. </w:t>
      </w:r>
      <w:r w:rsidRPr="00016B36">
        <w:rPr>
          <w:rFonts w:ascii="Arial" w:eastAsia="SimSun" w:hAnsi="Arial" w:cs="Arial"/>
          <w:bCs/>
          <w:color w:val="auto"/>
          <w:szCs w:val="24"/>
        </w:rPr>
        <w:t>O que é violência contra a mulher?</w:t>
      </w:r>
      <w:r w:rsidRPr="00016B36">
        <w:rPr>
          <w:rFonts w:ascii="Arial" w:eastAsia="SimSun" w:hAnsi="Arial" w:cs="Arial"/>
          <w:color w:val="auto"/>
          <w:szCs w:val="24"/>
        </w:rPr>
        <w:t xml:space="preserve">. </w:t>
      </w:r>
      <w:r w:rsidRPr="00016B36">
        <w:rPr>
          <w:rFonts w:ascii="Arial" w:eastAsia="sans-serif" w:hAnsi="Arial" w:cs="Arial"/>
          <w:b w:val="0"/>
          <w:bCs/>
          <w:color w:val="auto"/>
          <w:szCs w:val="24"/>
          <w:shd w:val="clear" w:color="auto" w:fill="FFFFFF"/>
        </w:rPr>
        <w:t xml:space="preserve">Col. Primeiros Passos, </w:t>
      </w:r>
      <w:r w:rsidRPr="00016B36">
        <w:rPr>
          <w:rFonts w:ascii="Arial" w:eastAsia="SimSun" w:hAnsi="Arial" w:cs="Arial"/>
          <w:b w:val="0"/>
          <w:bCs/>
          <w:color w:val="auto"/>
          <w:szCs w:val="24"/>
        </w:rPr>
        <w:t>São Paulo: Brasiliense, 2003.</w:t>
      </w:r>
    </w:p>
    <w:p w:rsidR="00C708FC" w:rsidRPr="00016B36" w:rsidRDefault="00C708FC" w:rsidP="00C708FC">
      <w:pPr>
        <w:spacing w:after="0" w:line="240" w:lineRule="auto"/>
        <w:contextualSpacing/>
        <w:rPr>
          <w:rFonts w:ascii="Arial" w:hAnsi="Arial" w:cs="Arial"/>
          <w:lang w:eastAsia="pt-BR"/>
        </w:rPr>
      </w:pPr>
    </w:p>
    <w:p w:rsidR="009238C2" w:rsidRPr="00016B36" w:rsidRDefault="00C708FC" w:rsidP="00C708FC">
      <w:pPr>
        <w:pStyle w:val="Ttulo1"/>
        <w:shd w:val="clear" w:color="auto" w:fill="FFFFFF"/>
        <w:spacing w:after="0" w:line="240" w:lineRule="auto"/>
        <w:ind w:left="0" w:firstLine="0"/>
        <w:contextualSpacing/>
        <w:jc w:val="both"/>
        <w:rPr>
          <w:rFonts w:ascii="Arial" w:hAnsi="Arial" w:cs="Arial"/>
          <w:b w:val="0"/>
          <w:color w:val="auto"/>
          <w:szCs w:val="24"/>
        </w:rPr>
      </w:pPr>
      <w:r w:rsidRPr="00016B36">
        <w:rPr>
          <w:rFonts w:ascii="Arial" w:hAnsi="Arial" w:cs="Arial"/>
          <w:b w:val="0"/>
          <w:color w:val="auto"/>
          <w:szCs w:val="24"/>
        </w:rPr>
        <w:t>TJDF.</w:t>
      </w:r>
      <w:r w:rsidRPr="00016B36">
        <w:rPr>
          <w:rFonts w:ascii="Arial" w:hAnsi="Arial" w:cs="Arial"/>
          <w:color w:val="auto"/>
          <w:szCs w:val="24"/>
        </w:rPr>
        <w:t xml:space="preserve"> Recurso em sentido estrito – 1ª Turma Criminal: </w:t>
      </w:r>
      <w:hyperlink r:id="rId21" w:history="1">
        <w:r w:rsidRPr="00016B36">
          <w:rPr>
            <w:rStyle w:val="Hyperlink"/>
            <w:rFonts w:ascii="Arial" w:hAnsi="Arial" w:cs="Arial"/>
            <w:color w:val="auto"/>
            <w:szCs w:val="24"/>
            <w:u w:val="none"/>
          </w:rPr>
          <w:t>20171610076127 DF 0006926-72.2017.8.07.0020</w:t>
        </w:r>
      </w:hyperlink>
      <w:r w:rsidRPr="00016B36">
        <w:rPr>
          <w:rFonts w:ascii="Arial" w:hAnsi="Arial" w:cs="Arial"/>
          <w:color w:val="auto"/>
          <w:szCs w:val="24"/>
        </w:rPr>
        <w:t xml:space="preserve">, 2017. </w:t>
      </w:r>
      <w:r w:rsidRPr="00016B36">
        <w:rPr>
          <w:rFonts w:ascii="Arial" w:hAnsi="Arial" w:cs="Arial"/>
          <w:b w:val="0"/>
          <w:color w:val="auto"/>
          <w:szCs w:val="24"/>
        </w:rPr>
        <w:t>Disponível em:</w:t>
      </w:r>
      <w:r w:rsidRPr="00016B36">
        <w:rPr>
          <w:rFonts w:ascii="Arial" w:hAnsi="Arial" w:cs="Arial"/>
          <w:color w:val="auto"/>
          <w:szCs w:val="24"/>
        </w:rPr>
        <w:t xml:space="preserve"> </w:t>
      </w:r>
      <w:hyperlink r:id="rId22" w:history="1">
        <w:r w:rsidRPr="00016B36">
          <w:rPr>
            <w:rStyle w:val="Hyperlink"/>
            <w:rFonts w:ascii="Arial" w:hAnsi="Arial" w:cs="Arial"/>
            <w:b w:val="0"/>
            <w:color w:val="auto"/>
            <w:szCs w:val="24"/>
            <w:u w:val="none"/>
          </w:rPr>
          <w:t>https://tj-df.jusbrasil.com.br/jurisprudencia/569318431/20171610076127-df-0006926-7220178070020/inteiro-teor-569318465?ref=juris-tabs</w:t>
        </w:r>
      </w:hyperlink>
      <w:r w:rsidRPr="00016B36">
        <w:rPr>
          <w:rFonts w:ascii="Arial" w:hAnsi="Arial" w:cs="Arial"/>
          <w:b w:val="0"/>
          <w:color w:val="auto"/>
          <w:szCs w:val="24"/>
        </w:rPr>
        <w:t>. Acesso em: 12 nov 2019</w:t>
      </w:r>
    </w:p>
    <w:p w:rsidR="00DF72AE" w:rsidRPr="00016B36" w:rsidRDefault="00DF72AE" w:rsidP="00C708FC">
      <w:pPr>
        <w:spacing w:after="0" w:line="240" w:lineRule="auto"/>
        <w:contextualSpacing/>
        <w:rPr>
          <w:rFonts w:ascii="Arial" w:hAnsi="Arial" w:cs="Arial"/>
          <w:sz w:val="24"/>
          <w:szCs w:val="24"/>
        </w:rPr>
      </w:pPr>
    </w:p>
    <w:p w:rsidR="00DF72AE" w:rsidRPr="00016B36" w:rsidRDefault="00DF72AE" w:rsidP="00C708FC">
      <w:pPr>
        <w:spacing w:after="0" w:line="240" w:lineRule="auto"/>
        <w:contextualSpacing/>
        <w:rPr>
          <w:rFonts w:ascii="Arial" w:hAnsi="Arial" w:cs="Arial"/>
          <w:sz w:val="24"/>
          <w:szCs w:val="24"/>
        </w:rPr>
      </w:pPr>
    </w:p>
    <w:p w:rsidR="00DF72AE" w:rsidRPr="00016B36" w:rsidRDefault="00DF72AE">
      <w:pPr>
        <w:rPr>
          <w:rFonts w:ascii="Arial" w:hAnsi="Arial" w:cs="Arial"/>
          <w:sz w:val="24"/>
          <w:szCs w:val="24"/>
        </w:rPr>
      </w:pPr>
    </w:p>
    <w:p w:rsidR="00DF72AE" w:rsidRPr="00016B36" w:rsidRDefault="00DF72AE">
      <w:pPr>
        <w:rPr>
          <w:rFonts w:ascii="Arial" w:eastAsia="SimSun" w:hAnsi="Arial" w:cs="Arial"/>
          <w:bCs/>
          <w:sz w:val="24"/>
          <w:szCs w:val="24"/>
        </w:rPr>
      </w:pPr>
    </w:p>
    <w:p w:rsidR="00DE6734" w:rsidRPr="00016B36" w:rsidRDefault="00DE6734">
      <w:pPr>
        <w:rPr>
          <w:rFonts w:ascii="Arial" w:eastAsia="SimSun" w:hAnsi="Arial" w:cs="Arial"/>
          <w:bCs/>
          <w:sz w:val="24"/>
          <w:szCs w:val="24"/>
        </w:rPr>
      </w:pPr>
    </w:p>
    <w:p w:rsidR="00DE6734" w:rsidRPr="00016B36" w:rsidRDefault="000B17DA">
      <w:pPr>
        <w:jc w:val="center"/>
        <w:rPr>
          <w:rFonts w:ascii="Arial" w:eastAsia="SimSun" w:hAnsi="Arial" w:cs="Arial"/>
          <w:b/>
          <w:sz w:val="24"/>
          <w:szCs w:val="24"/>
        </w:rPr>
      </w:pPr>
      <w:r w:rsidRPr="00016B36">
        <w:rPr>
          <w:rFonts w:ascii="Arial" w:eastAsia="SimSun" w:hAnsi="Arial" w:cs="Arial"/>
          <w:b/>
          <w:sz w:val="24"/>
          <w:szCs w:val="24"/>
        </w:rPr>
        <w:t>ANEXO A</w:t>
      </w:r>
    </w:p>
    <w:p w:rsidR="00DE6734" w:rsidRPr="00016B36" w:rsidRDefault="000B17DA">
      <w:pPr>
        <w:rPr>
          <w:rFonts w:ascii="Arial" w:eastAsia="SimSun" w:hAnsi="Arial" w:cs="Arial"/>
          <w:bCs/>
          <w:sz w:val="24"/>
          <w:szCs w:val="24"/>
        </w:rPr>
      </w:pPr>
      <w:r w:rsidRPr="00016B36">
        <w:rPr>
          <w:rFonts w:ascii="Arial" w:eastAsia="SimSun" w:hAnsi="Arial" w:cs="Arial"/>
          <w:bCs/>
          <w:noProof/>
          <w:sz w:val="24"/>
          <w:szCs w:val="24"/>
          <w:lang w:eastAsia="pt-BR"/>
        </w:rPr>
        <w:lastRenderedPageBreak/>
        <w:drawing>
          <wp:anchor distT="0" distB="0" distL="114300" distR="114300" simplePos="0" relativeHeight="251657216" behindDoc="1" locked="0" layoutInCell="1" allowOverlap="1" wp14:anchorId="10D1A115" wp14:editId="551D5BE0">
            <wp:simplePos x="0" y="0"/>
            <wp:positionH relativeFrom="column">
              <wp:posOffset>-135890</wp:posOffset>
            </wp:positionH>
            <wp:positionV relativeFrom="paragraph">
              <wp:posOffset>33020</wp:posOffset>
            </wp:positionV>
            <wp:extent cx="5948045" cy="7811770"/>
            <wp:effectExtent l="0" t="0" r="14605" b="36830"/>
            <wp:wrapTight wrapText="bothSides">
              <wp:wrapPolygon edited="0">
                <wp:start x="0" y="0"/>
                <wp:lineTo x="0" y="21544"/>
                <wp:lineTo x="21515" y="21544"/>
                <wp:lineTo x="21515" y="0"/>
                <wp:lineTo x="0" y="0"/>
              </wp:wrapPolygon>
            </wp:wrapTight>
            <wp:docPr id="3" name="Imagem 3" descr="oficio_page-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oficio_page-0001"/>
                    <pic:cNvPicPr>
                      <a:picLocks noChangeAspect="1"/>
                    </pic:cNvPicPr>
                  </pic:nvPicPr>
                  <pic:blipFill>
                    <a:blip r:embed="rId23" cstate="print"/>
                    <a:stretch>
                      <a:fillRect/>
                    </a:stretch>
                  </pic:blipFill>
                  <pic:spPr>
                    <a:xfrm>
                      <a:off x="0" y="0"/>
                      <a:ext cx="5948045" cy="7811770"/>
                    </a:xfrm>
                    <a:prstGeom prst="rect">
                      <a:avLst/>
                    </a:prstGeom>
                  </pic:spPr>
                </pic:pic>
              </a:graphicData>
            </a:graphic>
          </wp:anchor>
        </w:drawing>
      </w:r>
    </w:p>
    <w:sectPr w:rsidR="00DE6734" w:rsidRPr="00016B36" w:rsidSect="00DE6734">
      <w:headerReference w:type="default" r:id="rId2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5CB7" w:rsidRDefault="00715CB7" w:rsidP="00DE6734">
      <w:pPr>
        <w:spacing w:after="0" w:line="240" w:lineRule="auto"/>
      </w:pPr>
      <w:r>
        <w:separator/>
      </w:r>
    </w:p>
  </w:endnote>
  <w:endnote w:type="continuationSeparator" w:id="0">
    <w:p w:rsidR="00715CB7" w:rsidRDefault="00715CB7" w:rsidP="00DE6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ans-serif">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5CB7" w:rsidRDefault="00715CB7" w:rsidP="00DE6734">
      <w:pPr>
        <w:spacing w:after="0" w:line="240" w:lineRule="auto"/>
      </w:pPr>
      <w:r>
        <w:separator/>
      </w:r>
    </w:p>
  </w:footnote>
  <w:footnote w:type="continuationSeparator" w:id="0">
    <w:p w:rsidR="00715CB7" w:rsidRDefault="00715CB7" w:rsidP="00DE6734">
      <w:pPr>
        <w:spacing w:after="0" w:line="240" w:lineRule="auto"/>
      </w:pPr>
      <w:r>
        <w:continuationSeparator/>
      </w:r>
    </w:p>
  </w:footnote>
  <w:footnote w:id="1">
    <w:p w:rsidR="000B17DA" w:rsidRDefault="000B17DA">
      <w:pPr>
        <w:pStyle w:val="NormalWeb"/>
        <w:shd w:val="clear" w:color="auto" w:fill="FFFFFF"/>
        <w:spacing w:before="0" w:beforeAutospacing="0" w:after="0" w:afterAutospacing="0"/>
        <w:contextualSpacing/>
        <w:jc w:val="both"/>
        <w:rPr>
          <w:rFonts w:ascii="Arial" w:hAnsi="Arial" w:cs="Arial"/>
          <w:sz w:val="20"/>
          <w:szCs w:val="20"/>
        </w:rPr>
      </w:pPr>
      <w:r>
        <w:rPr>
          <w:rStyle w:val="Refdenotaderodap"/>
          <w:rFonts w:ascii="Arial" w:hAnsi="Arial" w:cs="Arial"/>
          <w:sz w:val="20"/>
          <w:szCs w:val="20"/>
        </w:rPr>
        <w:footnoteRef/>
      </w:r>
      <w:r>
        <w:rPr>
          <w:rFonts w:ascii="Arial" w:hAnsi="Arial" w:cs="Arial"/>
          <w:color w:val="222222"/>
          <w:sz w:val="20"/>
          <w:szCs w:val="20"/>
        </w:rPr>
        <w:t xml:space="preserve"> </w:t>
      </w:r>
      <w:r>
        <w:rPr>
          <w:rFonts w:ascii="Arial" w:hAnsi="Arial" w:cs="Arial"/>
          <w:sz w:val="20"/>
          <w:szCs w:val="20"/>
        </w:rPr>
        <w:t>A nomenclatura da lei se refere a farmaceútica Maria da Penha Maia Fernandes que sofreu pelo então esposo Marco Antônio Heredia Viveros, violência doméstica durante 23 anos de casamento. Em </w:t>
      </w:r>
      <w:hyperlink r:id="rId1" w:tooltip="1983" w:history="1">
        <w:r>
          <w:rPr>
            <w:rStyle w:val="Hyperlink"/>
            <w:rFonts w:ascii="Arial" w:hAnsi="Arial" w:cs="Arial"/>
            <w:color w:val="auto"/>
            <w:sz w:val="20"/>
            <w:szCs w:val="20"/>
            <w:u w:val="none"/>
          </w:rPr>
          <w:t>1983</w:t>
        </w:r>
      </w:hyperlink>
      <w:r>
        <w:rPr>
          <w:rFonts w:ascii="Arial" w:hAnsi="Arial" w:cs="Arial"/>
          <w:sz w:val="20"/>
          <w:szCs w:val="20"/>
        </w:rPr>
        <w:t>, o marido por duas vezes, tentou assassiná-la. Na primeira vez, com arma de fogo, deixando-a </w:t>
      </w:r>
      <w:hyperlink r:id="rId2" w:tooltip="Paraplegia" w:history="1">
        <w:r>
          <w:rPr>
            <w:rStyle w:val="Hyperlink"/>
            <w:rFonts w:ascii="Arial" w:hAnsi="Arial" w:cs="Arial"/>
            <w:color w:val="auto"/>
            <w:sz w:val="20"/>
            <w:szCs w:val="20"/>
            <w:u w:val="none"/>
          </w:rPr>
          <w:t>paraplégica</w:t>
        </w:r>
      </w:hyperlink>
      <w:r>
        <w:rPr>
          <w:rFonts w:ascii="Arial" w:hAnsi="Arial" w:cs="Arial"/>
          <w:sz w:val="20"/>
          <w:szCs w:val="20"/>
        </w:rPr>
        <w:t>, e na segunda, por </w:t>
      </w:r>
      <w:hyperlink r:id="rId3" w:tooltip="Eletrocussão" w:history="1">
        <w:r>
          <w:rPr>
            <w:rStyle w:val="Hyperlink"/>
            <w:rFonts w:ascii="Arial" w:hAnsi="Arial" w:cs="Arial"/>
            <w:color w:val="auto"/>
            <w:sz w:val="20"/>
            <w:szCs w:val="20"/>
            <w:u w:val="none"/>
          </w:rPr>
          <w:t>eletrocussão</w:t>
        </w:r>
      </w:hyperlink>
      <w:r>
        <w:rPr>
          <w:rFonts w:ascii="Arial" w:hAnsi="Arial" w:cs="Arial"/>
          <w:sz w:val="20"/>
          <w:szCs w:val="20"/>
        </w:rPr>
        <w:t> e afogamento. Após essa tentativa de homicídio ela o denunciou, pôde sair de casa devido a uma ordem judicial e iniciou a batalha para que seu então marido fosse condenado. Seu caso chegou à </w:t>
      </w:r>
      <w:hyperlink r:id="rId4" w:tooltip="Comissão Interamericana de Direitos Humanos" w:history="1">
        <w:r>
          <w:rPr>
            <w:rStyle w:val="Hyperlink"/>
            <w:rFonts w:ascii="Arial" w:hAnsi="Arial" w:cs="Arial"/>
            <w:color w:val="auto"/>
            <w:sz w:val="20"/>
            <w:szCs w:val="20"/>
            <w:u w:val="none"/>
          </w:rPr>
          <w:t>Comissão Interamericana de Direitos Humanos</w:t>
        </w:r>
      </w:hyperlink>
      <w:r>
        <w:rPr>
          <w:rFonts w:ascii="Arial" w:hAnsi="Arial" w:cs="Arial"/>
          <w:sz w:val="20"/>
          <w:szCs w:val="20"/>
        </w:rPr>
        <w:t> da </w:t>
      </w:r>
      <w:hyperlink r:id="rId5" w:tooltip="OEA" w:history="1">
        <w:r>
          <w:rPr>
            <w:rStyle w:val="Hyperlink"/>
            <w:rFonts w:ascii="Arial" w:hAnsi="Arial" w:cs="Arial"/>
            <w:color w:val="auto"/>
            <w:sz w:val="20"/>
            <w:szCs w:val="20"/>
            <w:u w:val="none"/>
          </w:rPr>
          <w:t>OEA</w:t>
        </w:r>
      </w:hyperlink>
      <w:r>
        <w:rPr>
          <w:rFonts w:ascii="Arial" w:hAnsi="Arial" w:cs="Arial"/>
          <w:sz w:val="20"/>
          <w:szCs w:val="20"/>
        </w:rPr>
        <w:t>, ocasião em que o país foi condenado por não dispor de mecanismos suficientes e eficientes para proibir a prática de violência doméstica contra a mulher.</w:t>
      </w:r>
    </w:p>
    <w:p w:rsidR="000B17DA" w:rsidRDefault="000B17DA">
      <w:pPr>
        <w:pStyle w:val="Textodenotaderodap"/>
      </w:pPr>
      <w:r>
        <w:t xml:space="preserve"> </w:t>
      </w:r>
    </w:p>
  </w:footnote>
  <w:footnote w:id="2">
    <w:p w:rsidR="000B17DA" w:rsidRDefault="000B17DA">
      <w:pPr>
        <w:pStyle w:val="Textodenotaderodap"/>
        <w:jc w:val="both"/>
        <w:rPr>
          <w:rFonts w:ascii="Arial" w:hAnsi="Arial" w:cs="Arial"/>
        </w:rPr>
      </w:pPr>
      <w:r>
        <w:rPr>
          <w:rStyle w:val="Refdenotaderodap"/>
          <w:rFonts w:ascii="Arial" w:hAnsi="Arial" w:cs="Arial"/>
        </w:rPr>
        <w:footnoteRef/>
      </w:r>
      <w:r>
        <w:rPr>
          <w:rFonts w:ascii="Arial" w:hAnsi="Arial" w:cs="Arial"/>
        </w:rPr>
        <w:t xml:space="preserve">Esta discussão não está travada nesse artigo, porém a compreensão de como o indivíduo se constitui como mulher propõe um longo debate não só no direito, mas também em todas as ciências humanas. Alguns autores Simone Beauvoir, Pierre Bourdieu, Joan Scott, Maria Berenice Dias, Helieth Saffioti, entre outros.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4"/>
        <w:szCs w:val="24"/>
      </w:rPr>
      <w:id w:val="828631814"/>
    </w:sdtPr>
    <w:sdtEndPr/>
    <w:sdtContent>
      <w:p w:rsidR="000B17DA" w:rsidRDefault="000B17DA">
        <w:pPr>
          <w:pStyle w:val="Cabealho"/>
          <w:jc w:val="right"/>
          <w:rPr>
            <w:rFonts w:ascii="Arial" w:hAnsi="Arial" w:cs="Arial"/>
            <w:sz w:val="24"/>
            <w:szCs w:val="24"/>
          </w:rPr>
        </w:pPr>
        <w:r>
          <w:rPr>
            <w:rFonts w:ascii="Arial" w:hAnsi="Arial" w:cs="Arial"/>
            <w:sz w:val="24"/>
            <w:szCs w:val="24"/>
          </w:rPr>
          <w:fldChar w:fldCharType="begin"/>
        </w:r>
        <w:r>
          <w:rPr>
            <w:rFonts w:ascii="Arial" w:hAnsi="Arial" w:cs="Arial"/>
            <w:sz w:val="24"/>
            <w:szCs w:val="24"/>
          </w:rPr>
          <w:instrText>PAGE   \* MERGEFORMAT</w:instrText>
        </w:r>
        <w:r>
          <w:rPr>
            <w:rFonts w:ascii="Arial" w:hAnsi="Arial" w:cs="Arial"/>
            <w:sz w:val="24"/>
            <w:szCs w:val="24"/>
          </w:rPr>
          <w:fldChar w:fldCharType="separate"/>
        </w:r>
        <w:r w:rsidR="00A16E0D">
          <w:rPr>
            <w:rFonts w:ascii="Arial" w:hAnsi="Arial" w:cs="Arial"/>
            <w:noProof/>
            <w:sz w:val="24"/>
            <w:szCs w:val="24"/>
          </w:rPr>
          <w:t>1</w:t>
        </w:r>
        <w:r>
          <w:rPr>
            <w:rFonts w:ascii="Arial" w:hAnsi="Arial" w:cs="Arial"/>
            <w:sz w:val="24"/>
            <w:szCs w:val="24"/>
          </w:rPr>
          <w:fldChar w:fldCharType="end"/>
        </w:r>
      </w:p>
    </w:sdtContent>
  </w:sdt>
  <w:p w:rsidR="000B17DA" w:rsidRDefault="000B17D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77F"/>
    <w:rsid w:val="0001686D"/>
    <w:rsid w:val="00016B36"/>
    <w:rsid w:val="0003439E"/>
    <w:rsid w:val="00061231"/>
    <w:rsid w:val="000B17DA"/>
    <w:rsid w:val="001609CE"/>
    <w:rsid w:val="00163F8B"/>
    <w:rsid w:val="001668A3"/>
    <w:rsid w:val="001D54FF"/>
    <w:rsid w:val="00217F2B"/>
    <w:rsid w:val="00330C0F"/>
    <w:rsid w:val="00340E22"/>
    <w:rsid w:val="0034435C"/>
    <w:rsid w:val="00472557"/>
    <w:rsid w:val="004B6D90"/>
    <w:rsid w:val="00520B07"/>
    <w:rsid w:val="00527FFA"/>
    <w:rsid w:val="00541A2D"/>
    <w:rsid w:val="00580F91"/>
    <w:rsid w:val="00581932"/>
    <w:rsid w:val="005C58B6"/>
    <w:rsid w:val="006433F1"/>
    <w:rsid w:val="00644AA8"/>
    <w:rsid w:val="00647C58"/>
    <w:rsid w:val="00650632"/>
    <w:rsid w:val="00656F82"/>
    <w:rsid w:val="00715CB7"/>
    <w:rsid w:val="007235A7"/>
    <w:rsid w:val="00761429"/>
    <w:rsid w:val="0077156C"/>
    <w:rsid w:val="0078472B"/>
    <w:rsid w:val="007D7EB7"/>
    <w:rsid w:val="007F2DF2"/>
    <w:rsid w:val="00904C63"/>
    <w:rsid w:val="009204F3"/>
    <w:rsid w:val="009238C2"/>
    <w:rsid w:val="009955BB"/>
    <w:rsid w:val="009A3D56"/>
    <w:rsid w:val="009B477F"/>
    <w:rsid w:val="009E4EBB"/>
    <w:rsid w:val="00A16E0D"/>
    <w:rsid w:val="00A45E5C"/>
    <w:rsid w:val="00AC5CB8"/>
    <w:rsid w:val="00AF406E"/>
    <w:rsid w:val="00B65D27"/>
    <w:rsid w:val="00B7313F"/>
    <w:rsid w:val="00B90997"/>
    <w:rsid w:val="00BC2A4B"/>
    <w:rsid w:val="00C3377C"/>
    <w:rsid w:val="00C708FC"/>
    <w:rsid w:val="00C8137F"/>
    <w:rsid w:val="00C936D9"/>
    <w:rsid w:val="00CF362D"/>
    <w:rsid w:val="00D0024D"/>
    <w:rsid w:val="00D02D97"/>
    <w:rsid w:val="00DB0F84"/>
    <w:rsid w:val="00DE6734"/>
    <w:rsid w:val="00DF72AE"/>
    <w:rsid w:val="00E24F68"/>
    <w:rsid w:val="00E54EFF"/>
    <w:rsid w:val="00E7231C"/>
    <w:rsid w:val="00E72DDA"/>
    <w:rsid w:val="00E80496"/>
    <w:rsid w:val="00F15A59"/>
    <w:rsid w:val="00F42441"/>
    <w:rsid w:val="00F474FD"/>
    <w:rsid w:val="25793D78"/>
    <w:rsid w:val="2FE854C3"/>
    <w:rsid w:val="4FF300CF"/>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B3F5CEBB-440C-4EEA-BA48-F2690FE65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6734"/>
    <w:rPr>
      <w:sz w:val="22"/>
      <w:szCs w:val="22"/>
      <w:lang w:eastAsia="en-US"/>
    </w:rPr>
  </w:style>
  <w:style w:type="paragraph" w:styleId="Ttulo1">
    <w:name w:val="heading 1"/>
    <w:next w:val="Normal"/>
    <w:link w:val="Ttulo1Char"/>
    <w:uiPriority w:val="9"/>
    <w:unhideWhenUsed/>
    <w:qFormat/>
    <w:rsid w:val="00DE6734"/>
    <w:pPr>
      <w:keepNext/>
      <w:keepLines/>
      <w:spacing w:after="113" w:line="259" w:lineRule="auto"/>
      <w:ind w:left="10" w:hanging="10"/>
      <w:jc w:val="center"/>
      <w:outlineLvl w:val="0"/>
    </w:pPr>
    <w:rPr>
      <w:rFonts w:ascii="Times New Roman" w:eastAsia="Times New Roman" w:hAnsi="Times New Roman" w:cs="Times New Roman"/>
      <w:b/>
      <w:color w:val="000000"/>
      <w:sz w:val="24"/>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qFormat/>
    <w:rsid w:val="00DE67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qFormat/>
    <w:rsid w:val="00DE6734"/>
    <w:pPr>
      <w:tabs>
        <w:tab w:val="center" w:pos="4252"/>
        <w:tab w:val="right" w:pos="8504"/>
      </w:tabs>
      <w:spacing w:after="0" w:line="240" w:lineRule="auto"/>
    </w:pPr>
  </w:style>
  <w:style w:type="paragraph" w:styleId="Rodap">
    <w:name w:val="footer"/>
    <w:basedOn w:val="Normal"/>
    <w:link w:val="RodapChar"/>
    <w:uiPriority w:val="99"/>
    <w:unhideWhenUsed/>
    <w:qFormat/>
    <w:rsid w:val="00DE6734"/>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DE6734"/>
    <w:pPr>
      <w:spacing w:after="0" w:line="240" w:lineRule="auto"/>
    </w:pPr>
    <w:rPr>
      <w:rFonts w:ascii="Tahoma" w:hAnsi="Tahoma" w:cs="Tahoma"/>
      <w:sz w:val="16"/>
      <w:szCs w:val="16"/>
    </w:rPr>
  </w:style>
  <w:style w:type="paragraph" w:styleId="Textodenotaderodap">
    <w:name w:val="footnote text"/>
    <w:basedOn w:val="Normal"/>
    <w:link w:val="TextodenotaderodapChar"/>
    <w:uiPriority w:val="99"/>
    <w:semiHidden/>
    <w:unhideWhenUsed/>
    <w:rsid w:val="00DE6734"/>
    <w:pPr>
      <w:spacing w:after="0" w:line="240" w:lineRule="auto"/>
    </w:pPr>
    <w:rPr>
      <w:sz w:val="20"/>
      <w:szCs w:val="20"/>
    </w:rPr>
  </w:style>
  <w:style w:type="character" w:styleId="Forte">
    <w:name w:val="Strong"/>
    <w:basedOn w:val="Fontepargpadro"/>
    <w:uiPriority w:val="22"/>
    <w:qFormat/>
    <w:rsid w:val="00DE6734"/>
    <w:rPr>
      <w:b/>
      <w:bCs/>
    </w:rPr>
  </w:style>
  <w:style w:type="character" w:styleId="Refdenotaderodap">
    <w:name w:val="footnote reference"/>
    <w:basedOn w:val="Fontepargpadro"/>
    <w:uiPriority w:val="99"/>
    <w:semiHidden/>
    <w:unhideWhenUsed/>
    <w:qFormat/>
    <w:rsid w:val="00DE6734"/>
    <w:rPr>
      <w:vertAlign w:val="superscript"/>
    </w:rPr>
  </w:style>
  <w:style w:type="character" w:styleId="Hyperlink">
    <w:name w:val="Hyperlink"/>
    <w:basedOn w:val="Fontepargpadro"/>
    <w:uiPriority w:val="99"/>
    <w:unhideWhenUsed/>
    <w:qFormat/>
    <w:rsid w:val="00DE6734"/>
    <w:rPr>
      <w:color w:val="0000FF"/>
      <w:u w:val="single"/>
    </w:rPr>
  </w:style>
  <w:style w:type="character" w:customStyle="1" w:styleId="TextodebaloChar">
    <w:name w:val="Texto de balão Char"/>
    <w:basedOn w:val="Fontepargpadro"/>
    <w:link w:val="Textodebalo"/>
    <w:uiPriority w:val="99"/>
    <w:semiHidden/>
    <w:qFormat/>
    <w:rsid w:val="00DE6734"/>
    <w:rPr>
      <w:rFonts w:ascii="Tahoma" w:hAnsi="Tahoma" w:cs="Tahoma"/>
      <w:sz w:val="16"/>
      <w:szCs w:val="16"/>
    </w:rPr>
  </w:style>
  <w:style w:type="character" w:customStyle="1" w:styleId="CabealhoChar">
    <w:name w:val="Cabeçalho Char"/>
    <w:basedOn w:val="Fontepargpadro"/>
    <w:link w:val="Cabealho"/>
    <w:uiPriority w:val="99"/>
    <w:qFormat/>
    <w:rsid w:val="00DE6734"/>
  </w:style>
  <w:style w:type="character" w:customStyle="1" w:styleId="RodapChar">
    <w:name w:val="Rodapé Char"/>
    <w:basedOn w:val="Fontepargpadro"/>
    <w:link w:val="Rodap"/>
    <w:uiPriority w:val="99"/>
    <w:qFormat/>
    <w:rsid w:val="00DE6734"/>
  </w:style>
  <w:style w:type="character" w:customStyle="1" w:styleId="TextodenotaderodapChar">
    <w:name w:val="Texto de nota de rodapé Char"/>
    <w:basedOn w:val="Fontepargpadro"/>
    <w:link w:val="Textodenotaderodap"/>
    <w:uiPriority w:val="99"/>
    <w:semiHidden/>
    <w:qFormat/>
    <w:rsid w:val="00DE6734"/>
    <w:rPr>
      <w:sz w:val="20"/>
      <w:szCs w:val="20"/>
    </w:rPr>
  </w:style>
  <w:style w:type="character" w:customStyle="1" w:styleId="Ttulo1Char">
    <w:name w:val="Título 1 Char"/>
    <w:basedOn w:val="Fontepargpadro"/>
    <w:link w:val="Ttulo1"/>
    <w:uiPriority w:val="9"/>
    <w:qFormat/>
    <w:rsid w:val="00DE6734"/>
    <w:rPr>
      <w:rFonts w:ascii="Times New Roman" w:eastAsia="Times New Roman" w:hAnsi="Times New Roman" w:cs="Times New Roman"/>
      <w:b/>
      <w:color w:val="000000"/>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975862">
      <w:bodyDiv w:val="1"/>
      <w:marLeft w:val="0"/>
      <w:marRight w:val="0"/>
      <w:marTop w:val="0"/>
      <w:marBottom w:val="0"/>
      <w:divBdr>
        <w:top w:val="none" w:sz="0" w:space="0" w:color="auto"/>
        <w:left w:val="none" w:sz="0" w:space="0" w:color="auto"/>
        <w:bottom w:val="none" w:sz="0" w:space="0" w:color="auto"/>
        <w:right w:val="none" w:sz="0" w:space="0" w:color="auto"/>
      </w:divBdr>
    </w:div>
    <w:div w:id="432022333">
      <w:bodyDiv w:val="1"/>
      <w:marLeft w:val="0"/>
      <w:marRight w:val="0"/>
      <w:marTop w:val="0"/>
      <w:marBottom w:val="0"/>
      <w:divBdr>
        <w:top w:val="none" w:sz="0" w:space="0" w:color="auto"/>
        <w:left w:val="none" w:sz="0" w:space="0" w:color="auto"/>
        <w:bottom w:val="none" w:sz="0" w:space="0" w:color="auto"/>
        <w:right w:val="none" w:sz="0" w:space="0" w:color="auto"/>
      </w:divBdr>
    </w:div>
    <w:div w:id="511186981">
      <w:bodyDiv w:val="1"/>
      <w:marLeft w:val="0"/>
      <w:marRight w:val="0"/>
      <w:marTop w:val="0"/>
      <w:marBottom w:val="0"/>
      <w:divBdr>
        <w:top w:val="none" w:sz="0" w:space="0" w:color="auto"/>
        <w:left w:val="none" w:sz="0" w:space="0" w:color="auto"/>
        <w:bottom w:val="none" w:sz="0" w:space="0" w:color="auto"/>
        <w:right w:val="none" w:sz="0" w:space="0" w:color="auto"/>
      </w:divBdr>
    </w:div>
    <w:div w:id="20535762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tj.jusbrasil.com.br/jurisprudencia/484087877/recurso-especial-resp-1626739-rs-2016-0245586-9" TargetMode="External"/><Relationship Id="rId13" Type="http://schemas.openxmlformats.org/officeDocument/2006/relationships/hyperlink" Target="http://www.planalto.gov.br/ccivil_03/_ato2004-2006/2006/lei/l11340.htm" TargetMode="External"/><Relationship Id="rId18" Type="http://schemas.openxmlformats.org/officeDocument/2006/relationships/hyperlink" Target="http://portaldeboaspraticas.iff.fiocruz.br/wp-content/uploads/2019/04/14142032-relatorio-mundial-sobre-violencia-e-saude.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tj-df.jusbrasil.com.br/jurisprudencia/569318431/20171610076127-df-0006926-7220178070020" TargetMode="External"/><Relationship Id="rId7" Type="http://schemas.openxmlformats.org/officeDocument/2006/relationships/endnotes" Target="endnotes.xml"/><Relationship Id="rId12" Type="http://schemas.openxmlformats.org/officeDocument/2006/relationships/hyperlink" Target="http://legislacao.planalto.gov.br/legisla/legislacao.nsf/Viw_Identificacao/lei%2011.340-2006?OpenDocument" TargetMode="External"/><Relationship Id="rId17" Type="http://schemas.openxmlformats.org/officeDocument/2006/relationships/hyperlink" Target="http://www.planalto.gov.br/ccivil_03/constituicao/constituicao.ht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legislacao.planalto.gov.br/legisla/legislacao.nsf/viwTodos/509f2321d97cd2d203256b280052245a?OpenDocument&amp;Highlight=1,constitui%C3%A7%C3%A3o&amp;AutoFramed" TargetMode="External"/><Relationship Id="rId20" Type="http://schemas.openxmlformats.org/officeDocument/2006/relationships/hyperlink" Target="https://stj.jusbrasil.com.br/jurisprudencia/484087877/recurso-especial-resp-1626739-rs-2016-0245586-9/inteiro-teor-4840879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8069.htm"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planalto.gov.br/ccivil_03/decreto-lei/del2848.htm" TargetMode="External"/><Relationship Id="rId23" Type="http://schemas.openxmlformats.org/officeDocument/2006/relationships/image" Target="media/image1.jpeg"/><Relationship Id="rId10" Type="http://schemas.openxmlformats.org/officeDocument/2006/relationships/hyperlink" Target="http://legislacao.planalto.gov.br/legisla/legislacao.nsf/Viw_Identificacao/lei%208.069-1990?OpenDocument" TargetMode="External"/><Relationship Id="rId19" Type="http://schemas.openxmlformats.org/officeDocument/2006/relationships/hyperlink" Target="http://www.senado.gov.br/institucional/datasenado/omv/indicadores/relatorios/BR-2018.pdf" TargetMode="External"/><Relationship Id="rId4" Type="http://schemas.openxmlformats.org/officeDocument/2006/relationships/settings" Target="settings.xml"/><Relationship Id="rId9" Type="http://schemas.openxmlformats.org/officeDocument/2006/relationships/hyperlink" Target="https://professoraalice.jusbrasil.com.br/artigos/121814113/aplicacao-da-lei-maria-da-penha-a-transexual" TargetMode="External"/><Relationship Id="rId14" Type="http://schemas.openxmlformats.org/officeDocument/2006/relationships/hyperlink" Target="http://legislacao.planalto.gov.br/legisla/legislacao.nsf/Viw_Identificacao/DEL%202.848-1940?OpenDocument" TargetMode="External"/><Relationship Id="rId22" Type="http://schemas.openxmlformats.org/officeDocument/2006/relationships/hyperlink" Target="https://tj-df.jusbrasil.com.br/jurisprudencia/569318431/20171610076127-df-0006926-7220178070020/inteiro-teor-569318465?ref=juris-tab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pt.wikipedia.org/wiki/Eletrocuss%C3%A3o" TargetMode="External"/><Relationship Id="rId2" Type="http://schemas.openxmlformats.org/officeDocument/2006/relationships/hyperlink" Target="https://pt.wikipedia.org/wiki/Paraplegia" TargetMode="External"/><Relationship Id="rId1" Type="http://schemas.openxmlformats.org/officeDocument/2006/relationships/hyperlink" Target="https://pt.wikipedia.org/wiki/1983" TargetMode="External"/><Relationship Id="rId5" Type="http://schemas.openxmlformats.org/officeDocument/2006/relationships/hyperlink" Target="https://pt.wikipedia.org/wiki/OEA" TargetMode="External"/><Relationship Id="rId4" Type="http://schemas.openxmlformats.org/officeDocument/2006/relationships/hyperlink" Target="https://pt.wikipedia.org/wiki/Comiss%C3%A3o_Interamericana_de_Direitos_Humano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B68C2B-49D1-464D-A4AE-B111BEB94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22</Pages>
  <Words>7291</Words>
  <Characters>39376</Characters>
  <Application>Microsoft Office Word</Application>
  <DocSecurity>0</DocSecurity>
  <Lines>328</Lines>
  <Paragraphs>93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46574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Thiago Kramer</dc:creator>
  <cp:lastModifiedBy>andrea delano</cp:lastModifiedBy>
  <cp:revision>4</cp:revision>
  <dcterms:created xsi:type="dcterms:W3CDTF">2019-11-13T11:30:00Z</dcterms:created>
  <dcterms:modified xsi:type="dcterms:W3CDTF">2019-11-13T11:47:00Z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1046-11.2.0.9031</vt:lpwstr>
  </property>
</Properties>
</file>