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CESED - CENTRO DE ENSINO SUPERIOR E DESENVOLVIMENTO</w:t>
      </w:r>
    </w:p>
    <w:p w:rsidR="00000000" w:rsidDel="00000000" w:rsidP="00000000" w:rsidRDefault="00000000" w:rsidRPr="00000000" w14:paraId="00000002">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UNIFACISA – CENTRO UNIVERSITÁRIO</w:t>
      </w:r>
    </w:p>
    <w:p w:rsidR="00000000" w:rsidDel="00000000" w:rsidP="00000000" w:rsidRDefault="00000000" w:rsidRPr="00000000" w14:paraId="00000003">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CURSO DE BACHARELADO EM DIREITO</w:t>
      </w:r>
    </w:p>
    <w:p w:rsidR="00000000" w:rsidDel="00000000" w:rsidP="00000000" w:rsidRDefault="00000000" w:rsidRPr="00000000" w14:paraId="00000004">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ADRIANE INGRID JACINTO SILVA</w:t>
      </w:r>
    </w:p>
    <w:p w:rsidR="00000000" w:rsidDel="00000000" w:rsidP="00000000" w:rsidRDefault="00000000" w:rsidRPr="00000000" w14:paraId="00000007">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 CRIME DE VIOLÊNCIA DOMÉSTICA E FAMILIAR CONTRA A MULHER SOB O ENFOQUE DO FENÔMENO DA “CIFRA NEGRA DA CRIMINALIDADE”</w:t>
      </w:r>
    </w:p>
    <w:p w:rsidR="00000000" w:rsidDel="00000000" w:rsidP="00000000" w:rsidRDefault="00000000" w:rsidRPr="00000000" w14:paraId="0000000F">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CAMPINA GRANDE - PB</w:t>
      </w:r>
    </w:p>
    <w:p w:rsidR="00000000" w:rsidDel="00000000" w:rsidP="00000000" w:rsidRDefault="00000000" w:rsidRPr="00000000" w14:paraId="00000021">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2023</w:t>
      </w:r>
    </w:p>
    <w:p w:rsidR="00000000" w:rsidDel="00000000" w:rsidP="00000000" w:rsidRDefault="00000000" w:rsidRPr="00000000" w14:paraId="00000022">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ADRIANE INGRID JACINTO SILVA</w:t>
      </w:r>
    </w:p>
    <w:p w:rsidR="00000000" w:rsidDel="00000000" w:rsidP="00000000" w:rsidRDefault="00000000" w:rsidRPr="00000000" w14:paraId="00000024">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360" w:lineRule="auto"/>
        <w:jc w:val="center"/>
        <w:rPr>
          <w:rFonts w:ascii="Arial" w:cs="Arial" w:eastAsia="Arial" w:hAnsi="Arial"/>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26">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 CRIME DE VIOLÊNCIA DOMÉSTICA E FAMILIAR CONTRA A MULHER SOB O ENFOQUE DO FENÔMENO DA “CIFRA NEGRA DA CRIMINALIDADE”</w:t>
      </w:r>
    </w:p>
    <w:p w:rsidR="00000000" w:rsidDel="00000000" w:rsidP="00000000" w:rsidRDefault="00000000" w:rsidRPr="00000000" w14:paraId="0000002B">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76" w:lineRule="auto"/>
        <w:ind w:left="510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276" w:lineRule="auto"/>
        <w:ind w:left="510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76"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Trabalho de Conclusão de Curso - Artigo Científico - apresentado como pré-requisito para a obtenção do título de Bacharela em Direito pela UniFacisa – Centro Universitário.</w:t>
      </w:r>
    </w:p>
    <w:p w:rsidR="00000000" w:rsidDel="00000000" w:rsidP="00000000" w:rsidRDefault="00000000" w:rsidRPr="00000000" w14:paraId="00000033">
      <w:pPr>
        <w:spacing w:after="0" w:line="276" w:lineRule="auto"/>
        <w:ind w:left="453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76"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Área de Concentração: Direito Penal.</w:t>
      </w:r>
    </w:p>
    <w:p w:rsidR="00000000" w:rsidDel="00000000" w:rsidP="00000000" w:rsidRDefault="00000000" w:rsidRPr="00000000" w14:paraId="00000035">
      <w:pPr>
        <w:spacing w:after="0" w:line="276"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Linha de Pesquisa: Direito Penal e Políticas de Inserção Social.</w:t>
      </w:r>
    </w:p>
    <w:p w:rsidR="00000000" w:rsidDel="00000000" w:rsidP="00000000" w:rsidRDefault="00000000" w:rsidRPr="00000000" w14:paraId="00000036">
      <w:pPr>
        <w:spacing w:after="0" w:line="276" w:lineRule="auto"/>
        <w:ind w:left="453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76"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Orientador: Prof.º Marcelo D’Angelo Lara, Doutor.</w:t>
      </w:r>
    </w:p>
    <w:p w:rsidR="00000000" w:rsidDel="00000000" w:rsidP="00000000" w:rsidRDefault="00000000" w:rsidRPr="00000000" w14:paraId="00000038">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Campina Grande – PB</w:t>
      </w:r>
    </w:p>
    <w:p w:rsidR="00000000" w:rsidDel="00000000" w:rsidP="00000000" w:rsidRDefault="00000000" w:rsidRPr="00000000" w14:paraId="0000004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2023</w:t>
      </w:r>
    </w:p>
    <w:p w:rsidR="00000000" w:rsidDel="00000000" w:rsidP="00000000" w:rsidRDefault="00000000" w:rsidRPr="00000000" w14:paraId="00000042">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5">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6">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7">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A">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B">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D">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F">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7">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A">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B">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Dados Internacionais de Catalogação na Publicação</w:t>
      </w:r>
    </w:p>
    <w:p w:rsidR="00000000" w:rsidDel="00000000" w:rsidP="00000000" w:rsidRDefault="00000000" w:rsidRPr="00000000" w14:paraId="0000005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(Biblioteca da UniFacisa)</w:t>
      </w:r>
    </w:p>
    <w:p w:rsidR="00000000" w:rsidDel="00000000" w:rsidP="00000000" w:rsidRDefault="00000000" w:rsidRPr="00000000" w14:paraId="0000005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S586</w:t>
      </w:r>
    </w:p>
    <w:p w:rsidR="00000000" w:rsidDel="00000000" w:rsidP="00000000" w:rsidRDefault="00000000" w:rsidRPr="00000000" w14:paraId="00000060">
      <w:pPr>
        <w:spacing w:after="0" w:line="276" w:lineRule="auto"/>
        <w:ind w:left="28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Silva, Adriane Ingrid Jacinto.</w:t>
      </w:r>
    </w:p>
    <w:p w:rsidR="00000000" w:rsidDel="00000000" w:rsidP="00000000" w:rsidRDefault="00000000" w:rsidRPr="00000000" w14:paraId="00000061">
      <w:pPr>
        <w:spacing w:after="0" w:line="276" w:lineRule="auto"/>
        <w:ind w:left="284" w:firstLine="283.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 crime de violência doméstica e familiar contra a mulher sob o enfoque do fenômeno da “cifra negra da criminalidade”./ Adriane Ingrid Jacinto Silva. – Campina Grande-PB, 2023.</w:t>
      </w:r>
    </w:p>
    <w:p w:rsidR="00000000" w:rsidDel="00000000" w:rsidP="00000000" w:rsidRDefault="00000000" w:rsidRPr="00000000" w14:paraId="00000062">
      <w:pPr>
        <w:spacing w:after="0" w:line="276" w:lineRule="auto"/>
        <w:ind w:left="284" w:firstLine="283.0000000000000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276" w:lineRule="auto"/>
        <w:ind w:left="284" w:firstLine="283.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Originalmente apresentada como Artigo Científico de bacharelado em Direito do autor (bacharela – UniFacisa – Centro Universitário, 2023).</w:t>
      </w:r>
    </w:p>
    <w:p w:rsidR="00000000" w:rsidDel="00000000" w:rsidP="00000000" w:rsidRDefault="00000000" w:rsidRPr="00000000" w14:paraId="00000064">
      <w:pPr>
        <w:spacing w:after="0" w:line="276" w:lineRule="auto"/>
        <w:ind w:left="284" w:firstLine="283.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Referências.</w:t>
      </w:r>
    </w:p>
    <w:p w:rsidR="00000000" w:rsidDel="00000000" w:rsidP="00000000" w:rsidRDefault="00000000" w:rsidRPr="00000000" w14:paraId="00000065">
      <w:pPr>
        <w:spacing w:after="0" w:line="276" w:lineRule="auto"/>
        <w:ind w:left="2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276" w:lineRule="auto"/>
        <w:ind w:left="28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Violência doméstica e familiar contra a mulher. 2. Lei Maria da Penha. 3. Cifra Negra. Título...</w:t>
      </w:r>
    </w:p>
    <w:p w:rsidR="00000000" w:rsidDel="00000000" w:rsidP="00000000" w:rsidRDefault="00000000" w:rsidRPr="00000000" w14:paraId="0000006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CDU -XXXX(XXX)(XXX)</w:t>
      </w:r>
    </w:p>
    <w:p w:rsidR="00000000" w:rsidDel="00000000" w:rsidP="00000000" w:rsidRDefault="00000000" w:rsidRPr="00000000" w14:paraId="0000006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w:t>
      </w:r>
    </w:p>
    <w:p w:rsidR="00000000" w:rsidDel="00000000" w:rsidP="00000000" w:rsidRDefault="00000000" w:rsidRPr="00000000" w14:paraId="00000069">
      <w:pPr>
        <w:spacing w:after="0" w:line="276" w:lineRule="auto"/>
        <w:rPr>
          <w:rFonts w:ascii="Arial" w:cs="Arial" w:eastAsia="Arial" w:hAnsi="Arial"/>
        </w:rPr>
      </w:pPr>
      <w:r w:rsidDel="00000000" w:rsidR="00000000" w:rsidRPr="00000000">
        <w:rPr>
          <w:rFonts w:ascii="Arial" w:cs="Arial" w:eastAsia="Arial" w:hAnsi="Arial"/>
          <w:rtl w:val="0"/>
        </w:rPr>
        <w:t xml:space="preserve">Elaborado pela Bibliotecária Rosa Núbia de Lima Matias CRB 15/568 Catalogação na fonte</w:t>
      </w:r>
    </w:p>
    <w:p w:rsidR="00000000" w:rsidDel="00000000" w:rsidP="00000000" w:rsidRDefault="00000000" w:rsidRPr="00000000" w14:paraId="0000006A">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C">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E">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F">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2">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spacing w:after="0" w:line="276" w:lineRule="auto"/>
        <w:ind w:left="396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Trabalho de Conclusão de Curso - Artigo Científico – Título do artigo, como parte dos requisitos para obtenção do título de Bacharela em Direito, outorgado pela UniFacisa – Centro Universitário.</w:t>
      </w:r>
    </w:p>
    <w:p w:rsidR="00000000" w:rsidDel="00000000" w:rsidP="00000000" w:rsidRDefault="00000000" w:rsidRPr="00000000" w14:paraId="0000007D">
      <w:pPr>
        <w:spacing w:after="0" w:line="276" w:lineRule="auto"/>
        <w:ind w:left="39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APROVADO EM _______/______/______</w:t>
      </w:r>
    </w:p>
    <w:p w:rsidR="00000000" w:rsidDel="00000000" w:rsidP="00000000" w:rsidRDefault="00000000" w:rsidRPr="00000000" w14:paraId="0000007F">
      <w:pPr>
        <w:spacing w:after="0" w:line="276" w:lineRule="auto"/>
        <w:ind w:left="39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0" w:line="276" w:lineRule="auto"/>
        <w:ind w:left="39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BANCA EXAMINADORA</w:t>
      </w:r>
    </w:p>
    <w:p w:rsidR="00000000" w:rsidDel="00000000" w:rsidP="00000000" w:rsidRDefault="00000000" w:rsidRPr="00000000" w14:paraId="00000082">
      <w:pPr>
        <w:spacing w:after="0" w:line="276" w:lineRule="auto"/>
        <w:ind w:left="39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w:t>
      </w:r>
    </w:p>
    <w:p w:rsidR="00000000" w:rsidDel="00000000" w:rsidP="00000000" w:rsidRDefault="00000000" w:rsidRPr="00000000" w14:paraId="00000084">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Prof.º da UniFacisa, Nome Completo do Orientador, Titulação.</w:t>
      </w:r>
    </w:p>
    <w:p w:rsidR="00000000" w:rsidDel="00000000" w:rsidP="00000000" w:rsidRDefault="00000000" w:rsidRPr="00000000" w14:paraId="00000085">
      <w:pPr>
        <w:spacing w:after="0" w:line="276" w:lineRule="auto"/>
        <w:ind w:left="3968"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Orientador</w:t>
      </w:r>
    </w:p>
    <w:p w:rsidR="00000000" w:rsidDel="00000000" w:rsidP="00000000" w:rsidRDefault="00000000" w:rsidRPr="00000000" w14:paraId="00000086">
      <w:pPr>
        <w:spacing w:after="0" w:line="276" w:lineRule="auto"/>
        <w:ind w:left="3968"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w:t>
      </w:r>
    </w:p>
    <w:p w:rsidR="00000000" w:rsidDel="00000000" w:rsidP="00000000" w:rsidRDefault="00000000" w:rsidRPr="00000000" w14:paraId="00000088">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Prof.º da UniFacisa, Nome Completo do Segundo Membro, Titulação.</w:t>
      </w:r>
    </w:p>
    <w:p w:rsidR="00000000" w:rsidDel="00000000" w:rsidP="00000000" w:rsidRDefault="00000000" w:rsidRPr="00000000" w14:paraId="00000089">
      <w:pPr>
        <w:spacing w:after="0" w:line="276" w:lineRule="auto"/>
        <w:ind w:left="39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w:t>
      </w:r>
    </w:p>
    <w:p w:rsidR="00000000" w:rsidDel="00000000" w:rsidP="00000000" w:rsidRDefault="00000000" w:rsidRPr="00000000" w14:paraId="0000008B">
      <w:pPr>
        <w:spacing w:after="0" w:line="276" w:lineRule="auto"/>
        <w:ind w:left="39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Prof.º da UniFacisa, Nome Completo do Terceiro Membro, Titulação.</w:t>
      </w:r>
    </w:p>
    <w:p w:rsidR="00000000" w:rsidDel="00000000" w:rsidP="00000000" w:rsidRDefault="00000000" w:rsidRPr="00000000" w14:paraId="0000008C">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 CRIME DE VIOLÊNCIA DOMÉSTICA E FAMILIAR CONTRA A MULHER SOB O ENFOQUE DO FENÔMENO DA “CIFRA NEGRA DA CRIMINALIDADE”</w:t>
      </w:r>
    </w:p>
    <w:p w:rsidR="00000000" w:rsidDel="00000000" w:rsidP="00000000" w:rsidRDefault="00000000" w:rsidRPr="00000000" w14:paraId="00000090">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0" w:line="276" w:lineRule="auto"/>
        <w:ind w:left="382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spacing w:after="0" w:line="276" w:lineRule="auto"/>
        <w:ind w:left="538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Adriane Ingrid Jacinto Silva</w:t>
      </w:r>
      <w:r w:rsidDel="00000000" w:rsidR="00000000" w:rsidRPr="00000000">
        <w:rPr>
          <w:rFonts w:ascii="Arial" w:cs="Arial" w:eastAsia="Arial" w:hAnsi="Arial"/>
          <w:color w:val="ffffff"/>
          <w:sz w:val="24"/>
          <w:szCs w:val="24"/>
          <w:vertAlign w:val="superscript"/>
        </w:rPr>
        <w:footnoteReference w:customMarkFollows="0" w:id="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3">
      <w:pPr>
        <w:spacing w:after="0" w:line="276" w:lineRule="auto"/>
        <w:ind w:left="538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Marcelo D’Angelo Lara</w:t>
      </w:r>
      <w:r w:rsidDel="00000000" w:rsidR="00000000" w:rsidRPr="00000000">
        <w:rPr>
          <w:rFonts w:ascii="Arial" w:cs="Arial" w:eastAsia="Arial" w:hAnsi="Arial"/>
          <w:color w:val="ffffff"/>
          <w:sz w:val="24"/>
          <w:szCs w:val="24"/>
          <w:vertAlign w:val="superscript"/>
        </w:rPr>
        <w:footnoteReference w:customMarkFollows="0" w:id="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4">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9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trabalho aborda a temática da violência doméstica e familiar contra a mulher e a verificação da existência da “cifra negra” da criminalidade atrelada a essa modalidade de violência. O objetivo geral do estudo é analisar a violência doméstica frente à Lei 11.340/2006 e o Código Penal Brasileiro, verificando se existe o “fenômeno criminal de subnotificação de crimes” nesse tipo penal. Indaga-se os motivos dessa ocultação por parte das vítimas e o que precisa ser feito para combater a subnotificação. Toma-se, como hipótese, a existência de uma elevada criminalidade oculta nos crimes de violência doméstica contra a mulher, visto que as vítimas não notificam o crime às autoridades. A metodologia desta pesquisa caracteriza-se como uma revisão bibliográfica do tipo exploratória, e serão analisados os dados estatísticos referentes à violência doméstica e familiar contra a mulher divulgados por entidades privadas. Considera-se fundamental a construção de pesquisas e estudos que estimulem a denúncia do crime como estratégia de combate a “cifra negra”. Com esse conjunto de informações, este estudo se faz justificável.</w:t>
      </w:r>
    </w:p>
    <w:p w:rsidR="00000000" w:rsidDel="00000000" w:rsidP="00000000" w:rsidRDefault="00000000" w:rsidRPr="00000000" w14:paraId="0000009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w:t>
      </w:r>
      <w:r w:rsidDel="00000000" w:rsidR="00000000" w:rsidRPr="00000000">
        <w:rPr>
          <w:rFonts w:ascii="Arial" w:cs="Arial" w:eastAsia="Arial" w:hAnsi="Arial"/>
          <w:sz w:val="24"/>
          <w:szCs w:val="24"/>
          <w:rtl w:val="0"/>
        </w:rPr>
        <w:t xml:space="preserve">: Violência doméstica e familiar contra a mulher; Lei Maria da Penha; Cifra Negra.</w:t>
      </w:r>
    </w:p>
    <w:p w:rsidR="00000000" w:rsidDel="00000000" w:rsidP="00000000" w:rsidRDefault="00000000" w:rsidRPr="00000000" w14:paraId="0000009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9C">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study addresses the issue of domestic and family violence against women and the verification of the existence of the "dark figure" of crime associated with this type of violence. The general objective of the study is to analyze domestic violence in light of Law 11.340/2006 (Lei Maria da Penha) and the Brazilian Penal Code, verifying the existence of the "criminal phenomenon of underreporting crimes" in this criminal category. The reasons for this concealment by the victims are questioned, as well as what needs to be done to combat underreporting. The hypothesis is that there is a high hidden crime rate in cases of domestic violence against women, given that the victims do not report the crime to the authorities. The methodology of this research is characterized as an exploratory literature review, and statistical data regarding domestic and family violence against women disseminated by private entities will be analyzed. The construction of research and studies that encourage reporting of the crime as a strategy to combat the "dark figure" is considered essential. With this set of information, this study is justified.</w:t>
      </w:r>
    </w:p>
    <w:p w:rsidR="00000000" w:rsidDel="00000000" w:rsidP="00000000" w:rsidRDefault="00000000" w:rsidRPr="00000000" w14:paraId="0000009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KEYWORDS: Domestic and family violence against women; Lei Maria da Penha; Dark Figure.</w:t>
      </w:r>
    </w:p>
    <w:p w:rsidR="00000000" w:rsidDel="00000000" w:rsidP="00000000" w:rsidRDefault="00000000" w:rsidRPr="00000000" w14:paraId="000000A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Pr>
        <mc:AlternateContent>
          <mc:Choice Requires="wpg">
            <w:drawing>
              <wp:inline distB="0" distT="0" distL="0" distR="0">
                <wp:extent cx="323850" cy="323850"/>
                <wp:effectExtent b="0" l="0" r="0" t="0"/>
                <wp:docPr id="898832694"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23850" cy="323850"/>
                <wp:effectExtent b="0" l="0" r="0" t="0"/>
                <wp:docPr id="89883269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23850" cy="3238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1">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INTRODUÇÃO</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violência doméstica contra a mulher subsiste ao longo do tempo no Brasil, sabe-se que historicamente a hierarquia de poder imposta na sociedade não protege, tampouco privilegia as mulheres. Desse modo, a Constituição Federal, em seu art. 226, §8º, impõe ao Estado assegurar e criar mecanismos para coibir a violência, no âmbito de suas relações. Com base nisso, foi criada a lei 11.340/06 conhecida popularmente como “Lei Maria da Penha”. Porém, mesmo com tais avanços nos direitos das mulheres, a violência contra a mulher ainda é um fato preocupante, diante do âmbito em que ocorre, da existência de relação prévia entre a vítima e o agressor, bem como, da complexidade que é denunciar tal crime.</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fato de a vítima não denunciar o crime sofrido causa a “cifra negra” da criminalidade, um fenômeno da Criminologia, que diz respeito aos crimes que são subnotificados, ou seja, que não chegam ao conhecimento Estatal ou quando chegam não são solucionados.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objetivo geral deste trabalho é analisar o crime de violência doméstica e familiar contra a mulher no âmbito das relações íntimas de afeto diante da legislação e a doutrina, bem como, conceituar a “cifra negra” da criminalidade e verificar a sua existência nos crimes de violência doméstica.</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possibilitar a verificação da “cifra negra” será analisado o percentual dos dados estatísticos referente a atitude tomada pelas vítimas de violência doméstica, a fim de desenvolver este estudo, elegeu-se enquanto objetivos específicos: analisar a violência doméstica diante da legislação específica, seu tipo penal, e os fatores que dificultam a notificação do crime; descrever o fenômeno da “cifra negra” da criminalidade; e por fim, verificar a existência da cifra negra da criminalidade nos crimes de violência doméstica a partir dos dados estatísticos.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desta pesquisa se caracteriza como uma revisão bibliográfica do tipo exploratória. Foi utilizado também dados estatísticos divulgados por instituições privadas referentes à violência doméstica e familiar contra a mulher.</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pesquisas e estudos que estimulem denúncia do crime de violência doméstica são essenciais para combater a “cifra negra” da criminalidade. É com esse conjunto de informações que este estudo se faz justificável.</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 BREVE HISTÓRICO DA “LEI MARIA DA PENHA”</w:t>
      </w:r>
    </w:p>
    <w:p w:rsidR="00000000" w:rsidDel="00000000" w:rsidP="00000000" w:rsidRDefault="00000000" w:rsidRPr="00000000" w14:paraId="000000AB">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1983, Maria da Penha Maia Fernandes sofreu duas tentativas de homicídio por seu marido. A primeira, decorrente de uma simulação de assalto na casa do casal, com um tiro nas costas enquanto ela dormia, que a deixou paraplégica. Na segunda, o marido tentou eletrocutá-la quando ela estava no banho (FERNANDES, 2014). Entretanto, com a mora do poder judiciário brasileiro e a falta de uma legislação para coibir a violência contra a mulher, o autor só foi responsabilizado 15 anos depois dos acontecimentos, durante esse período Maria da Penha não se calou, denunciou as agressões, fez uma denúncia pública, e escreveu um livro contando sua história.</w:t>
      </w:r>
    </w:p>
    <w:p w:rsidR="00000000" w:rsidDel="00000000" w:rsidP="00000000" w:rsidRDefault="00000000" w:rsidRPr="00000000" w14:paraId="000000A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Dias (2019, p.22), a história de Maria da Penha obteve uma grande repercussão, de modo que o Centro pela Justiça e o Direito Internacional (CEJIL) e o Comitê Latino-Americano e do Caribe para a Defesa dos Direitos da Mulher (CLADEM) denunciaram o caso a Comissão Interamericana de Direitos Humanos da Organização dos Estados Americanos (OEA). </w:t>
      </w:r>
    </w:p>
    <w:p w:rsidR="00000000" w:rsidDel="00000000" w:rsidP="00000000" w:rsidRDefault="00000000" w:rsidRPr="00000000" w14:paraId="000000AE">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Comissão Interamericana de Direitos Humanos da OEA, atendeu a denúncia feita pela CEJIL juntamente com a CLADEM e publicou o Relatório nº 54/2001, no qual emitiu recomendações ao Brasil no caso da Maria da Penha. Entre as conclusões do Relatório nº 54/2001, tem-se que:</w:t>
      </w:r>
    </w:p>
    <w:p w:rsidR="00000000" w:rsidDel="00000000" w:rsidP="00000000" w:rsidRDefault="00000000" w:rsidRPr="00000000" w14:paraId="000000AF">
      <w:pP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0">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O Estado violou os direitos e o cumprimento de seus deveres segundo o artigo 7 da Convenção de Belém do Pará em prejuízo da Senhora Fernandes, bem como em conexão com os artigos 8 e 25 da Convenção Americana e sua relação com o artigo 1(1) da Convenção, por seus próprios atos omissivos e tolerantes da violação infligida. </w:t>
      </w:r>
    </w:p>
    <w:p w:rsidR="00000000" w:rsidDel="00000000" w:rsidP="00000000" w:rsidRDefault="00000000" w:rsidRPr="00000000" w14:paraId="000000B1">
      <w:pPr>
        <w:spacing w:after="0" w:line="240" w:lineRule="auto"/>
        <w:ind w:left="2268"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ainda, a Comissão recomendou especialmente: </w:t>
      </w:r>
    </w:p>
    <w:p w:rsidR="00000000" w:rsidDel="00000000" w:rsidP="00000000" w:rsidRDefault="00000000" w:rsidRPr="00000000" w14:paraId="000000B3">
      <w:pP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4">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a) Simplificar os procedimentos judiciais penais a fim de que possa ser reduzido o tempo processual, sem afetar os direitos e garantias de devido processo; </w:t>
      </w:r>
    </w:p>
    <w:p w:rsidR="00000000" w:rsidDel="00000000" w:rsidP="00000000" w:rsidRDefault="00000000" w:rsidRPr="00000000" w14:paraId="000000B5">
      <w:pPr>
        <w:spacing w:after="0" w:line="240" w:lineRule="auto"/>
        <w:ind w:left="2268" w:firstLine="0"/>
        <w:jc w:val="both"/>
        <w:rPr>
          <w:rFonts w:ascii="Arial" w:cs="Arial" w:eastAsia="Arial" w:hAnsi="Arial"/>
          <w:color w:val="ff0000"/>
        </w:rPr>
      </w:pPr>
      <w:r w:rsidDel="00000000" w:rsidR="00000000" w:rsidRPr="00000000">
        <w:rPr>
          <w:rFonts w:ascii="Arial" w:cs="Arial" w:eastAsia="Arial" w:hAnsi="Arial"/>
          <w:rtl w:val="0"/>
        </w:rPr>
        <w:t xml:space="preserve">b) O estabelecimento de formas alternativas às judiciais, rápidas e efetivas de solução de conflitos intrafamiliares, bem como de sensibilização com respeito à sua gravidade e às consequências penais que gera;</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B6">
      <w:pPr>
        <w:spacing w:after="0" w:line="240" w:lineRule="auto"/>
        <w:ind w:left="2268" w:firstLine="0"/>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B7">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Dessa forma, além de responsabilizar o Brasil por omissão e negligência, também expediu recomendações para a adoção de diversas medidas no enfrentamento a violência doméstica. Houve então uma negativa repercussão internacional no caso de Maria da Penha, corroborando com o exposto, </w:t>
      </w:r>
      <w:r w:rsidDel="00000000" w:rsidR="00000000" w:rsidRPr="00000000">
        <w:rPr>
          <w:rFonts w:ascii="Arial" w:cs="Arial" w:eastAsia="Arial" w:hAnsi="Arial"/>
          <w:color w:val="222222"/>
          <w:sz w:val="24"/>
          <w:szCs w:val="24"/>
          <w:highlight w:val="white"/>
          <w:rtl w:val="0"/>
        </w:rPr>
        <w:t xml:space="preserve">Marques, Bianchini e Gomes, </w:t>
      </w:r>
      <w:r w:rsidDel="00000000" w:rsidR="00000000" w:rsidRPr="00000000">
        <w:rPr>
          <w:rFonts w:ascii="Arial" w:cs="Arial" w:eastAsia="Arial" w:hAnsi="Arial"/>
          <w:sz w:val="24"/>
          <w:szCs w:val="24"/>
          <w:rtl w:val="0"/>
        </w:rPr>
        <w:t xml:space="preserve">afirmam que (2018, p.128): </w:t>
      </w:r>
    </w:p>
    <w:p w:rsidR="00000000" w:rsidDel="00000000" w:rsidP="00000000" w:rsidRDefault="00000000" w:rsidRPr="00000000" w14:paraId="000000B8">
      <w:pP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9">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A própria Lei Maria da Penha é fruto de importante conquista galgada em nível internacional, já que na condenação sofrida pelo Brasil na Comissão Interamericana de Direitos Humanos, dentre outras obrigações, coube ao país elaborar normas de proteção integral à mulher vítima de violência doméstica e familiar.</w:t>
      </w:r>
    </w:p>
    <w:p w:rsidR="00000000" w:rsidDel="00000000" w:rsidP="00000000" w:rsidRDefault="00000000" w:rsidRPr="00000000" w14:paraId="000000BA">
      <w:pPr>
        <w:spacing w:after="0" w:line="240" w:lineRule="auto"/>
        <w:ind w:left="2268"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disso, com o reflexo do caso e das recomendações feitas ao Brasil, em 2004 foi criado um projeto de lei n° 4559/2004, para coibir a violência doméstica e familiar contra a mulher.</w:t>
      </w:r>
    </w:p>
    <w:p w:rsidR="00000000" w:rsidDel="00000000" w:rsidP="00000000" w:rsidRDefault="00000000" w:rsidRPr="00000000" w14:paraId="000000B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a explicação da proposta e razões para editar tal norma, foi elaborado a Exposição de Motivos n° 016 - SPM/PR, que em seu item 12, descreve que:</w:t>
      </w:r>
    </w:p>
    <w:p w:rsidR="00000000" w:rsidDel="00000000" w:rsidP="00000000" w:rsidRDefault="00000000" w:rsidRPr="00000000" w14:paraId="000000BD">
      <w:pP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E">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É contra as relações desiguais que se impõem os direitos humanos das mulheres. O respeito à igualdade está a exigir, portanto, uma lei específica que dê proteção e dignidade às mulheres vítimas de violência doméstica. Não haverá democracia efetiva e igualdade real enquanto o problema da violência doméstica não for devidamente considerado. Os direitos à vida, à saúde e à integridade física das mulheres são violados quando um membro da família tira vantagem de sua força física ou posição de autoridade para infligir maus tratos físicos, sexuais, morais e psicológicos.</w:t>
      </w:r>
    </w:p>
    <w:p w:rsidR="00000000" w:rsidDel="00000000" w:rsidP="00000000" w:rsidRDefault="00000000" w:rsidRPr="00000000" w14:paraId="000000BF">
      <w:pPr>
        <w:spacing w:after="0" w:line="240" w:lineRule="auto"/>
        <w:ind w:left="2268"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 8° do art. 226 da Constituição Federal, em 07 de agosto de 2006 a lei 11.340/2006 foi sancionada pelo Presidente da República, vindo a ser chamada popularmente como “Lei Maria da Penha”.</w:t>
      </w:r>
    </w:p>
    <w:p w:rsidR="00000000" w:rsidDel="00000000" w:rsidP="00000000" w:rsidRDefault="00000000" w:rsidRPr="00000000" w14:paraId="000000C1">
      <w:pPr>
        <w:spacing w:after="0" w:line="360" w:lineRule="auto"/>
        <w:ind w:firstLine="709"/>
        <w:jc w:val="both"/>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sz w:val="24"/>
          <w:szCs w:val="24"/>
          <w:rtl w:val="0"/>
        </w:rPr>
        <w:t xml:space="preserve">A referida lei tem como objetivo a proteção do gênero feminino, a criação de mecanismos para reprimir a violência doméstica e familiar contra a mulher, como a criação de procedimentos especiais, o atendimento especializado vítima mulher, a aplicação das medidas protetivas, a proibição da aplicação da lei 9.099/95, a criação de Varas e Juizados Especiais da Violência Doméstica e Familiar contra a Mulher etc.</w:t>
      </w:r>
    </w:p>
    <w:p w:rsidR="00000000" w:rsidDel="00000000" w:rsidP="00000000" w:rsidRDefault="00000000" w:rsidRPr="00000000" w14:paraId="000000C2">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A VIOLÊNCIA DOMÉSTICA E FAMILIAR CONTRA A MULHER E AS SUAS FORMAS NOS TERMOS NA “LEI MARIA DA PENHA”</w:t>
      </w:r>
    </w:p>
    <w:p w:rsidR="00000000" w:rsidDel="00000000" w:rsidP="00000000" w:rsidRDefault="00000000" w:rsidRPr="00000000" w14:paraId="000000C4">
      <w:pPr>
        <w:spacing w:after="0" w:line="360" w:lineRule="auto"/>
        <w:ind w:firstLine="8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que haja aplicação da “Lei Maria da Penha” é necessário que estejam presentes alguns elementos cumulativos, sendo estes, o sujeito passivo ser mulher, a violência seja praticada em um dos contextos do art. 5º, bem como, caracterizada a violência em uma das formas do art. 7º, e por fim, o pressuposto de hipossuficiência e vulnerabilidade. </w:t>
      </w:r>
    </w:p>
    <w:p w:rsidR="00000000" w:rsidDel="00000000" w:rsidP="00000000" w:rsidRDefault="00000000" w:rsidRPr="00000000" w14:paraId="000000C6">
      <w:pPr>
        <w:spacing w:after="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art. 5 da Lei Maria da Penha define o que vem a ser violência doméstica e familiar e os âmbitos que essa violência pode ocorrer, sendo esses:  no âmbito da unidade doméstica, no âmbito da família, e em qualquer relação íntima de afeto.  O objeto central desse estudo será a violência intrafamiliar nas relações íntimas de afeto, conforme o artigo da referida lei, a seguir transcrito:</w:t>
      </w:r>
    </w:p>
    <w:p w:rsidR="00000000" w:rsidDel="00000000" w:rsidP="00000000" w:rsidRDefault="00000000" w:rsidRPr="00000000" w14:paraId="000000C7">
      <w:pP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8">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Art. 5º Para os efeitos desta Lei, configura violência doméstica e familiar contra a mulher qualquer ação ou omissão baseada no gênero que lhe cause morte, lesão, sofrimento físico, sexual ou psicológico e dano moral ou patrimonial:   </w:t>
      </w:r>
    </w:p>
    <w:p w:rsidR="00000000" w:rsidDel="00000000" w:rsidP="00000000" w:rsidRDefault="00000000" w:rsidRPr="00000000" w14:paraId="000000C9">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III - em qualquer relação íntima de afeto, na qual o agressor conviva ou tenha convivido com a ofendida, independentemente de coabitação.</w:t>
      </w:r>
    </w:p>
    <w:p w:rsidR="00000000" w:rsidDel="00000000" w:rsidP="00000000" w:rsidRDefault="00000000" w:rsidRPr="00000000" w14:paraId="000000CA">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Dessa forma, a lei pode ser aplicada nas relações íntimas de afeto independentemente do período e do tempo de relacionamento, até mesmo se já foi rompido, basta que o autor se aproveite da relação de afeto para agredir a vítima (DIAS, 2019, p.67-68). Portanto, para que se configure uma relação íntima de afeto, deve haver um relacionamento sentimental entre a vítima e o autor, não necessitando que a mulher esteja morando no mesmo lar que o agressor ou que ainda mantenha a relação.</w:t>
      </w:r>
    </w:p>
    <w:p w:rsidR="00000000" w:rsidDel="00000000" w:rsidP="00000000" w:rsidRDefault="00000000" w:rsidRPr="00000000" w14:paraId="000000C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outro lado, o art. 7 define as formas de violência que são a física, psicológica, sexual, patrimonial e moral. A violência que será objeto desse estudo será a violência física. Logo, nos termos da Lei Maria da Penha a violência física contra a mulher consiste em “qualquer conduta que ofenda sua integridade ou saúde corporal”.</w:t>
      </w:r>
    </w:p>
    <w:p w:rsidR="00000000" w:rsidDel="00000000" w:rsidP="00000000" w:rsidRDefault="00000000" w:rsidRPr="00000000" w14:paraId="000000C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a referida lei trata de diversos tipos de violência, e dentro de um contexto fático nota-se que não se inicia pela violência física, mas sim pela violência psicológica ou moral, percorrendo um ciclo de violência que se intensifica cada vez mais. Considera-se, para ocorrência da violência física a preexistência de diversas situações de violência anteriores, que na maioria das vezes não são reconhecidas pelas vítimas (FEMENÍAS, 2008).</w:t>
      </w:r>
    </w:p>
    <w:p w:rsidR="00000000" w:rsidDel="00000000" w:rsidP="00000000" w:rsidRDefault="00000000" w:rsidRPr="00000000" w14:paraId="000000CE">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violência física consiste no uso da força corporal, com o intuito de agredir a vítima e ofender a sua integridade, podendo resultar nos crimes tipificados pelo Código Penal.</w:t>
      </w:r>
    </w:p>
    <w:p w:rsidR="00000000" w:rsidDel="00000000" w:rsidP="00000000" w:rsidRDefault="00000000" w:rsidRPr="00000000" w14:paraId="000000CF">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sentido:</w:t>
      </w:r>
    </w:p>
    <w:p w:rsidR="00000000" w:rsidDel="00000000" w:rsidP="00000000" w:rsidRDefault="00000000" w:rsidRPr="00000000" w14:paraId="000000D0">
      <w:pP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1">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Normalmente, a violência física manifesta-se por tapas, socos, empurrões e agressões com instrumentos, contundentes ou cortantes, que podem provocar marcas físicas e danos à saúde da vítima. Conforme a gravidade do resultado e as circunstâncias do fato, pode ser tipificada como vias de fato, lesão corporal, tortura ou feminicídio. (FERNANDES, 2013, p.100).</w:t>
      </w:r>
    </w:p>
    <w:p w:rsidR="00000000" w:rsidDel="00000000" w:rsidP="00000000" w:rsidRDefault="00000000" w:rsidRPr="00000000" w14:paraId="000000D2">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360" w:lineRule="auto"/>
        <w:ind w:firstLine="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É possível, assim, verificar que existem diversos meios de como a violência física pode ser perpetrada, possuindo uma abrangência de formas e particularidades em cada caso. O objeto desse estudo será a violência física tipificada como lesão corporal leve praticada no âmbito doméstico.</w:t>
      </w:r>
      <w:r w:rsidDel="00000000" w:rsidR="00000000" w:rsidRPr="00000000">
        <w:rPr>
          <w:rtl w:val="0"/>
        </w:rPr>
      </w:r>
    </w:p>
    <w:p w:rsidR="00000000" w:rsidDel="00000000" w:rsidP="00000000" w:rsidRDefault="00000000" w:rsidRPr="00000000" w14:paraId="000000D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 LESÃO CORPORAL (VIOLÊNCIA DOMÉSTICA) </w:t>
      </w:r>
    </w:p>
    <w:p w:rsidR="00000000" w:rsidDel="00000000" w:rsidP="00000000" w:rsidRDefault="00000000" w:rsidRPr="00000000" w14:paraId="000000D6">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lesão corporal leve é um crime previsto no art. 129 do Código Penal, que tipifica a conduta de ofender a integridade corporal ou saúde de outrem. A definição deste crime está relacionada ao seu resultado, ou seja, se dá por eliminação, quando não resulta em lesão corporal grave, gravíssima, ou seguida de morte (BITENCOURT, 2022). Em seu § 9º está elencada a qualificadora da violência doméstica, sendo esta, uma das alterações trazidas pela “Lei Maria da Penha”. Assim, nos termos do artigo 129, § 9º, do Código Penal:</w:t>
      </w:r>
    </w:p>
    <w:p w:rsidR="00000000" w:rsidDel="00000000" w:rsidP="00000000" w:rsidRDefault="00000000" w:rsidRPr="00000000" w14:paraId="000000D8">
      <w:pPr>
        <w:shd w:fill="ffffff" w:val="clear"/>
        <w:spacing w:after="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9">
      <w:pPr>
        <w:shd w:fill="ffffff" w:val="clear"/>
        <w:spacing w:after="0" w:lineRule="auto"/>
        <w:ind w:left="2268" w:firstLine="0"/>
        <w:jc w:val="both"/>
        <w:rPr/>
      </w:pPr>
      <w:r w:rsidDel="00000000" w:rsidR="00000000" w:rsidRPr="00000000">
        <w:rPr>
          <w:rFonts w:ascii="Arial" w:cs="Arial" w:eastAsia="Arial" w:hAnsi="Arial"/>
          <w:rtl w:val="0"/>
        </w:rPr>
        <w:t xml:space="preserve">§ 9</w:t>
      </w:r>
      <w:r w:rsidDel="00000000" w:rsidR="00000000" w:rsidRPr="00000000">
        <w:rPr>
          <w:rFonts w:ascii="Arial" w:cs="Arial" w:eastAsia="Arial" w:hAnsi="Arial"/>
          <w:u w:val="single"/>
          <w:vertAlign w:val="superscript"/>
          <w:rtl w:val="0"/>
        </w:rPr>
        <w:t xml:space="preserve">o</w:t>
      </w:r>
      <w:r w:rsidDel="00000000" w:rsidR="00000000" w:rsidRPr="00000000">
        <w:rPr>
          <w:rFonts w:ascii="Arial" w:cs="Arial" w:eastAsia="Arial" w:hAnsi="Arial"/>
          <w:rtl w:val="0"/>
        </w:rPr>
        <w:t xml:space="preserve">  Se a lesão for praticada contra ascendente, descendente, irmão, cônjuge ou companheiro, ou com quem conviva ou tenha convivido, ou, ainda, prevalecendo-se o agente das relações domésticas, de coabitação ou de hospitalidade:</w:t>
      </w:r>
      <w:r w:rsidDel="00000000" w:rsidR="00000000" w:rsidRPr="00000000">
        <w:rPr>
          <w:rtl w:val="0"/>
        </w:rPr>
        <w:t xml:space="preserve"> </w:t>
      </w:r>
    </w:p>
    <w:p w:rsidR="00000000" w:rsidDel="00000000" w:rsidP="00000000" w:rsidRDefault="00000000" w:rsidRPr="00000000" w14:paraId="000000DA">
      <w:pPr>
        <w:shd w:fill="ffffff" w:val="clear"/>
        <w:spacing w:after="0" w:lineRule="auto"/>
        <w:ind w:left="2268" w:firstLine="0"/>
        <w:jc w:val="both"/>
        <w:rPr>
          <w:rFonts w:ascii="Arial" w:cs="Arial" w:eastAsia="Arial" w:hAnsi="Arial"/>
          <w:color w:val="000000"/>
          <w:u w:val="single"/>
        </w:rPr>
      </w:pPr>
      <w:r w:rsidDel="00000000" w:rsidR="00000000" w:rsidRPr="00000000">
        <w:rPr>
          <w:rFonts w:ascii="Arial" w:cs="Arial" w:eastAsia="Arial" w:hAnsi="Arial"/>
          <w:rtl w:val="0"/>
        </w:rPr>
        <w:t xml:space="preserve">Pena - detenção, de 3 (três) meses a 3 (três) anos. </w:t>
      </w:r>
      <w:r w:rsidDel="00000000" w:rsidR="00000000" w:rsidRPr="00000000">
        <w:rPr>
          <w:rFonts w:ascii="Arial" w:cs="Arial" w:eastAsia="Arial" w:hAnsi="Arial"/>
          <w:color w:val="000000"/>
          <w:u w:val="single"/>
          <w:rtl w:val="0"/>
        </w:rPr>
        <w:t xml:space="preserve"> </w:t>
      </w:r>
    </w:p>
    <w:p w:rsidR="00000000" w:rsidDel="00000000" w:rsidP="00000000" w:rsidRDefault="00000000" w:rsidRPr="00000000" w14:paraId="000000DB">
      <w:pPr>
        <w:shd w:fill="ffffff" w:val="clea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Trata-se de um tipo penal bastante abrangente, visto que, o legislador não especificou o sujeito passivo do crime, assim, homens e mulheres podem ser vítimas da violência doméstica, bastando que o agente prevaleça das relações familiares, de coabitação ou hospitalidade. Sendo assim, para este delito não se aplica a “Lei Maria da Penha”. </w:t>
      </w:r>
    </w:p>
    <w:p w:rsidR="00000000" w:rsidDel="00000000" w:rsidP="00000000" w:rsidRDefault="00000000" w:rsidRPr="00000000" w14:paraId="000000DD">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Ainda, se a lesão corporal for de natureza grave, gravíssima ou a seguida de morte no âmbito da violência doméstica, a pena de tais crimes será majorada em 1/3, nos termos do § 10 do art. 129 do Código Penal. Com vista o legislador em punir com maior severidade o agente que se usa das relações de convivência, afetivas, ou das relações familiares, para cometer tal crime. </w:t>
      </w:r>
    </w:p>
    <w:p w:rsidR="00000000" w:rsidDel="00000000" w:rsidP="00000000" w:rsidRDefault="00000000" w:rsidRPr="00000000" w14:paraId="000000DE">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Contudo, a natureza da ação penal do crime de violência doméstica é pública incondicionada conforme decidiu o STF na ADI 4424, ou seja, a denúncia pode ser oferecida pelo Ministério Público independentemente da vontade da vítima. O voto do ministro Luiz Fux na referida ação, mencionou a importância dessa decisão:</w:t>
      </w:r>
    </w:p>
    <w:p w:rsidR="00000000" w:rsidDel="00000000" w:rsidP="00000000" w:rsidRDefault="00000000" w:rsidRPr="00000000" w14:paraId="000000DF">
      <w:pPr>
        <w:shd w:fill="ffffff" w:val="clear"/>
        <w:spacing w:after="0" w:line="276"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0">
      <w:pPr>
        <w:shd w:fill="ffffff" w:val="clear"/>
        <w:spacing w:after="0" w:line="276" w:lineRule="auto"/>
        <w:ind w:left="2268" w:firstLine="0"/>
        <w:jc w:val="both"/>
        <w:rPr>
          <w:rFonts w:ascii="Arial" w:cs="Arial" w:eastAsia="Arial" w:hAnsi="Arial"/>
        </w:rPr>
      </w:pPr>
      <w:r w:rsidDel="00000000" w:rsidR="00000000" w:rsidRPr="00000000">
        <w:rPr>
          <w:rFonts w:ascii="Arial" w:cs="Arial" w:eastAsia="Arial" w:hAnsi="Arial"/>
          <w:rtl w:val="0"/>
        </w:rPr>
        <w:t xml:space="preserve">Do mesmo modo, os delitos de lesão corporal leve e culposa domésticos contra a mulher independem de representação da ofendida, processando-se mediante ação penal pública incondicionada. O condicionamento da ação penal à representação da mulher se revela um obstáculo à efetivação do direito fundamental à proteção da sua inviolabilidade física e moral, atingindo, em última análise, a dignidade humana feminina.</w:t>
      </w:r>
    </w:p>
    <w:p w:rsidR="00000000" w:rsidDel="00000000" w:rsidP="00000000" w:rsidRDefault="00000000" w:rsidRPr="00000000" w14:paraId="000000E1">
      <w:pPr>
        <w:shd w:fill="ffffff" w:val="clea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2">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Desse modo, por se tratar de uma infração praticada no interior das relações íntimas, torna-se bastante complexo sua apuração, haja vista que, a maioria das vítimas não chegariam sequer a denunciar seus agressores por diversos fatores. Assim, tem-se demonstrada a relevância do processamento do crime se dar mediante ação penal pública incondicionada.</w:t>
      </w:r>
    </w:p>
    <w:p w:rsidR="00000000" w:rsidDel="00000000" w:rsidP="00000000" w:rsidRDefault="00000000" w:rsidRPr="00000000" w14:paraId="000000E3">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outro lado, para que o Estado cumpra o seu </w:t>
      </w:r>
      <w:r w:rsidDel="00000000" w:rsidR="00000000" w:rsidRPr="00000000">
        <w:rPr>
          <w:rFonts w:ascii="Arial" w:cs="Arial" w:eastAsia="Arial" w:hAnsi="Arial"/>
          <w:i w:val="1"/>
          <w:sz w:val="24"/>
          <w:szCs w:val="24"/>
          <w:rtl w:val="0"/>
        </w:rPr>
        <w:t xml:space="preserve">ius puniendi </w:t>
      </w:r>
      <w:r w:rsidDel="00000000" w:rsidR="00000000" w:rsidRPr="00000000">
        <w:rPr>
          <w:rFonts w:ascii="Arial" w:cs="Arial" w:eastAsia="Arial" w:hAnsi="Arial"/>
          <w:sz w:val="24"/>
          <w:szCs w:val="24"/>
          <w:rtl w:val="0"/>
        </w:rPr>
        <w:t xml:space="preserve">existe um caminho processual a ser percorrido, começando o com a comunicação do delito até chegar a efetiva punição do autor, isto é, a condenação criminal.</w:t>
      </w:r>
    </w:p>
    <w:p w:rsidR="00000000" w:rsidDel="00000000" w:rsidP="00000000" w:rsidRDefault="00000000" w:rsidRPr="00000000" w14:paraId="000000E4">
      <w:pPr>
        <w:shd w:fill="ffffff" w:val="clea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 LESÃO CORPORAL PRATICADA CONTRA A MULHER POR RAZÕES DO SEXO FEMININO </w:t>
      </w:r>
    </w:p>
    <w:p w:rsidR="00000000" w:rsidDel="00000000" w:rsidP="00000000" w:rsidRDefault="00000000" w:rsidRPr="00000000" w14:paraId="000000E6">
      <w:pPr>
        <w:shd w:fill="ffffff" w:val="clea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crime de violência doméstica não houve uma efetiva proteção da norma ao gênero feminino como faz a “Lei Maria da Penha”, visto que, o homem também pode ser o sujeito passivo. Desta forma, a lei 14.188/2021 popularmente conhecida como “Lei do sinal vermelho” introduziu a qualificadora da lesão praticada contra a mulher por razões da condição do sexo feminino, prevista no §13º do art. 129 do Código Penal, criou-se então um tipo penal específico, pois neste o sujeito passivo somente pode ser mulher. Assim, será caracterizada a lesão qualificada praticada contra a mulher por razões da condição do sexo feminino, quando o crime envolver a violência doméstica e familiar ou menosprezo ou discriminação à condição de mulher. Nesses casos, a “Lei Maria da Penha” será aplicada por revelar um maior alcance e não se tratar de matéria penal, considerando-se por analogia, interpretação analógica e interpretação extensiva (BITENCOURT, 2022).</w:t>
      </w:r>
    </w:p>
    <w:p w:rsidR="00000000" w:rsidDel="00000000" w:rsidP="00000000" w:rsidRDefault="00000000" w:rsidRPr="00000000" w14:paraId="000000E8">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violência doméstica e familiar, prevista como crime, tem como definição o previsto no art.</w:t>
      </w:r>
      <w:r w:rsidDel="00000000" w:rsidR="00000000" w:rsidRPr="00000000">
        <w:rPr>
          <w:rtl w:val="0"/>
        </w:rPr>
        <w:t xml:space="preserve"> </w:t>
      </w:r>
      <w:r w:rsidDel="00000000" w:rsidR="00000000" w:rsidRPr="00000000">
        <w:rPr>
          <w:rFonts w:ascii="Arial" w:cs="Arial" w:eastAsia="Arial" w:hAnsi="Arial"/>
          <w:sz w:val="24"/>
          <w:szCs w:val="24"/>
          <w:rtl w:val="0"/>
        </w:rPr>
        <w:t xml:space="preserve">5º da “Lei Maria da Penha”, trata-se de “qualquer ação ou omissão baseada no gênero que lhe cause morte, lesão, sofrimento físico, sexual ou psicológico e dano moral ou patrimonial”.</w:t>
      </w:r>
    </w:p>
    <w:p w:rsidR="00000000" w:rsidDel="00000000" w:rsidP="00000000" w:rsidRDefault="00000000" w:rsidRPr="00000000" w14:paraId="000000E9">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menosprezo ou discriminação à condição de mulher é específico do tipo penal, pois se trata de um crime de gênero, sendo necessário além da vítima ser mulher a motivação esteja relacionada ao menosprezo ou discriminação, isto é, esteja relacionada a vulnerabilidade da mulher.</w:t>
      </w:r>
    </w:p>
    <w:p w:rsidR="00000000" w:rsidDel="00000000" w:rsidP="00000000" w:rsidRDefault="00000000" w:rsidRPr="00000000" w14:paraId="000000EA">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Nesta linha:</w:t>
      </w:r>
    </w:p>
    <w:p w:rsidR="00000000" w:rsidDel="00000000" w:rsidP="00000000" w:rsidRDefault="00000000" w:rsidRPr="00000000" w14:paraId="000000EB">
      <w:pPr>
        <w:shd w:fill="ffffff" w:val="clea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C">
      <w:pPr>
        <w:shd w:fill="ffffff" w:val="clea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O legislador pretendeu destacar e proteger a mulher, isto é, pessoa do sexo feminino, pela sua condição de mulher, quer para evitar o preconceito, quer por sua fragilidade física, por sua compleição menos avantajada que a do homem, quer para impedir o prevalecimento de homens fisicamente mais fortes etc. É necessário, em outros termos, que a conduta do agente seja motivada pela violência doméstica ou familiar, e/ou pelo menosprezo ou discriminação à condição de mulher (BITENCOURT, 2022, p.73).</w:t>
      </w:r>
    </w:p>
    <w:p w:rsidR="00000000" w:rsidDel="00000000" w:rsidP="00000000" w:rsidRDefault="00000000" w:rsidRPr="00000000" w14:paraId="000000ED">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Percebe-se então a preocupação do legislador em garantir um maior amparo às mulheres, tratando-se de uma política criminal que atua no combate estrutural e social da violência de gênero.</w:t>
      </w:r>
    </w:p>
    <w:p w:rsidR="00000000" w:rsidDel="00000000" w:rsidP="00000000" w:rsidRDefault="00000000" w:rsidRPr="00000000" w14:paraId="000000EF">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shd w:fill="ffffff" w:val="clea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A “CIFRA NEGRA” DA CRIMINALIDADE</w:t>
      </w:r>
    </w:p>
    <w:p w:rsidR="00000000" w:rsidDel="00000000" w:rsidP="00000000" w:rsidRDefault="00000000" w:rsidRPr="00000000" w14:paraId="000000F1">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“cifra negra” é um fenômeno estudado pela Criminologia que se refere a parcela dos crimes não levados ao conhecimento do Estado, sendo assim ocultos das estatísticas criminais oficiais. Trata-se dos delitos que não são comunicados às autoridades, ou quando comunicados não são elucidados (GIMENES; FILHO, 2022). Assim, tem-se que os índices criminais oficiais não abrangem todos os crimes que efetivamente ocorrem, isto é, os números não batem com a realidade, ocorrendo a subnotificação dos ilícitos, que por sua vez, abre uma lacuna no enfrentamento à criminalidade.</w:t>
      </w:r>
    </w:p>
    <w:p w:rsidR="00000000" w:rsidDel="00000000" w:rsidP="00000000" w:rsidRDefault="00000000" w:rsidRPr="00000000" w14:paraId="000000F3">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Guilherme de Souza Nucci conceituou a “cifra negra”, nos seguintes termos:</w:t>
      </w:r>
    </w:p>
    <w:p w:rsidR="00000000" w:rsidDel="00000000" w:rsidP="00000000" w:rsidRDefault="00000000" w:rsidRPr="00000000" w14:paraId="000000F4">
      <w:pPr>
        <w:shd w:fill="ffffff" w:val="clear"/>
        <w:spacing w:after="0" w:line="240" w:lineRule="auto"/>
        <w:ind w:left="22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5">
      <w:pPr>
        <w:shd w:fill="ffffff" w:val="clear"/>
        <w:spacing w:after="0" w:line="240" w:lineRule="auto"/>
        <w:ind w:left="2267" w:firstLine="0"/>
        <w:jc w:val="both"/>
        <w:rPr>
          <w:rFonts w:ascii="Arial" w:cs="Arial" w:eastAsia="Arial" w:hAnsi="Arial"/>
        </w:rPr>
      </w:pPr>
      <w:r w:rsidDel="00000000" w:rsidR="00000000" w:rsidRPr="00000000">
        <w:rPr>
          <w:rFonts w:ascii="Arial" w:cs="Arial" w:eastAsia="Arial" w:hAnsi="Arial"/>
          <w:rtl w:val="0"/>
        </w:rPr>
        <w:t xml:space="preserve">Significa o número obscuro ou desconhecido de delitos praticados todos os dias em diversos lugares, que não chegam nem mesmo ao conhecimento das autoridades policiais; por vezes, os que chegam, podem ser registrados, mas as apurações não encontram o culpado; mesmo achando o suspeito, pode ser que não seja processado por insuficiência de provas; caso seja levado a juízo, também é viável que não seja condenado, por razões variadas; enfim, de inúmeras infrações penais cometidas todos os dias, somente um percentual mínimo termina em condenação e cumprimento de pena. Essa abordagem não é específica de uma só região ou país; a faixa obscura de crimes abrange o mundo inteiro (NUCCI, 2021, p.291).</w:t>
      </w:r>
    </w:p>
    <w:p w:rsidR="00000000" w:rsidDel="00000000" w:rsidP="00000000" w:rsidRDefault="00000000" w:rsidRPr="00000000" w14:paraId="000000F6">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demonstrado, a “cifra negra” pode representar os crimes que são ocultados ou que não são solucionados. Por isso, há uma relevância da atitude da vítima em notificar as autoridades e do poder de punir estatal. Assim, para que os crimes cheguem ao conhecimento do Estado é necessário que seja percorrido um caminho investigativo e processual, começando da notificação do delito feita pela vítima ou por terceiros.</w:t>
      </w:r>
    </w:p>
    <w:p w:rsidR="00000000" w:rsidDel="00000000" w:rsidP="00000000" w:rsidRDefault="00000000" w:rsidRPr="00000000" w14:paraId="000000F8">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ponto, tem-se que:</w:t>
      </w:r>
    </w:p>
    <w:p w:rsidR="00000000" w:rsidDel="00000000" w:rsidP="00000000" w:rsidRDefault="00000000" w:rsidRPr="00000000" w14:paraId="000000F9">
      <w:pPr>
        <w:shd w:fill="ffffff" w:val="clear"/>
        <w:spacing w:after="0" w:line="240" w:lineRule="auto"/>
        <w:ind w:left="226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A">
      <w:pPr>
        <w:shd w:fill="ffffff" w:val="clea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Da prática do delito à condenação do autor (e, indo um pouco adiante, até seu encarceramento), há um obrigatório caminho a ser percorrido, o qual oferece como etapas marcantes as seguintes: a) ser o fato relatado à polícia; b) se relatado, ser registrado; c) se registrado, ser investigado; d) se investigado, gerar um inquérito; e) se existente o inquérito, dar origem a uma denúncia por parte do promotor; f) se denunciado, redundar em condenação pelo juiz; g) se, havendo condenação e expedido o conseqüente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)mandado de prisão, a polícia efetivamente o executa (THOMPSON, 2007, p. 3).</w:t>
      </w:r>
    </w:p>
    <w:p w:rsidR="00000000" w:rsidDel="00000000" w:rsidP="00000000" w:rsidRDefault="00000000" w:rsidRPr="00000000" w14:paraId="000000FB">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Desse modo, não havendo nenhuma das fases acima citadas, os crimes serão tidos como subnotificados, haja vista que, estarão fora dos números criminais oficiais, ficando assim emergidos no mundo oculto da criminalidade.</w:t>
      </w:r>
    </w:p>
    <w:p w:rsidR="00000000" w:rsidDel="00000000" w:rsidP="00000000" w:rsidRDefault="00000000" w:rsidRPr="00000000" w14:paraId="000000FD">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os criminólogos afirmam que por meio das estatísticas criminais pode-se identificar a ligação entre os motivos que concorrem para o aumento da criminalidade e quais são os crimes praticados (GIMENES; FILHO, 2022). Assim, os dados obtidos da criminalidade possuem uma grandiosa relevância para o enfrentamento dos atos criminosos e a adoção das políticas criminais pelo Estado, visto que, é necessária uma exata dimensão da quantidade dos delitos que são cometidos, com a finalidade de aprimoramento do sistema punitivo.</w:t>
      </w:r>
    </w:p>
    <w:p w:rsidR="00000000" w:rsidDel="00000000" w:rsidP="00000000" w:rsidRDefault="00000000" w:rsidRPr="00000000" w14:paraId="000000FE">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Nessa toada: </w:t>
      </w:r>
    </w:p>
    <w:p w:rsidR="00000000" w:rsidDel="00000000" w:rsidP="00000000" w:rsidRDefault="00000000" w:rsidRPr="00000000" w14:paraId="000000FF">
      <w:pPr>
        <w:spacing w:after="0" w:line="240" w:lineRule="auto"/>
        <w:ind w:left="22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0">
      <w:pPr>
        <w:spacing w:after="0" w:line="240" w:lineRule="auto"/>
        <w:ind w:left="2267" w:firstLine="0"/>
        <w:jc w:val="both"/>
        <w:rPr>
          <w:rFonts w:ascii="Arial" w:cs="Arial" w:eastAsia="Arial" w:hAnsi="Arial"/>
        </w:rPr>
      </w:pPr>
      <w:r w:rsidDel="00000000" w:rsidR="00000000" w:rsidRPr="00000000">
        <w:rPr>
          <w:rFonts w:ascii="Arial" w:cs="Arial" w:eastAsia="Arial" w:hAnsi="Arial"/>
          <w:rtl w:val="0"/>
        </w:rPr>
        <w:t xml:space="preserve">As pesquisas sobre esta forma de criminalidade lançaram luz sobre o valor das estatísticas criminais e de sua interpretação, para fins de análise da distribuição da criminalidade nos vários estratos sociais, e sobre as teorias da criminalidade identificada e perseguida, as estatísticas criminais, nas quais a criminalidade é representada de modo enormemente inferior à sua calculável “cifra negra”, distorceram até agora as teorias da criminalidade, sugerindo um quadro falso da distribuição da criminalidade nos grupos sociais ( BARATTA, 2002, p. 102).</w:t>
      </w:r>
    </w:p>
    <w:p w:rsidR="00000000" w:rsidDel="00000000" w:rsidP="00000000" w:rsidRDefault="00000000" w:rsidRPr="00000000" w14:paraId="00000101">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do exposto, tem-se que existe um prejuízo quanto a apuração da criminalidade, pois os números não são seguros. Repercutindo assim, nas medidas de enfrentamento adotadas pelo Poder Público, gerando uma falsa sensação de segurança pela sociedade, e o sentimento de impunidade pelas vítimas.</w:t>
      </w:r>
    </w:p>
    <w:p w:rsidR="00000000" w:rsidDel="00000000" w:rsidP="00000000" w:rsidRDefault="00000000" w:rsidRPr="00000000" w14:paraId="00000103">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esse lado, deve-se ter um cuidado ao observar as estatísticas, pois embora estas apontem numerosos delitos, o total que não são denunciados pode excedê-los amplamente.</w:t>
      </w:r>
    </w:p>
    <w:p w:rsidR="00000000" w:rsidDel="00000000" w:rsidP="00000000" w:rsidRDefault="00000000" w:rsidRPr="00000000" w14:paraId="00000104">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ponto, Eron Veríssimo Gimenes e Nestor Sampaio Penteado Filho diferenciam a criminalidade real da criminalidade revelada e da cifra negra. A criminalidade real é a quantidade de crimes efetivamente praticados. A “criminalidade revelada”, portanto, é entendida como “a parcela de crimes que chega ao conhecimento do Estado, enquanto a cifra negra trata-se do percentual dos crimes que não são denunciados ou desvendados” (GIMENES; FILHO, 2022, p.28).</w:t>
      </w:r>
    </w:p>
    <w:p w:rsidR="00000000" w:rsidDel="00000000" w:rsidP="00000000" w:rsidRDefault="00000000" w:rsidRPr="00000000" w14:paraId="00000105">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verificar a ocorrência da “cifra negra”, é necessário analisar as prováveis diferenças entre as estatísticas oficiais e a criminalidade real a fim comprovar que os registros dos órgãos públicos não representam o total de delitos cometidos. Bem como, deve-se averiguar o porquê as vítimas não denunciam os delitos sofridos, caso em que incide a vitimização secundária, que pode ocorrer no momento da investigação e no processo criminal, optando a vítima por não denunciar o crime sofrido. </w:t>
      </w:r>
    </w:p>
    <w:p w:rsidR="00000000" w:rsidDel="00000000" w:rsidP="00000000" w:rsidRDefault="00000000" w:rsidRPr="00000000" w14:paraId="00000106">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fim, são várias as causas que contribuem para a ocorrência da “cifra negra”, dentre elas, está tipo penal em si, ou seja, existem delitos que são de difícil conhecimento pelo Estado, seja porque as vítimas não denunciam, ou por serem praticados em âmbitos clandestinos, familiares ou em relações íntimas, como é o caso do crime de violência doméstica. </w:t>
      </w:r>
    </w:p>
    <w:p w:rsidR="00000000" w:rsidDel="00000000" w:rsidP="00000000" w:rsidRDefault="00000000" w:rsidRPr="00000000" w14:paraId="00000107">
      <w:pPr>
        <w:shd w:fill="ffffff" w:val="clea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8">
      <w:pPr>
        <w:shd w:fill="ffffff" w:val="clea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9">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A “CIFRA NEGRA” NOS CRIMES DE VIOLÊNCIA DOMÉSTICA E FAMILIAR CONTRA A MULHER</w:t>
      </w:r>
    </w:p>
    <w:p w:rsidR="00000000" w:rsidDel="00000000" w:rsidP="00000000" w:rsidRDefault="00000000" w:rsidRPr="00000000" w14:paraId="0000010A">
      <w:pPr>
        <w:shd w:fill="ffffff" w:val="clea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crime de violência doméstica e familiar contra a mulher, refletem uma alta “cifra negra”, uma vez que, as vítimas do crime de violência doméstica não buscam denunciar tal delito às autoridades públicas, haja vista que, este ilícito é praticado em ambientes fechados, em razão da relação íntima de afeto, o que dificulta a notificação desses casos.</w:t>
      </w:r>
    </w:p>
    <w:p w:rsidR="00000000" w:rsidDel="00000000" w:rsidP="00000000" w:rsidRDefault="00000000" w:rsidRPr="00000000" w14:paraId="0000010C">
      <w:pPr>
        <w:shd w:fill="ffffff" w:val="clear"/>
        <w:spacing w:after="0" w:line="360" w:lineRule="auto"/>
        <w:ind w:firstLine="72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Neste ponto, quando se tem uma relação anterior entre a vítima e o autor do fato, especialmente quando provém de um vínculo de afeto ou familiar, as agressões têm como vítimas seus membros mais vulneráveis: as mulheres. Há uma dificuldade de defesa dessas vítimas, que sofrem, inclusive danos psicológicos, nesses casos existe uma elevada cifra negra (DÍAZ, 1998). Assim, reputa-se que quando há um vínculo íntimo de afeto entre os envolvidos, se tenha uma maior dificuldade para a vítima mulher notificar o crime às autoridades públicas.</w:t>
      </w:r>
      <w:r w:rsidDel="00000000" w:rsidR="00000000" w:rsidRPr="00000000">
        <w:rPr>
          <w:rtl w:val="0"/>
        </w:rPr>
      </w:r>
    </w:p>
    <w:p w:rsidR="00000000" w:rsidDel="00000000" w:rsidP="00000000" w:rsidRDefault="00000000" w:rsidRPr="00000000" w14:paraId="0000010D">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clandestinidade do ilícito da violência doméstica, fomenta a ocorrência da cifra negra, posto que, a agressão é preponderantemente perpetrada contra a mulher por seu companheiro, marido, ou afim, prevalecendo-se do contato íntimo e de afeto que há entre as partes.</w:t>
      </w:r>
    </w:p>
    <w:p w:rsidR="00000000" w:rsidDel="00000000" w:rsidP="00000000" w:rsidRDefault="00000000" w:rsidRPr="00000000" w14:paraId="0000010E">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shd w:fill="ffffff" w:val="clear"/>
        <w:spacing w:after="0" w:line="240" w:lineRule="auto"/>
        <w:ind w:left="2267" w:firstLine="0"/>
        <w:jc w:val="both"/>
        <w:rPr>
          <w:rFonts w:ascii="Arial" w:cs="Arial" w:eastAsia="Arial" w:hAnsi="Arial"/>
        </w:rPr>
      </w:pPr>
      <w:r w:rsidDel="00000000" w:rsidR="00000000" w:rsidRPr="00000000">
        <w:rPr>
          <w:rFonts w:ascii="Arial" w:cs="Arial" w:eastAsia="Arial" w:hAnsi="Arial"/>
          <w:rtl w:val="0"/>
        </w:rPr>
        <w:t xml:space="preserve">Além da maior vulnerabilidade da mulher no lar, dada a sua maior exposição ao autor da agressão e a distância das vistas do público, é comum que aquele prevaleça-se desse contexto de convivência para manter coagida a mulher, desencorajando-a a noticiar a violência sofrida os familiares, aos amigos ou às autoridades. Essa situação fataliza o quadro de violência, e a mulher, sentindo-se sem meios para interromper a relação, toma-o por inevitável. Submetida a um limite sempre cruel e não raro fatal, a mulher acaba aceitando o papel de vítima de violência doméstica. (</w:t>
      </w:r>
      <w:r w:rsidDel="00000000" w:rsidR="00000000" w:rsidRPr="00000000">
        <w:rPr>
          <w:rFonts w:ascii="Arial" w:cs="Arial" w:eastAsia="Arial" w:hAnsi="Arial"/>
          <w:color w:val="222222"/>
          <w:sz w:val="24"/>
          <w:szCs w:val="24"/>
          <w:highlight w:val="white"/>
          <w:rtl w:val="0"/>
        </w:rPr>
        <w:t xml:space="preserve">MARQUES; BIANCHINI; GOMES,</w:t>
      </w:r>
      <w:r w:rsidDel="00000000" w:rsidR="00000000" w:rsidRPr="00000000">
        <w:rPr>
          <w:rFonts w:ascii="Arial" w:cs="Arial" w:eastAsia="Arial" w:hAnsi="Arial"/>
          <w:rtl w:val="0"/>
        </w:rPr>
        <w:t xml:space="preserve"> 2018, p. 36-37)</w:t>
      </w:r>
    </w:p>
    <w:p w:rsidR="00000000" w:rsidDel="00000000" w:rsidP="00000000" w:rsidRDefault="00000000" w:rsidRPr="00000000" w14:paraId="00000110">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o exposto, o crime de violência doméstica abre espaço para a chamada “Cifra Negra da Criminologia”, onde se encontra a problemática central deste estudo, devido a uma grandiosa subnotificação desse tipo penal em específico, que se dar por diversos fatores, sendo um deles quando a ofendida não se enxerga como vítima, normalizando as agressões e consequentemente não denunciando seu agressor.</w:t>
      </w:r>
    </w:p>
    <w:p w:rsidR="00000000" w:rsidDel="00000000" w:rsidP="00000000" w:rsidRDefault="00000000" w:rsidRPr="00000000" w14:paraId="00000112">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mesmo modo, as questões estruturais e culturais do Brasil, em relação às mulheres também refletem para o acontecimento das subnotificações da violência doméstica, haja vista, estar enraizado na sociedade brasileira que a mulher deve ser submissa ao homem.</w:t>
      </w:r>
    </w:p>
    <w:p w:rsidR="00000000" w:rsidDel="00000000" w:rsidP="00000000" w:rsidRDefault="00000000" w:rsidRPr="00000000" w14:paraId="00000113">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Dessa forma, é dentro das relações de intimidade entre homem e mulher que essa dominação cresce, pois diante da sociedade patriarcal constituída, o homem assume uma postura de dominador, o que resulta no comportamento omisso da vítima.</w:t>
      </w:r>
    </w:p>
    <w:p w:rsidR="00000000" w:rsidDel="00000000" w:rsidP="00000000" w:rsidRDefault="00000000" w:rsidRPr="00000000" w14:paraId="00000114">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decorrência deste fato, a mulher é tomada pelo medo de agir, não possuindo a coragem de denunciar o seu agressor, seja pelo medo da vingança, pelas juras de arrependimento que fazem após as agressões, ou simplesmente porque está tão abalada psicologicamente que não tem forças para tanto, tendo em conta o desgaste do procedimento criminal desde o registro da ocorrência até fim o processo.</w:t>
      </w:r>
    </w:p>
    <w:p w:rsidR="00000000" w:rsidDel="00000000" w:rsidP="00000000" w:rsidRDefault="00000000" w:rsidRPr="00000000" w14:paraId="00000115">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w:t>
      </w:r>
    </w:p>
    <w:p w:rsidR="00000000" w:rsidDel="00000000" w:rsidP="00000000" w:rsidRDefault="00000000" w:rsidRPr="00000000" w14:paraId="00000116">
      <w:pPr>
        <w:shd w:fill="ffffff" w:val="clear"/>
        <w:spacing w:after="0" w:line="240" w:lineRule="auto"/>
        <w:ind w:left="22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7">
      <w:pPr>
        <w:shd w:fill="ffffff" w:val="clear"/>
        <w:spacing w:after="0" w:line="240" w:lineRule="auto"/>
        <w:ind w:left="2267" w:firstLine="0"/>
        <w:jc w:val="both"/>
        <w:rPr>
          <w:rFonts w:ascii="Arial" w:cs="Arial" w:eastAsia="Arial" w:hAnsi="Arial"/>
        </w:rPr>
      </w:pPr>
      <w:r w:rsidDel="00000000" w:rsidR="00000000" w:rsidRPr="00000000">
        <w:rPr>
          <w:rFonts w:ascii="Arial" w:cs="Arial" w:eastAsia="Arial" w:hAnsi="Arial"/>
          <w:rtl w:val="0"/>
        </w:rPr>
        <w:t xml:space="preserve">A vida cotidiana é permanentemente atravessada pela violência. Poderíamos apontar fatores que favorecem o crime, tais como: os problemas econômicos, a ausência de serviços mínimos de saúde física e mental que deveriam ser providenciados pelo Estado e, sobretudo, o machismo cultural que considera a mulher uma propriedade do homem. Tudo junto provoca no cidadão e na cidadã o sentimento de que está abandonado e que se quiser justiça deve fazê-la com as próprias mãos. (BLAY, 2008, p. 2017)</w:t>
      </w:r>
    </w:p>
    <w:p w:rsidR="00000000" w:rsidDel="00000000" w:rsidP="00000000" w:rsidRDefault="00000000" w:rsidRPr="00000000" w14:paraId="00000118">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Nestes termos, são inúmeros os fatores que fazem com que a mulher não denuncie o crime, assim favorecendo a sua ocorrência e por sua vez, ocasionando a “cifra negra” da criminalidade.</w:t>
      </w:r>
    </w:p>
    <w:p w:rsidR="00000000" w:rsidDel="00000000" w:rsidP="00000000" w:rsidRDefault="00000000" w:rsidRPr="00000000" w14:paraId="0000011A">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reações das mulheres frente à agressão sofrida são diversas, dentre as justificativas para permanecer em um relacionamento abusivo estão o medo da vingança por parte do agressor, a dependência financeira e emocional, a existência de filhos, e a expectativa de que “ele vai mudar um dia” (DAY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2003). Entretanto, para que a violência contra a mulher chegue ao ponto da agressão corporal, a vítima já tem passado anteriormente por situações violentas, que se iniciam com a violência psicológica ou moral e evolui até que se chegue na violência física, tais agressões começam a se repetir e a se tornar cada vez mais gravosas, caracterizando assim o “ciclo de violência” (FERNANDES, 2013).</w:t>
      </w:r>
    </w:p>
    <w:p w:rsidR="00000000" w:rsidDel="00000000" w:rsidP="00000000" w:rsidRDefault="00000000" w:rsidRPr="00000000" w14:paraId="0000011B">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Desse modo, o agressor se aproveita do sentimento afetivo que existe na ofendida, e assim se inicia o ciclo violento onde a vítima não consegue sair, tampouco registrar a ocorrência. </w:t>
      </w:r>
    </w:p>
    <w:p w:rsidR="00000000" w:rsidDel="00000000" w:rsidP="00000000" w:rsidRDefault="00000000" w:rsidRPr="00000000" w14:paraId="0000011C">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ciclo de violência possui três fases sendo a: tensão, explosão e “lua de mel”. Na tensão, o homem começa a gritar a mulher ou até mesmo proferir ofensas, mostra seu lado violento. Nesse momento a vítima se submete às vontades do homem, acreditando que isso irá controlá-lo. O homem começa a atribuir a mulher a posição de culpada, pelo seu comportamento agressivo, então a vítima adota o comportamento omissivo, aceitando aquilo que é imposto. Na explosão, o homem perde o controle e começa as agressões físicas, sexuais, ameaças etc. Tem-se uma constante repetição dos atos nessa fase violenta, que vai se intensificando cada vez mais. A vítima nesta fase é coagida pelo medo, não sendo capaz de reagir, pois percebe que não tem poder sobre o homem, suportando a violência sofrida. E, por fim, a fase da “lua de mel”, que acontece logo após a violência, quando o homem se arrepende momentaneamente, diz que vai mudar seu comportamento, pede desculpas, entrega presentes etc. Promete a companheira que isso não vai acontecer novamente. Porém, em seguida, repete o ciclo violento (FERNANDES, 2013).</w:t>
      </w:r>
    </w:p>
    <w:p w:rsidR="00000000" w:rsidDel="00000000" w:rsidP="00000000" w:rsidRDefault="00000000" w:rsidRPr="00000000" w14:paraId="0000011D">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modo geral, enfatiza-se, são inúmeras as causas que fazem a ofendida não comunicar o crime às autoridades, ou quando comunicam desistem da representação, o que resulta no número de casos de violência doméstica registrado inferior a realidade, surgindo uma vasta ocultação deste tipo penal, mesmo com o com o avanço dos direitos às mulheres e com o advento da “Lei Maria da Penha”.</w:t>
      </w:r>
    </w:p>
    <w:p w:rsidR="00000000" w:rsidDel="00000000" w:rsidP="00000000" w:rsidRDefault="00000000" w:rsidRPr="00000000" w14:paraId="0000011E">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shd w:fill="ffffff" w:val="clea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ANÁLISE DOS DADOS ESTATÍSTICOS DA VIOLÊNCIA DOMÉSTICA E FAMILIAR CONTRA A MULHER E A EXISTÊNCIA DA “CIFRA NEGRA”</w:t>
      </w:r>
    </w:p>
    <w:p w:rsidR="00000000" w:rsidDel="00000000" w:rsidP="00000000" w:rsidRDefault="00000000" w:rsidRPr="00000000" w14:paraId="00000120">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fim de comprovar a existência desse fenômeno da Criminologia, a “Cifra Negra”, nos crimes de violência doméstica e familiar contra a mulher, serão analisados dados estatísticos obtidos através do Observatório da Mulher contra a Violência, pertencente ao Senado Federal, em parceria com o Instituto de Pesquisas DataSenado e do Fórum Brasileiro de Segurança Pública, em parceria com o Instituto Datafolha.</w:t>
      </w:r>
    </w:p>
    <w:p w:rsidR="00000000" w:rsidDel="00000000" w:rsidP="00000000" w:rsidRDefault="00000000" w:rsidRPr="00000000" w14:paraId="00000122">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Observatório da Mulher contra a Violência em parceria com o Instituto de Pesquisas DataSenado realiza pesquisa de opinião feita por telefone a mulheres de todo o Brasil a cada dois anos, para acompanhar a incidência da violência doméstica entre as mulheres brasileiras desde 2005, tendo sua primeira edição servido de subsídio para a formulação da Lei Maria da Penha, sancionada em 2006 (SENADO FEDERAL, 2021).</w:t>
      </w:r>
    </w:p>
    <w:p w:rsidR="00000000" w:rsidDel="00000000" w:rsidP="00000000" w:rsidRDefault="00000000" w:rsidRPr="00000000" w14:paraId="00000123">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pesquisa mais recente do Observatório da Mulher contra a Violência aconteceu no ano de 2021, a qual será analisada neste trabalho. Foi nos dias 14 de outubro a 5 de novembro de 2021, que 3.000 brasileiras de todos os Estados do Brasil, entre 16 anos ou mais, foram entrevistadas por mulheres via telefone. Não serão analisados todos os dados coletados pelo Observatório da Mulher contra a Violência no ano de 2021, mas apenas os que corroboram para a análise da “cifra negra” (SENADO FEDERAL, 2021).</w:t>
      </w:r>
    </w:p>
    <w:p w:rsidR="00000000" w:rsidDel="00000000" w:rsidP="00000000" w:rsidRDefault="00000000" w:rsidRPr="00000000" w14:paraId="00000124">
      <w:pPr>
        <w:shd w:fill="ffffff" w:val="clear"/>
        <w:spacing w:after="0" w:line="360" w:lineRule="auto"/>
        <w:ind w:firstLine="72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A segunda pesquisa a ser analisada será a do Fórum Brasileiro de Segurança Pública, em parceria com o Instituto de Pesquisas Datafolha e com apoio da Uber</w:t>
      </w:r>
      <w:r w:rsidDel="00000000" w:rsidR="00000000" w:rsidRPr="00000000">
        <w:rPr>
          <w:rFonts w:ascii="Arial" w:cs="Arial" w:eastAsia="Arial" w:hAnsi="Arial"/>
          <w:sz w:val="24"/>
          <w:szCs w:val="24"/>
          <w:highlight w:val="white"/>
          <w:rtl w:val="0"/>
        </w:rPr>
        <w:t xml:space="preserve">. A </w:t>
      </w:r>
      <w:r w:rsidDel="00000000" w:rsidR="00000000" w:rsidRPr="00000000">
        <w:rPr>
          <w:rFonts w:ascii="Arial" w:cs="Arial" w:eastAsia="Arial" w:hAnsi="Arial"/>
          <w:sz w:val="24"/>
          <w:szCs w:val="24"/>
          <w:rtl w:val="0"/>
        </w:rPr>
        <w:t xml:space="preserve">quarta edição realizada em 2023 da pesquisa “Visível e Invisível: a vitimização de mulheres no Brasil”. Trata-se de um estudo quantitativo de abrangência nacional com abordagem pessoal dos entrevistados, realizado no período de 09 a 13 de janeiro de 2023, mediante a aplicação de questionário. Verificou-se que 2.017 pessoas foram entrevistadas, sendo 1.042 mulheres entrevistadas. Os dados apresentados segundo o Fórum Brasileiro de Segurança Pública servem para “guiar a ação do Estado, das empresas e da sociedade civil em busca de soluções capazes de garantir a vida e a segurança de milhões de brasileiras” (BUENO; MARTINS; BRANDÃO; SOBRAL; LAGRECA, 2023) </w:t>
      </w:r>
      <w:r w:rsidDel="00000000" w:rsidR="00000000" w:rsidRPr="00000000">
        <w:rPr>
          <w:rtl w:val="0"/>
        </w:rPr>
      </w:r>
    </w:p>
    <w:p w:rsidR="00000000" w:rsidDel="00000000" w:rsidP="00000000" w:rsidRDefault="00000000" w:rsidRPr="00000000" w14:paraId="00000125">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os dados obtidos pelo Observatório da Mulher contra a Violência, 68% das entrevistadas conhecem uma ou mais mulheres vítimas de violência doméstica ou familiar. E, 79% afirmaram que a violência física é o principal tipo de violência sofrida pelas mulheres conhecidas (SENADO FEDERAL, 2021).</w:t>
      </w:r>
    </w:p>
    <w:p w:rsidR="00000000" w:rsidDel="00000000" w:rsidP="00000000" w:rsidRDefault="00000000" w:rsidRPr="00000000" w14:paraId="00000126">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os dados do Fórum Brasileiro de Segurança Pública, 52% da população entrevistada viram alguma situação envolvendo meninas e mulheres sendo agredidas por parentes ou parceiro íntimo, ou seja, mais da metade dos entrevistados (BUENO; MARTINS; BRANDÃO; SOBRAL; LAGRECA, 2023).</w:t>
      </w:r>
    </w:p>
    <w:p w:rsidR="00000000" w:rsidDel="00000000" w:rsidP="00000000" w:rsidRDefault="00000000" w:rsidRPr="00000000" w14:paraId="00000127">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destaque, 27% das mulheres entrevistadas declararam já ter sofrido algum tipo de violência doméstica ou familiar praticada por homens. Há também que, 18% ainda convive com o agressor. Dado que favorece o ciclo de violência e dificulta o ato da vítima em denunciar às autoridades (SENADO FEDERAL, 2021).</w:t>
      </w:r>
    </w:p>
    <w:p w:rsidR="00000000" w:rsidDel="00000000" w:rsidP="00000000" w:rsidRDefault="00000000" w:rsidRPr="00000000" w14:paraId="00000128">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Ressalta-se também que, 33,4% das mulheres brasileiras entrevistadas com 16 anos ou mais sofreram violência física ou sexual provocada por parceiro íntimo ao longo da vida. E 24,5% das mulheres afirmaram ter sofrido agressões físicas como tapa, batida e chute por seu namorado, marido, parceiro íntimo ou ex-parceiro. De acordo com os dados, é nítida a existência da violência doméstica no âmbito da relação íntima de afeto (BUENO; MARTINS; BRANDÃO; SOBRAL; LAGRECA, 2023).</w:t>
      </w:r>
    </w:p>
    <w:p w:rsidR="00000000" w:rsidDel="00000000" w:rsidP="00000000" w:rsidRDefault="00000000" w:rsidRPr="00000000" w14:paraId="00000129">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esfera do tipo de violência a qual foram vítimas, 68% apontam a violência física, 61% mencionam a violência psicológica, 44% a violência moral, 20% a violência sexual, e por último, 17% relatam que foram vítimas de violência patrimonial. Desse modo, a violência discutida neste trabalho é a física, e como os dados obtidos mencionam é o tipo de violência que se sobressai entre as demais, mostrando a “vulnerabilidade” feminina existente (SENADO FEDERAL, 2021).</w:t>
      </w:r>
    </w:p>
    <w:p w:rsidR="00000000" w:rsidDel="00000000" w:rsidP="00000000" w:rsidRDefault="00000000" w:rsidRPr="00000000" w14:paraId="0000012A">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principais autores da violência mais grave sofrida nos últimos 12 meses contra as mulheres são os companheiros e ex-companheiros, que ao todo são responsáveis por 58,1% das agressões, isto é, mais da metade dos casos. Observa-se o número relevante, o qual confirma que o agressor prevalece das relações afetuosas para agredir sua companheira, ex-companheira (BUENO; MARTINS; BRANDÃO; SOBRAL; LAGRECA, 2023).</w:t>
      </w:r>
    </w:p>
    <w:p w:rsidR="00000000" w:rsidDel="00000000" w:rsidP="00000000" w:rsidRDefault="00000000" w:rsidRPr="00000000" w14:paraId="0000012B">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forma semelhante, a pesquisa realizada pelo Observatório da Mulher Contra a Violência quanto ao vínculo do agressor com a vítima à época da agressão, tem-se que 52% informaram que o agressor foi seu marido ou companheiro. Bem como, 17%, que ele era seu ex-marido ou ex-companheiro. Ainda que, 4% era seu namorado, e 3% o agressor foi seu ex-namorado (SENADO FEDERAL, 2021).</w:t>
      </w:r>
    </w:p>
    <w:p w:rsidR="00000000" w:rsidDel="00000000" w:rsidP="00000000" w:rsidRDefault="00000000" w:rsidRPr="00000000" w14:paraId="0000012C">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corroborando com o que já foi exposto, o companheiro se prevalece da relação íntima de afeto para agredir a mulher, assim, a vítima emocionalmente vinculada ao agressor não consegue notificar o crime às autoridades, resultando na “cifra negra” nos crimes de violência doméstica no âmbito das relações íntimas de afeto.</w:t>
      </w:r>
    </w:p>
    <w:p w:rsidR="00000000" w:rsidDel="00000000" w:rsidP="00000000" w:rsidRDefault="00000000" w:rsidRPr="00000000" w14:paraId="0000012D">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da última agressão sofrida pelas entrevistadas do Observatório da Mulher Contra a Violência, 31% das vítimas tomaram a atitude de procurar ajuda da família. 21% optaram por registrar a violência em delegacia comum. E 22% não tomaram nenhuma atitude em razão da agressão sofrida. Ainda,18% apenas procuraram ajuda dos amigos, e por fim, 17% denunciaram em uma delegacia da mulher (SENADO FEDERAL, 2021).</w:t>
      </w:r>
    </w:p>
    <w:p w:rsidR="00000000" w:rsidDel="00000000" w:rsidP="00000000" w:rsidRDefault="00000000" w:rsidRPr="00000000" w14:paraId="0000012E">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Também, em relação à atitude tomada pelas mulheres questionadas da pesquisa “Visível e Invisível: a vitimização de mulheres no Brasil” que sofreram a violência, 45% não fez nada, 17,3% procurou ajuda da família, e 15,6% procurou ajuda dos amigos, bem como, 14,0% denunciou em uma delegacia da mulher, e apenas 8,5% denunciou em uma delegacia comum (BUENO; MARTINS; BRANDÃO; SOBRAL; LAGRECA, 2023).</w:t>
      </w:r>
    </w:p>
    <w:p w:rsidR="00000000" w:rsidDel="00000000" w:rsidP="00000000" w:rsidRDefault="00000000" w:rsidRPr="00000000" w14:paraId="0000012F">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Nota-se através dos dados, que os órgãos públicos são as últimas opções que as ofendidas recorreram, sendo preferível a ajuda da família ou amigos ao invés de buscar o amparo Estatal ou quando não fazem nada em razão da violência sofrida, desta forma, vê-se que os delitos existiram, porém foram subnotificados, pois a maioria não foi registrado, ficando fora dos índices criminais existentes, verificando-se a existência da elevada “cifra negra” que cerca o crime de violência doméstica.</w:t>
      </w:r>
    </w:p>
    <w:p w:rsidR="00000000" w:rsidDel="00000000" w:rsidP="00000000" w:rsidRDefault="00000000" w:rsidRPr="00000000" w14:paraId="00000130">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Dentre os motivos pelos quais as vítimas de violência doméstica e familiar não denunciam a violência sofrida, 75% apontam o medo do agressor. Tem-se ainda que,  46% das brasileiras mencionam a dependência financeira do agressor. 43% o fato de preocupar-se com a criação dos filhos. Ainda, 37% afirmam não existir punição e, por fim, 35% relatam a vergonha da agressão (SENADO FEDERAL, 2021).</w:t>
      </w:r>
    </w:p>
    <w:p w:rsidR="00000000" w:rsidDel="00000000" w:rsidP="00000000" w:rsidRDefault="00000000" w:rsidRPr="00000000" w14:paraId="00000131">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Ainda entre as razões pelas quais as entrevistadas não procuraram a polícia após a última agressão sofrida, 38% informaram que resolveram sozinha, 21,3% afirmaram que não acreditava que a polícia pudesse oferecer solução para o problema, e 14,4% apontaram a falta de provas. E 13,2% responderam que o fato não era importante (BUENO; MARTINS; BRANDÃO; SOBRAL; LAGRECA, 2023).</w:t>
      </w:r>
    </w:p>
    <w:p w:rsidR="00000000" w:rsidDel="00000000" w:rsidP="00000000" w:rsidRDefault="00000000" w:rsidRPr="00000000" w14:paraId="00000132">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Esses dados mostram que, grande parte dos delitos de violência doméstica são desconhecidos pelo Estado, por diversos fatores como já mencionados, entre eles, o medo do agressor, a dependência financeira, a existência de filho com o agressor, a descrença no poder punitivo Estatal pelas ofendidas, bem como, a vergonha de contar que foi agredida e relembrar todo o ocorrido. Em consequência, a subnotificação dos delitos reflete nas políticas criminais, visto que se baseadas nas estatísticas não irão combater a criminalidade real.</w:t>
      </w:r>
    </w:p>
    <w:p w:rsidR="00000000" w:rsidDel="00000000" w:rsidP="00000000" w:rsidRDefault="00000000" w:rsidRPr="00000000" w14:paraId="00000133">
      <w:pPr>
        <w:shd w:fill="ffffff" w:val="clea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fim, observou-se, um número considerável de vítimas que não denunciam o crime sofrido, comprovando a “cifra negra” no crime de violência doméstica. Dessa forma, foi verificado que estatísticas criminais oficiais não abrangem todos os crimes cometidos, o que reflete na falsa sensação de justiça pela sociedade, bem como, resulta na falta de amparo às mulheres vítimas, pois como não notificam o ocorrido não obtém a assistência necessária para sair da situação de violência, contribuindo para que este cenário violento contra o gênero feminino se perdure.</w:t>
      </w:r>
    </w:p>
    <w:p w:rsidR="00000000" w:rsidDel="00000000" w:rsidP="00000000" w:rsidRDefault="00000000" w:rsidRPr="00000000" w14:paraId="00000134">
      <w:pPr>
        <w:shd w:fill="ffffff" w:val="clea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shd w:fill="ffffff" w:val="clea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CONSIDERAÇÕES FINAIS</w:t>
      </w:r>
    </w:p>
    <w:p w:rsidR="00000000" w:rsidDel="00000000" w:rsidP="00000000" w:rsidRDefault="00000000" w:rsidRPr="00000000" w14:paraId="00000136">
      <w:pPr>
        <w:shd w:fill="ffffff" w:val="clea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7">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trabalho pretendeu analisar o que vem a ser o crime de violência doméstica e familiar contra a mulher no âmbito das relações íntimas de afeto frente a legislação e a doutrina, bem como, propôs verificar a existência da “cifra negra” da criminalidade neste tipo penal específico, através da revisão bibliográfica e análise de dados estáticos publicados por entidades privadas.</w:t>
      </w:r>
    </w:p>
    <w:p w:rsidR="00000000" w:rsidDel="00000000" w:rsidP="00000000" w:rsidRDefault="00000000" w:rsidRPr="00000000" w14:paraId="00000138">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Destacou-se a relevância da  “Lei Maria da Penha”, que foi um marco legislativo para a proteção do gênero feminino, visto que, com o seu advento buscou-se criar mecanismos para coibir a violência doméstica e familiar contra a mulher, bem como, conceituou o que é a violência doméstica e familiar e quais são os âmbitos que podem vir a ocorrer, sendo selecionado para este estudo a violência contra a mulher em qualquer relação íntima de afeto, além disso, definiu as formas de violência contra a mulher, a qual foi explorado apenas a violência física, dentre as existentes.</w:t>
      </w:r>
    </w:p>
    <w:p w:rsidR="00000000" w:rsidDel="00000000" w:rsidP="00000000" w:rsidRDefault="00000000" w:rsidRPr="00000000" w14:paraId="00000139">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Também tratou do crime de violência doméstica previsto no Código Penal, e suas formas qualificadas, haja vista que, sendo a violência física contra a mulher praticada por seu companheiro ou ex-companheiro, ou ainda, </w:t>
      </w:r>
      <w:r w:rsidDel="00000000" w:rsidR="00000000" w:rsidRPr="00000000">
        <w:rPr>
          <w:rFonts w:ascii="Arial" w:cs="Arial" w:eastAsia="Arial" w:hAnsi="Arial"/>
          <w:sz w:val="24"/>
          <w:szCs w:val="24"/>
          <w:highlight w:val="white"/>
          <w:rtl w:val="0"/>
        </w:rPr>
        <w:t xml:space="preserve">por razões da condição do sexo feminino,</w:t>
      </w:r>
      <w:r w:rsidDel="00000000" w:rsidR="00000000" w:rsidRPr="00000000">
        <w:rPr>
          <w:rFonts w:ascii="Arial" w:cs="Arial" w:eastAsia="Arial" w:hAnsi="Arial"/>
          <w:sz w:val="24"/>
          <w:szCs w:val="24"/>
          <w:rtl w:val="0"/>
        </w:rPr>
        <w:t xml:space="preserve"> será aplicada a “Lei Maria da Penha” em razão da proteção legislativa específica.</w:t>
      </w:r>
    </w:p>
    <w:p w:rsidR="00000000" w:rsidDel="00000000" w:rsidP="00000000" w:rsidRDefault="00000000" w:rsidRPr="00000000" w14:paraId="0000013A">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 o exposto, tem-se que a violência doméstica e familiar contra a mulher é uma problemática recorrente no Brasil, apesar dos avanços dos direitos das mulheres, este ilícito se perdura ao longo do tempo por diversos fatores já citados. </w:t>
      </w:r>
    </w:p>
    <w:p w:rsidR="00000000" w:rsidDel="00000000" w:rsidP="00000000" w:rsidRDefault="00000000" w:rsidRPr="00000000" w14:paraId="0000013B">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pesquisa, constatou-se a presença da “cifra negra” da criminalidade no crime de violência doméstica e familiar contra a mulher. A “cifra negra” compreende os crimes que não são notificados às autoridades, isto é, não chegam ao conhecimento do Estado, ou, quando chegam não são desvendados, ficando assim fora das estatísticas criminais oficiais.</w:t>
      </w:r>
    </w:p>
    <w:p w:rsidR="00000000" w:rsidDel="00000000" w:rsidP="00000000" w:rsidRDefault="00000000" w:rsidRPr="00000000" w14:paraId="0000013C">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Observou-se que, as estatísticas criminais oficiais são bastantes relevantes para o combate à criminalidade, visto que, servem de parâmetro para implementação das políticas criminais pelo Estado, bem como, para análise da incidência dos tipos penais. Também é possível verificar se há a repressão ao crime, e se  havendo, é eficaz ou não.</w:t>
      </w:r>
    </w:p>
    <w:p w:rsidR="00000000" w:rsidDel="00000000" w:rsidP="00000000" w:rsidRDefault="00000000" w:rsidRPr="00000000" w14:paraId="0000013D">
      <w:pPr>
        <w:shd w:fill="ffffff" w:val="clea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Dessa maneira, observou-se a existência da “cifra negra” nos crimes de violência doméstica contra a mulher, haja vista, a sua verificação mediante a utilização dos dados colhidos das entidades privadas. Notou-se que a criminalidade oculta tem sua origem na clandestinidade em que este delito é praticado, bem como, nos motivos pessoais que cada vítima carrega consigo, como o medo do agressor e a falta de confiança no dever Estatal em punir os criminosos. Assim, para combater esta problemática, o Estado deve exercer com eficácia o seu </w:t>
      </w:r>
      <w:r w:rsidDel="00000000" w:rsidR="00000000" w:rsidRPr="00000000">
        <w:rPr>
          <w:rFonts w:ascii="Arial" w:cs="Arial" w:eastAsia="Arial" w:hAnsi="Arial"/>
          <w:i w:val="1"/>
          <w:sz w:val="24"/>
          <w:szCs w:val="24"/>
          <w:rtl w:val="0"/>
        </w:rPr>
        <w:t xml:space="preserve">ius puniendi,</w:t>
      </w:r>
      <w:r w:rsidDel="00000000" w:rsidR="00000000" w:rsidRPr="00000000">
        <w:rPr>
          <w:rFonts w:ascii="Arial" w:cs="Arial" w:eastAsia="Arial" w:hAnsi="Arial"/>
          <w:sz w:val="24"/>
          <w:szCs w:val="24"/>
          <w:rtl w:val="0"/>
        </w:rPr>
        <w:t xml:space="preserve"> bem como, deve promover políticas públicas de enfrentamento contra a violência doméstica que incentivem as mulheres a denunciar o fato criminoso, para que estes crimes estejam nos índices oficiais criminais, a fim de combater a criminalidade oculta.</w:t>
      </w:r>
    </w:p>
    <w:p w:rsidR="00000000" w:rsidDel="00000000" w:rsidP="00000000" w:rsidRDefault="00000000" w:rsidRPr="00000000" w14:paraId="0000013E">
      <w:pPr>
        <w:shd w:fill="ffffff" w:val="clea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shd w:fill="ffffff" w:val="clea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REFERÊNCIAS</w:t>
      </w:r>
    </w:p>
    <w:p w:rsidR="00000000" w:rsidDel="00000000" w:rsidP="00000000" w:rsidRDefault="00000000" w:rsidRPr="00000000" w14:paraId="00000140">
      <w:pPr>
        <w:shd w:fill="ffffff" w:val="clea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BARATTA, Alessandro. </w:t>
      </w:r>
      <w:r w:rsidDel="00000000" w:rsidR="00000000" w:rsidRPr="00000000">
        <w:rPr>
          <w:rFonts w:ascii="Arial" w:cs="Arial" w:eastAsia="Arial" w:hAnsi="Arial"/>
          <w:b w:val="1"/>
          <w:color w:val="1c1c1c"/>
          <w:sz w:val="24"/>
          <w:szCs w:val="24"/>
          <w:highlight w:val="white"/>
          <w:rtl w:val="0"/>
        </w:rPr>
        <w:t xml:space="preserve">Criminologia Crítica e Crítica do Direito Penal:</w:t>
      </w:r>
      <w:r w:rsidDel="00000000" w:rsidR="00000000" w:rsidRPr="00000000">
        <w:rPr>
          <w:rFonts w:ascii="Arial" w:cs="Arial" w:eastAsia="Arial" w:hAnsi="Arial"/>
          <w:color w:val="1c1c1c"/>
          <w:sz w:val="24"/>
          <w:szCs w:val="24"/>
          <w:highlight w:val="white"/>
          <w:rtl w:val="0"/>
        </w:rPr>
        <w:t xml:space="preserve"> introdução</w:t>
      </w:r>
    </w:p>
    <w:p w:rsidR="00000000" w:rsidDel="00000000" w:rsidP="00000000" w:rsidRDefault="00000000" w:rsidRPr="00000000" w14:paraId="00000142">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à sociologia do direito penal. 3. ed. Rio de Janeiro: Revan, 2002. 239 p. Tradução</w:t>
      </w:r>
    </w:p>
    <w:p w:rsidR="00000000" w:rsidDel="00000000" w:rsidP="00000000" w:rsidRDefault="00000000" w:rsidRPr="00000000" w14:paraId="00000143">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de: Juarez Cirino dos Santos.</w:t>
      </w:r>
    </w:p>
    <w:p w:rsidR="00000000" w:rsidDel="00000000" w:rsidP="00000000" w:rsidRDefault="00000000" w:rsidRPr="00000000" w14:paraId="00000144">
      <w:pPr>
        <w:shd w:fill="ffffff" w:val="clear"/>
        <w:spacing w:after="0" w:line="240" w:lineRule="auto"/>
        <w:rPr>
          <w:rFonts w:ascii="Arial" w:cs="Arial" w:eastAsia="Arial" w:hAnsi="Arial"/>
          <w:color w:val="1c1c1c"/>
          <w:sz w:val="24"/>
          <w:szCs w:val="24"/>
          <w:highlight w:val="white"/>
        </w:rPr>
      </w:pPr>
      <w:r w:rsidDel="00000000" w:rsidR="00000000" w:rsidRPr="00000000">
        <w:rPr>
          <w:rtl w:val="0"/>
        </w:rPr>
      </w:r>
    </w:p>
    <w:p w:rsidR="00000000" w:rsidDel="00000000" w:rsidP="00000000" w:rsidRDefault="00000000" w:rsidRPr="00000000" w14:paraId="00000145">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1c1c1c"/>
          <w:sz w:val="24"/>
          <w:szCs w:val="24"/>
          <w:highlight w:val="white"/>
          <w:rtl w:val="0"/>
        </w:rPr>
        <w:t xml:space="preserve">BITENCOURT, Cezar R. </w:t>
      </w:r>
      <w:r w:rsidDel="00000000" w:rsidR="00000000" w:rsidRPr="00000000">
        <w:rPr>
          <w:rFonts w:ascii="Arial" w:cs="Arial" w:eastAsia="Arial" w:hAnsi="Arial"/>
          <w:b w:val="1"/>
          <w:color w:val="1c1c1c"/>
          <w:sz w:val="24"/>
          <w:szCs w:val="24"/>
          <w:highlight w:val="white"/>
          <w:rtl w:val="0"/>
        </w:rPr>
        <w:t xml:space="preserve">Tratado de Direito Penal</w:t>
      </w:r>
      <w:r w:rsidDel="00000000" w:rsidR="00000000" w:rsidRPr="00000000">
        <w:rPr>
          <w:rFonts w:ascii="Arial" w:cs="Arial" w:eastAsia="Arial" w:hAnsi="Arial"/>
          <w:color w:val="1c1c1c"/>
          <w:sz w:val="24"/>
          <w:szCs w:val="24"/>
          <w:highlight w:val="white"/>
          <w:rtl w:val="0"/>
        </w:rPr>
        <w:t xml:space="preserve">: Parte especial: crimes contra a dignidade sexual até crimes contra a fé pública - arts. 213 a 311-- Vol. 4. [Digite o Local da Editora]: Editora Saraiva, 2022. </w:t>
      </w:r>
      <w:r w:rsidDel="00000000" w:rsidR="00000000" w:rsidRPr="00000000">
        <w:rPr>
          <w:rFonts w:ascii="Arial" w:cs="Arial" w:eastAsia="Arial" w:hAnsi="Arial"/>
          <w:i w:val="1"/>
          <w:color w:val="1c1c1c"/>
          <w:sz w:val="24"/>
          <w:szCs w:val="24"/>
          <w:highlight w:val="white"/>
          <w:rtl w:val="0"/>
        </w:rPr>
        <w:t xml:space="preserve">E-book.</w:t>
      </w:r>
      <w:r w:rsidDel="00000000" w:rsidR="00000000" w:rsidRPr="00000000">
        <w:rPr>
          <w:rFonts w:ascii="Arial" w:cs="Arial" w:eastAsia="Arial" w:hAnsi="Arial"/>
          <w:color w:val="1c1c1c"/>
          <w:sz w:val="24"/>
          <w:szCs w:val="24"/>
          <w:highlight w:val="white"/>
          <w:rtl w:val="0"/>
        </w:rPr>
        <w:t xml:space="preserve"> ISBN 9786555597141. Disponível em: https://integrada.minhabiblioteca.com.br/#/books/9786555597141/. Acesso em: 15 abr. 2023.</w:t>
      </w:r>
      <w:r w:rsidDel="00000000" w:rsidR="00000000" w:rsidRPr="00000000">
        <w:rPr>
          <w:rtl w:val="0"/>
        </w:rPr>
      </w:r>
    </w:p>
    <w:p w:rsidR="00000000" w:rsidDel="00000000" w:rsidP="00000000" w:rsidRDefault="00000000" w:rsidRPr="00000000" w14:paraId="00000146">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47">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BLAY, Eva Alterman. </w:t>
      </w:r>
      <w:r w:rsidDel="00000000" w:rsidR="00000000" w:rsidRPr="00000000">
        <w:rPr>
          <w:rFonts w:ascii="Arial" w:cs="Arial" w:eastAsia="Arial" w:hAnsi="Arial"/>
          <w:b w:val="1"/>
          <w:color w:val="1c1c1c"/>
          <w:sz w:val="24"/>
          <w:szCs w:val="24"/>
          <w:highlight w:val="white"/>
          <w:rtl w:val="0"/>
        </w:rPr>
        <w:t xml:space="preserve">Assassinato de mulheres e direitos humanos</w:t>
      </w:r>
      <w:r w:rsidDel="00000000" w:rsidR="00000000" w:rsidRPr="00000000">
        <w:rPr>
          <w:rFonts w:ascii="Arial" w:cs="Arial" w:eastAsia="Arial" w:hAnsi="Arial"/>
          <w:color w:val="1c1c1c"/>
          <w:sz w:val="24"/>
          <w:szCs w:val="24"/>
          <w:highlight w:val="white"/>
          <w:rtl w:val="0"/>
        </w:rPr>
        <w:t xml:space="preserve">. São Paulo: Editora 34; 1ª edição, 2008, p. 213.</w:t>
      </w:r>
    </w:p>
    <w:p w:rsidR="00000000" w:rsidDel="00000000" w:rsidP="00000000" w:rsidRDefault="00000000" w:rsidRPr="00000000" w14:paraId="00000148">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49">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BUENO, Samira; MARTINS, Juliana; BRANDÃO, Juliana; SOBRAL, Isabela; LAGRECA, Amanda. </w:t>
      </w:r>
      <w:r w:rsidDel="00000000" w:rsidR="00000000" w:rsidRPr="00000000">
        <w:rPr>
          <w:rFonts w:ascii="Arial" w:cs="Arial" w:eastAsia="Arial" w:hAnsi="Arial"/>
          <w:b w:val="1"/>
          <w:color w:val="222222"/>
          <w:sz w:val="24"/>
          <w:szCs w:val="24"/>
          <w:highlight w:val="white"/>
          <w:rtl w:val="0"/>
        </w:rPr>
        <w:t xml:space="preserve">Visível e Invisível</w:t>
      </w:r>
      <w:r w:rsidDel="00000000" w:rsidR="00000000" w:rsidRPr="00000000">
        <w:rPr>
          <w:rFonts w:ascii="Arial" w:cs="Arial" w:eastAsia="Arial" w:hAnsi="Arial"/>
          <w:color w:val="222222"/>
          <w:sz w:val="24"/>
          <w:szCs w:val="24"/>
          <w:highlight w:val="white"/>
          <w:rtl w:val="0"/>
        </w:rPr>
        <w:t xml:space="preserve">: a vitimização de mulheres no brasil. 4. ed. Brasil: Fórum Brasileiro de Segurança Pública, 2023. 52 p. Datafolha Instituto de Pesquisas. Disponível em: https://forumseguranca.org.br/wp-content/uploads/2023/03/visiveleinvisivel-2023-relatorio.pdf. Acesso em: 27 abr. 2023.</w:t>
      </w:r>
    </w:p>
    <w:p w:rsidR="00000000" w:rsidDel="00000000" w:rsidP="00000000" w:rsidRDefault="00000000" w:rsidRPr="00000000" w14:paraId="0000014A">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4B">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BRASIL. Senado Federal. </w:t>
      </w:r>
      <w:r w:rsidDel="00000000" w:rsidR="00000000" w:rsidRPr="00000000">
        <w:rPr>
          <w:rFonts w:ascii="Arial" w:cs="Arial" w:eastAsia="Arial" w:hAnsi="Arial"/>
          <w:b w:val="1"/>
          <w:color w:val="222222"/>
          <w:sz w:val="24"/>
          <w:szCs w:val="24"/>
          <w:highlight w:val="white"/>
          <w:rtl w:val="0"/>
        </w:rPr>
        <w:t xml:space="preserve">Código Penal de 1940</w:t>
      </w:r>
      <w:r w:rsidDel="00000000" w:rsidR="00000000" w:rsidRPr="00000000">
        <w:rPr>
          <w:rFonts w:ascii="Arial" w:cs="Arial" w:eastAsia="Arial" w:hAnsi="Arial"/>
          <w:color w:val="222222"/>
          <w:sz w:val="24"/>
          <w:szCs w:val="24"/>
          <w:highlight w:val="white"/>
          <w:rtl w:val="0"/>
        </w:rPr>
        <w:t xml:space="preserve">. Brasília: Senado Federal, 2020. Disponível em:https://www.planalto.gov.br/ccivil_03/decreto-lei/del2848compilado.htm. Acesso em: 01 out. 2020.</w:t>
      </w:r>
    </w:p>
    <w:p w:rsidR="00000000" w:rsidDel="00000000" w:rsidP="00000000" w:rsidRDefault="00000000" w:rsidRPr="00000000" w14:paraId="0000014C">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4D">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BRASIL. </w:t>
      </w:r>
      <w:r w:rsidDel="00000000" w:rsidR="00000000" w:rsidRPr="00000000">
        <w:rPr>
          <w:rFonts w:ascii="Arial" w:cs="Arial" w:eastAsia="Arial" w:hAnsi="Arial"/>
          <w:b w:val="1"/>
          <w:color w:val="222222"/>
          <w:sz w:val="24"/>
          <w:szCs w:val="24"/>
          <w:highlight w:val="white"/>
          <w:rtl w:val="0"/>
        </w:rPr>
        <w:t xml:space="preserve">Lei nº 11.340, de 07 de agosto de 2006</w:t>
      </w:r>
      <w:r w:rsidDel="00000000" w:rsidR="00000000" w:rsidRPr="00000000">
        <w:rPr>
          <w:rFonts w:ascii="Arial" w:cs="Arial" w:eastAsia="Arial" w:hAnsi="Arial"/>
          <w:color w:val="222222"/>
          <w:sz w:val="24"/>
          <w:szCs w:val="24"/>
          <w:highlight w:val="white"/>
          <w:rtl w:val="0"/>
        </w:rPr>
        <w:t xml:space="preserve">. 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Disponível em: http://www.planalto.gov.br/ccivil_03/_ato2004-2006/2006/lei/l11340.htm. Acesso em: 29 mar. 2023.</w:t>
      </w:r>
    </w:p>
    <w:p w:rsidR="00000000" w:rsidDel="00000000" w:rsidP="00000000" w:rsidRDefault="00000000" w:rsidRPr="00000000" w14:paraId="0000014E">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4F">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BRASIL. </w:t>
      </w:r>
      <w:r w:rsidDel="00000000" w:rsidR="00000000" w:rsidRPr="00000000">
        <w:rPr>
          <w:rFonts w:ascii="Arial" w:cs="Arial" w:eastAsia="Arial" w:hAnsi="Arial"/>
          <w:b w:val="1"/>
          <w:color w:val="222222"/>
          <w:sz w:val="24"/>
          <w:szCs w:val="24"/>
          <w:highlight w:val="white"/>
          <w:rtl w:val="0"/>
        </w:rPr>
        <w:t xml:space="preserve">Constituição da República Federativa do Brasil de 1988</w:t>
      </w:r>
      <w:r w:rsidDel="00000000" w:rsidR="00000000" w:rsidRPr="00000000">
        <w:rPr>
          <w:rFonts w:ascii="Arial" w:cs="Arial" w:eastAsia="Arial" w:hAnsi="Arial"/>
          <w:color w:val="222222"/>
          <w:sz w:val="24"/>
          <w:szCs w:val="24"/>
          <w:highlight w:val="white"/>
          <w:rtl w:val="0"/>
        </w:rPr>
        <w:t xml:space="preserve">. Brasília: Senado Federal, 2020. Disponível em: https://www.planalto.gov.br/ccivil_03/constituicao/constituicao.htm. Acesso em: 29 mar. 2023.</w:t>
      </w:r>
    </w:p>
    <w:p w:rsidR="00000000" w:rsidDel="00000000" w:rsidP="00000000" w:rsidRDefault="00000000" w:rsidRPr="00000000" w14:paraId="00000150">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51">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BRASIL. </w:t>
      </w:r>
      <w:r w:rsidDel="00000000" w:rsidR="00000000" w:rsidRPr="00000000">
        <w:rPr>
          <w:rFonts w:ascii="Arial" w:cs="Arial" w:eastAsia="Arial" w:hAnsi="Arial"/>
          <w:b w:val="1"/>
          <w:color w:val="222222"/>
          <w:sz w:val="24"/>
          <w:szCs w:val="24"/>
          <w:highlight w:val="white"/>
          <w:rtl w:val="0"/>
        </w:rPr>
        <w:t xml:space="preserve">Exposição de Motivos da Lei Maria da Penha</w:t>
      </w:r>
      <w:r w:rsidDel="00000000" w:rsidR="00000000" w:rsidRPr="00000000">
        <w:rPr>
          <w:rFonts w:ascii="Arial" w:cs="Arial" w:eastAsia="Arial" w:hAnsi="Arial"/>
          <w:color w:val="222222"/>
          <w:sz w:val="24"/>
          <w:szCs w:val="24"/>
          <w:highlight w:val="white"/>
          <w:rtl w:val="0"/>
        </w:rPr>
        <w:t xml:space="preserve">. Disponível em: http://www.planalto.gov.br/ccivil_03/projetos/expmotiv/smp/2004/16.htm. Acesso em: 03 mar. 2023. </w:t>
      </w:r>
    </w:p>
    <w:p w:rsidR="00000000" w:rsidDel="00000000" w:rsidP="00000000" w:rsidRDefault="00000000" w:rsidRPr="00000000" w14:paraId="00000152">
      <w:pPr>
        <w:shd w:fill="ffffff" w:val="clear"/>
        <w:spacing w:after="0" w:line="240" w:lineRule="auto"/>
        <w:rPr>
          <w:rFonts w:ascii="Arial" w:cs="Arial" w:eastAsia="Arial" w:hAnsi="Arial"/>
          <w:color w:val="1c1c1c"/>
          <w:sz w:val="24"/>
          <w:szCs w:val="24"/>
          <w:highlight w:val="white"/>
        </w:rPr>
      </w:pPr>
      <w:r w:rsidDel="00000000" w:rsidR="00000000" w:rsidRPr="00000000">
        <w:rPr>
          <w:rtl w:val="0"/>
        </w:rPr>
      </w:r>
    </w:p>
    <w:p w:rsidR="00000000" w:rsidDel="00000000" w:rsidP="00000000" w:rsidRDefault="00000000" w:rsidRPr="00000000" w14:paraId="00000153">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DAY, V. P. et al.. Violência doméstica e suas diferentes manifestações. </w:t>
      </w:r>
      <w:r w:rsidDel="00000000" w:rsidR="00000000" w:rsidRPr="00000000">
        <w:rPr>
          <w:rFonts w:ascii="Arial" w:cs="Arial" w:eastAsia="Arial" w:hAnsi="Arial"/>
          <w:b w:val="1"/>
          <w:color w:val="1c1c1c"/>
          <w:sz w:val="24"/>
          <w:szCs w:val="24"/>
          <w:highlight w:val="white"/>
          <w:rtl w:val="0"/>
        </w:rPr>
        <w:t xml:space="preserve">Revista de Psiquiatria do Rio Grande do Sul</w:t>
      </w:r>
      <w:r w:rsidDel="00000000" w:rsidR="00000000" w:rsidRPr="00000000">
        <w:rPr>
          <w:rFonts w:ascii="Arial" w:cs="Arial" w:eastAsia="Arial" w:hAnsi="Arial"/>
          <w:color w:val="1c1c1c"/>
          <w:sz w:val="24"/>
          <w:szCs w:val="24"/>
          <w:highlight w:val="white"/>
          <w:rtl w:val="0"/>
        </w:rPr>
        <w:t xml:space="preserve">, v. 25, p. 9–21, abr. 2003.</w:t>
      </w:r>
    </w:p>
    <w:p w:rsidR="00000000" w:rsidDel="00000000" w:rsidP="00000000" w:rsidRDefault="00000000" w:rsidRPr="00000000" w14:paraId="00000154">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55">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DIAS, Maria Berenice. </w:t>
      </w:r>
      <w:r w:rsidDel="00000000" w:rsidR="00000000" w:rsidRPr="00000000">
        <w:rPr>
          <w:rFonts w:ascii="Arial" w:cs="Arial" w:eastAsia="Arial" w:hAnsi="Arial"/>
          <w:b w:val="1"/>
          <w:color w:val="222222"/>
          <w:sz w:val="24"/>
          <w:szCs w:val="24"/>
          <w:highlight w:val="white"/>
          <w:rtl w:val="0"/>
        </w:rPr>
        <w:t xml:space="preserve">A lei Maria da Penha na Justiça</w:t>
      </w:r>
      <w:r w:rsidDel="00000000" w:rsidR="00000000" w:rsidRPr="00000000">
        <w:rPr>
          <w:rFonts w:ascii="Arial" w:cs="Arial" w:eastAsia="Arial" w:hAnsi="Arial"/>
          <w:color w:val="222222"/>
          <w:sz w:val="24"/>
          <w:szCs w:val="24"/>
          <w:highlight w:val="white"/>
          <w:rtl w:val="0"/>
        </w:rPr>
        <w:t xml:space="preserve">. 5. ed. Salvador-Bahia: Juspodivm, 2019. 376 p.</w:t>
      </w:r>
    </w:p>
    <w:p w:rsidR="00000000" w:rsidDel="00000000" w:rsidP="00000000" w:rsidRDefault="00000000" w:rsidRPr="00000000" w14:paraId="00000156">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57">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DÍAZ, Gerardo Landrove. </w:t>
      </w:r>
      <w:r w:rsidDel="00000000" w:rsidR="00000000" w:rsidRPr="00000000">
        <w:rPr>
          <w:rFonts w:ascii="Arial" w:cs="Arial" w:eastAsia="Arial" w:hAnsi="Arial"/>
          <w:b w:val="1"/>
          <w:color w:val="1c1c1c"/>
          <w:sz w:val="24"/>
          <w:szCs w:val="24"/>
          <w:highlight w:val="white"/>
          <w:rtl w:val="0"/>
        </w:rPr>
        <w:t xml:space="preserve">La moderna victimología</w:t>
      </w:r>
      <w:r w:rsidDel="00000000" w:rsidR="00000000" w:rsidRPr="00000000">
        <w:rPr>
          <w:rFonts w:ascii="Arial" w:cs="Arial" w:eastAsia="Arial" w:hAnsi="Arial"/>
          <w:color w:val="1c1c1c"/>
          <w:sz w:val="24"/>
          <w:szCs w:val="24"/>
          <w:highlight w:val="white"/>
          <w:rtl w:val="0"/>
        </w:rPr>
        <w:t xml:space="preserve">. Valencia: Tirant lo Blanch, 1998.</w:t>
      </w:r>
    </w:p>
    <w:p w:rsidR="00000000" w:rsidDel="00000000" w:rsidP="00000000" w:rsidRDefault="00000000" w:rsidRPr="00000000" w14:paraId="00000158">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59">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FEMENÍAS, María Luisa. Violencia de sexo-género: el espesor de la trama. In: COPELLO, Patricia Laurenzo; ABREU, Maria Luisa Maqueda; CASTRO, Ana María Rubio (Coord.). </w:t>
      </w:r>
      <w:r w:rsidDel="00000000" w:rsidR="00000000" w:rsidRPr="00000000">
        <w:rPr>
          <w:rFonts w:ascii="Arial" w:cs="Arial" w:eastAsia="Arial" w:hAnsi="Arial"/>
          <w:b w:val="1"/>
          <w:color w:val="222222"/>
          <w:sz w:val="24"/>
          <w:szCs w:val="24"/>
          <w:highlight w:val="white"/>
          <w:rtl w:val="0"/>
        </w:rPr>
        <w:t xml:space="preserve">Género, violencia y derecho</w:t>
      </w:r>
      <w:r w:rsidDel="00000000" w:rsidR="00000000" w:rsidRPr="00000000">
        <w:rPr>
          <w:rFonts w:ascii="Arial" w:cs="Arial" w:eastAsia="Arial" w:hAnsi="Arial"/>
          <w:color w:val="222222"/>
          <w:sz w:val="24"/>
          <w:szCs w:val="24"/>
          <w:highlight w:val="white"/>
          <w:rtl w:val="0"/>
        </w:rPr>
        <w:t xml:space="preserve">. España: Tirant lo Banch, 2008.</w:t>
      </w:r>
    </w:p>
    <w:p w:rsidR="00000000" w:rsidDel="00000000" w:rsidP="00000000" w:rsidRDefault="00000000" w:rsidRPr="00000000" w14:paraId="0000015A">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5B">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FERNANDES, Valéria Diez Scarance. </w:t>
      </w:r>
      <w:r w:rsidDel="00000000" w:rsidR="00000000" w:rsidRPr="00000000">
        <w:rPr>
          <w:rFonts w:ascii="Arial" w:cs="Arial" w:eastAsia="Arial" w:hAnsi="Arial"/>
          <w:b w:val="1"/>
          <w:color w:val="222222"/>
          <w:sz w:val="24"/>
          <w:szCs w:val="24"/>
          <w:highlight w:val="white"/>
          <w:rtl w:val="0"/>
        </w:rPr>
        <w:t xml:space="preserve">Lei Maria da Penha</w:t>
      </w:r>
      <w:r w:rsidDel="00000000" w:rsidR="00000000" w:rsidRPr="00000000">
        <w:rPr>
          <w:rFonts w:ascii="Arial" w:cs="Arial" w:eastAsia="Arial" w:hAnsi="Arial"/>
          <w:color w:val="222222"/>
          <w:sz w:val="24"/>
          <w:szCs w:val="24"/>
          <w:highlight w:val="white"/>
          <w:rtl w:val="0"/>
        </w:rPr>
        <w:t xml:space="preserve">: o Processo Penal no caminho da efetividade. 2013. 283 f. Tese (Doutorado) - Curso de Direito, Pontifícia Universidade Católica de São Paulo Puc-Sp, São Paulo, 2013. Disponível em: https://tede2.pucsp.br/bitstream/handle/6177/1/Valeria%20Diez%20Scarance%20Fernandes.pdf. Acesso em: 08 mar. 2023.</w:t>
      </w:r>
    </w:p>
    <w:p w:rsidR="00000000" w:rsidDel="00000000" w:rsidP="00000000" w:rsidRDefault="00000000" w:rsidRPr="00000000" w14:paraId="0000015C">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5D">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GIMENES, Eron V.; FILHO, Nestor Sampaio P. </w:t>
      </w:r>
      <w:r w:rsidDel="00000000" w:rsidR="00000000" w:rsidRPr="00000000">
        <w:rPr>
          <w:rFonts w:ascii="Arial" w:cs="Arial" w:eastAsia="Arial" w:hAnsi="Arial"/>
          <w:b w:val="1"/>
          <w:color w:val="1c1c1c"/>
          <w:sz w:val="24"/>
          <w:szCs w:val="24"/>
          <w:highlight w:val="white"/>
          <w:rtl w:val="0"/>
        </w:rPr>
        <w:t xml:space="preserve">Manual esquemático de criminologia</w:t>
      </w:r>
      <w:r w:rsidDel="00000000" w:rsidR="00000000" w:rsidRPr="00000000">
        <w:rPr>
          <w:rFonts w:ascii="Arial" w:cs="Arial" w:eastAsia="Arial" w:hAnsi="Arial"/>
          <w:color w:val="1c1c1c"/>
          <w:sz w:val="24"/>
          <w:szCs w:val="24"/>
          <w:highlight w:val="white"/>
          <w:rtl w:val="0"/>
        </w:rPr>
        <w:t xml:space="preserve">. [São Paulo]: Editora Saraiva, 2022. </w:t>
      </w:r>
      <w:r w:rsidDel="00000000" w:rsidR="00000000" w:rsidRPr="00000000">
        <w:rPr>
          <w:rFonts w:ascii="Arial" w:cs="Arial" w:eastAsia="Arial" w:hAnsi="Arial"/>
          <w:i w:val="1"/>
          <w:color w:val="1c1c1c"/>
          <w:sz w:val="24"/>
          <w:szCs w:val="24"/>
          <w:highlight w:val="white"/>
          <w:rtl w:val="0"/>
        </w:rPr>
        <w:t xml:space="preserve">E-book.</w:t>
      </w:r>
      <w:r w:rsidDel="00000000" w:rsidR="00000000" w:rsidRPr="00000000">
        <w:rPr>
          <w:rFonts w:ascii="Arial" w:cs="Arial" w:eastAsia="Arial" w:hAnsi="Arial"/>
          <w:color w:val="1c1c1c"/>
          <w:sz w:val="24"/>
          <w:szCs w:val="24"/>
          <w:highlight w:val="white"/>
          <w:rtl w:val="0"/>
        </w:rPr>
        <w:t xml:space="preserve"> ISBN 9786553620742. Disponível em: https://integrada.minhabiblioteca.com.br/#/books/9786553620742/. Acesso em: 17 abr. 2023.</w:t>
      </w:r>
    </w:p>
    <w:p w:rsidR="00000000" w:rsidDel="00000000" w:rsidP="00000000" w:rsidRDefault="00000000" w:rsidRPr="00000000" w14:paraId="0000015E">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5F">
      <w:pPr>
        <w:shd w:fill="ffffff" w:val="clear"/>
        <w:spacing w:after="0" w:line="240" w:lineRule="auto"/>
        <w:rPr>
          <w:rFonts w:ascii="Arial" w:cs="Arial" w:eastAsia="Arial" w:hAnsi="Arial"/>
          <w:b w:val="1"/>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MARQUES, Ivan Luís; BIANCHINI, Alice; GOMES, Luiz Flávio Gomes</w:t>
      </w:r>
      <w:r w:rsidDel="00000000" w:rsidR="00000000" w:rsidRPr="00000000">
        <w:rPr>
          <w:rFonts w:ascii="Arial" w:cs="Arial" w:eastAsia="Arial" w:hAnsi="Arial"/>
          <w:b w:val="1"/>
          <w:color w:val="222222"/>
          <w:sz w:val="24"/>
          <w:szCs w:val="24"/>
          <w:highlight w:val="white"/>
          <w:rtl w:val="0"/>
        </w:rPr>
        <w:t xml:space="preserve">. Lei Maria da</w:t>
      </w:r>
    </w:p>
    <w:p w:rsidR="00000000" w:rsidDel="00000000" w:rsidP="00000000" w:rsidRDefault="00000000" w:rsidRPr="00000000" w14:paraId="00000160">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Penha</w:t>
      </w:r>
      <w:r w:rsidDel="00000000" w:rsidR="00000000" w:rsidRPr="00000000">
        <w:rPr>
          <w:rFonts w:ascii="Arial" w:cs="Arial" w:eastAsia="Arial" w:hAnsi="Arial"/>
          <w:color w:val="222222"/>
          <w:sz w:val="24"/>
          <w:szCs w:val="24"/>
          <w:highlight w:val="white"/>
          <w:rtl w:val="0"/>
        </w:rPr>
        <w:t xml:space="preserve">: lei n. 11.340/2006: aspectos assistenciais, protetivos e criminais da violência de gênero. São Paulo: Saraiva Jur, 20188. 304 p.</w:t>
      </w:r>
    </w:p>
    <w:p w:rsidR="00000000" w:rsidDel="00000000" w:rsidP="00000000" w:rsidRDefault="00000000" w:rsidRPr="00000000" w14:paraId="00000161">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62">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NUCCI, Guilherme de S. </w:t>
      </w:r>
      <w:r w:rsidDel="00000000" w:rsidR="00000000" w:rsidRPr="00000000">
        <w:rPr>
          <w:rFonts w:ascii="Arial" w:cs="Arial" w:eastAsia="Arial" w:hAnsi="Arial"/>
          <w:b w:val="1"/>
          <w:color w:val="1c1c1c"/>
          <w:sz w:val="24"/>
          <w:szCs w:val="24"/>
          <w:highlight w:val="white"/>
          <w:rtl w:val="0"/>
        </w:rPr>
        <w:t xml:space="preserve">Criminologia</w:t>
      </w:r>
      <w:r w:rsidDel="00000000" w:rsidR="00000000" w:rsidRPr="00000000">
        <w:rPr>
          <w:rFonts w:ascii="Arial" w:cs="Arial" w:eastAsia="Arial" w:hAnsi="Arial"/>
          <w:color w:val="1c1c1c"/>
          <w:sz w:val="24"/>
          <w:szCs w:val="24"/>
          <w:highlight w:val="white"/>
          <w:rtl w:val="0"/>
        </w:rPr>
        <w:t xml:space="preserve">. [Rio de Janeiro]: Grupo GEN, 2021. </w:t>
      </w:r>
      <w:r w:rsidDel="00000000" w:rsidR="00000000" w:rsidRPr="00000000">
        <w:rPr>
          <w:rFonts w:ascii="Arial" w:cs="Arial" w:eastAsia="Arial" w:hAnsi="Arial"/>
          <w:i w:val="1"/>
          <w:color w:val="1c1c1c"/>
          <w:sz w:val="24"/>
          <w:szCs w:val="24"/>
          <w:highlight w:val="white"/>
          <w:rtl w:val="0"/>
        </w:rPr>
        <w:t xml:space="preserve">E-book.</w:t>
      </w:r>
      <w:r w:rsidDel="00000000" w:rsidR="00000000" w:rsidRPr="00000000">
        <w:rPr>
          <w:rFonts w:ascii="Arial" w:cs="Arial" w:eastAsia="Arial" w:hAnsi="Arial"/>
          <w:color w:val="1c1c1c"/>
          <w:sz w:val="24"/>
          <w:szCs w:val="24"/>
          <w:highlight w:val="white"/>
          <w:rtl w:val="0"/>
        </w:rPr>
        <w:t xml:space="preserve"> ISBN 9786559641437. Disponível em: https://integrada.minhabiblioteca.com.br/#/books/9786559641437/. Acesso em: 20 abr. 2023.</w:t>
      </w:r>
    </w:p>
    <w:p w:rsidR="00000000" w:rsidDel="00000000" w:rsidP="00000000" w:rsidRDefault="00000000" w:rsidRPr="00000000" w14:paraId="00000163">
      <w:pPr>
        <w:shd w:fill="ffffff" w:val="clear"/>
        <w:spacing w:after="0" w:line="240" w:lineRule="auto"/>
        <w:rPr>
          <w:rFonts w:ascii="Arial" w:cs="Arial" w:eastAsia="Arial" w:hAnsi="Arial"/>
          <w:color w:val="1c1c1c"/>
          <w:sz w:val="24"/>
          <w:szCs w:val="24"/>
          <w:highlight w:val="white"/>
        </w:rPr>
      </w:pPr>
      <w:r w:rsidDel="00000000" w:rsidR="00000000" w:rsidRPr="00000000">
        <w:rPr>
          <w:rtl w:val="0"/>
        </w:rPr>
      </w:r>
    </w:p>
    <w:p w:rsidR="00000000" w:rsidDel="00000000" w:rsidP="00000000" w:rsidRDefault="00000000" w:rsidRPr="00000000" w14:paraId="00000164">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ORGANIZAÇÃO DOS ESTADOS AMERICANOS. CLAUDIO GROSSMAN. </w:t>
      </w:r>
      <w:r w:rsidDel="00000000" w:rsidR="00000000" w:rsidRPr="00000000">
        <w:rPr>
          <w:rFonts w:ascii="Arial" w:cs="Arial" w:eastAsia="Arial" w:hAnsi="Arial"/>
          <w:b w:val="1"/>
          <w:color w:val="222222"/>
          <w:sz w:val="24"/>
          <w:szCs w:val="24"/>
          <w:highlight w:val="white"/>
          <w:rtl w:val="0"/>
        </w:rPr>
        <w:t xml:space="preserve">RELATÓRIO ANUAL 2000 RELATÓRIO N° 54/01*</w:t>
      </w:r>
      <w:r w:rsidDel="00000000" w:rsidR="00000000" w:rsidRPr="00000000">
        <w:rPr>
          <w:rFonts w:ascii="Arial" w:cs="Arial" w:eastAsia="Arial" w:hAnsi="Arial"/>
          <w:color w:val="222222"/>
          <w:sz w:val="24"/>
          <w:szCs w:val="24"/>
          <w:highlight w:val="white"/>
          <w:rtl w:val="0"/>
        </w:rPr>
        <w:t xml:space="preserve">: caso 12.051 maria da penha maia fernandes brasil. Washington, D.C., Estados Unidos, 2001. 16 p. Disponível em: https://edisciplinas.usp.br/pluginfile.php/4404688/mod_resource/content/1/Comissao%20Interamericana%20de%20Direitos%20Humanos%20-%20Relatorio%2054-01%20-%20Maria%20da%20Penha%20Maia%20Fernandes.pdf. Acesso em: 23 mar. 2023.</w:t>
      </w:r>
    </w:p>
    <w:p w:rsidR="00000000" w:rsidDel="00000000" w:rsidP="00000000" w:rsidRDefault="00000000" w:rsidRPr="00000000" w14:paraId="00000165">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66">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PENHA, Maria da. </w:t>
      </w:r>
      <w:r w:rsidDel="00000000" w:rsidR="00000000" w:rsidRPr="00000000">
        <w:rPr>
          <w:rFonts w:ascii="Arial" w:cs="Arial" w:eastAsia="Arial" w:hAnsi="Arial"/>
          <w:b w:val="1"/>
          <w:color w:val="222222"/>
          <w:sz w:val="24"/>
          <w:szCs w:val="24"/>
          <w:highlight w:val="white"/>
          <w:rtl w:val="0"/>
        </w:rPr>
        <w:t xml:space="preserve">Sobrevivi... Posso Contar</w:t>
      </w:r>
      <w:r w:rsidDel="00000000" w:rsidR="00000000" w:rsidRPr="00000000">
        <w:rPr>
          <w:rFonts w:ascii="Arial" w:cs="Arial" w:eastAsia="Arial" w:hAnsi="Arial"/>
          <w:color w:val="222222"/>
          <w:sz w:val="24"/>
          <w:szCs w:val="24"/>
          <w:highlight w:val="white"/>
          <w:rtl w:val="0"/>
        </w:rPr>
        <w:t xml:space="preserve">. 2. ed. Fortaleza-Ce: Armazém da Cultura, 2014. 220 p. Disponível em: https://www.google.com.br/books/edition/_/8-OhCgAAQBAJ?hl=pt-BR&amp;gbpv=1. Acesso em: 12 abr. 2023.</w:t>
      </w:r>
    </w:p>
    <w:p w:rsidR="00000000" w:rsidDel="00000000" w:rsidP="00000000" w:rsidRDefault="00000000" w:rsidRPr="00000000" w14:paraId="00000167">
      <w:pPr>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68">
      <w:pPr>
        <w:shd w:fill="ffffff" w:val="clear"/>
        <w:spacing w:after="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SENADO FEDERAL. </w:t>
      </w:r>
      <w:r w:rsidDel="00000000" w:rsidR="00000000" w:rsidRPr="00000000">
        <w:rPr>
          <w:rFonts w:ascii="Arial" w:cs="Arial" w:eastAsia="Arial" w:hAnsi="Arial"/>
          <w:b w:val="1"/>
          <w:color w:val="222222"/>
          <w:sz w:val="24"/>
          <w:szCs w:val="24"/>
          <w:highlight w:val="white"/>
          <w:rtl w:val="0"/>
        </w:rPr>
        <w:t xml:space="preserve">Pesquisa DataSenado</w:t>
      </w:r>
      <w:r w:rsidDel="00000000" w:rsidR="00000000" w:rsidRPr="00000000">
        <w:rPr>
          <w:rFonts w:ascii="Arial" w:cs="Arial" w:eastAsia="Arial" w:hAnsi="Arial"/>
          <w:color w:val="222222"/>
          <w:sz w:val="24"/>
          <w:szCs w:val="24"/>
          <w:highlight w:val="white"/>
          <w:rtl w:val="0"/>
        </w:rPr>
        <w:t xml:space="preserve">: violência doméstica e familiar contra a mulher. 9. ed. Brasil: Instituto de Pesquisa Datasenado, 2021. 446 p. Disponível em: https://www12.senado.leg.br/institucional/datasenado/arquivos/violencia-domestica-e-familiar-contra-a-mulher-2021/. Acesso em: 27 abr. 2023.</w:t>
      </w:r>
    </w:p>
    <w:p w:rsidR="00000000" w:rsidDel="00000000" w:rsidP="00000000" w:rsidRDefault="00000000" w:rsidRPr="00000000" w14:paraId="00000169">
      <w:pPr>
        <w:shd w:fill="ffffff" w:val="clear"/>
        <w:spacing w:after="0" w:line="240" w:lineRule="auto"/>
        <w:rPr>
          <w:rFonts w:ascii="Arial" w:cs="Arial" w:eastAsia="Arial" w:hAnsi="Arial"/>
          <w:color w:val="1c1c1c"/>
          <w:sz w:val="24"/>
          <w:szCs w:val="24"/>
          <w:highlight w:val="white"/>
        </w:rPr>
      </w:pPr>
      <w:r w:rsidDel="00000000" w:rsidR="00000000" w:rsidRPr="00000000">
        <w:rPr>
          <w:rtl w:val="0"/>
        </w:rPr>
      </w:r>
    </w:p>
    <w:p w:rsidR="00000000" w:rsidDel="00000000" w:rsidP="00000000" w:rsidRDefault="00000000" w:rsidRPr="00000000" w14:paraId="0000016A">
      <w:pPr>
        <w:shd w:fill="ffffff" w:val="clear"/>
        <w:spacing w:after="0" w:line="240" w:lineRule="auto"/>
        <w:rPr>
          <w:rFonts w:ascii="Arial" w:cs="Arial" w:eastAsia="Arial" w:hAnsi="Arial"/>
          <w:color w:val="1c1c1c"/>
          <w:sz w:val="24"/>
          <w:szCs w:val="24"/>
          <w:highlight w:val="white"/>
        </w:rPr>
      </w:pPr>
      <w:r w:rsidDel="00000000" w:rsidR="00000000" w:rsidRPr="00000000">
        <w:rPr>
          <w:rFonts w:ascii="Arial" w:cs="Arial" w:eastAsia="Arial" w:hAnsi="Arial"/>
          <w:color w:val="1c1c1c"/>
          <w:sz w:val="24"/>
          <w:szCs w:val="24"/>
          <w:highlight w:val="white"/>
          <w:rtl w:val="0"/>
        </w:rPr>
        <w:t xml:space="preserve">THOMPSON, A. </w:t>
      </w:r>
      <w:r w:rsidDel="00000000" w:rsidR="00000000" w:rsidRPr="00000000">
        <w:rPr>
          <w:rFonts w:ascii="Arial" w:cs="Arial" w:eastAsia="Arial" w:hAnsi="Arial"/>
          <w:b w:val="1"/>
          <w:color w:val="1c1c1c"/>
          <w:sz w:val="24"/>
          <w:szCs w:val="24"/>
          <w:highlight w:val="white"/>
          <w:rtl w:val="0"/>
        </w:rPr>
        <w:t xml:space="preserve">Quem são os criminosos.</w:t>
      </w:r>
      <w:r w:rsidDel="00000000" w:rsidR="00000000" w:rsidRPr="00000000">
        <w:rPr>
          <w:rFonts w:ascii="Arial" w:cs="Arial" w:eastAsia="Arial" w:hAnsi="Arial"/>
          <w:color w:val="1c1c1c"/>
          <w:sz w:val="24"/>
          <w:szCs w:val="24"/>
          <w:highlight w:val="white"/>
          <w:rtl w:val="0"/>
        </w:rPr>
        <w:t xml:space="preserve"> O crime e o criminoso: entes políticos. Rio de Janeiro: Editora Lumen Juris, 2007. </w:t>
      </w:r>
    </w:p>
    <w:p w:rsidR="00000000" w:rsidDel="00000000" w:rsidP="00000000" w:rsidRDefault="00000000" w:rsidRPr="00000000" w14:paraId="0000016B">
      <w:pPr>
        <w:shd w:fill="ffffff" w:val="clear"/>
        <w:spacing w:after="0" w:line="276" w:lineRule="auto"/>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16C">
      <w:pPr>
        <w:shd w:fill="ffffff" w:val="clear"/>
        <w:spacing w:after="0" w:line="276" w:lineRule="auto"/>
        <w:jc w:val="both"/>
        <w:rPr>
          <w:rFonts w:ascii="Arial" w:cs="Arial" w:eastAsia="Arial" w:hAnsi="Arial"/>
          <w:color w:val="222222"/>
          <w:sz w:val="24"/>
          <w:szCs w:val="24"/>
          <w:highlight w:val="white"/>
        </w:rPr>
      </w:pPr>
      <w:r w:rsidDel="00000000" w:rsidR="00000000" w:rsidRPr="00000000">
        <w:rPr>
          <w:rtl w:val="0"/>
        </w:rPr>
      </w:r>
    </w:p>
    <w:sectPr>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D">
      <w:pPr>
        <w:spacing w:after="0" w:line="240" w:lineRule="auto"/>
        <w:jc w:val="both"/>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Graduanda do Curso de Direito da UniFacisa – Centro Universitário. adrianeingrid0@gmail.com</w:t>
      </w:r>
      <w:r w:rsidDel="00000000" w:rsidR="00000000" w:rsidRPr="00000000">
        <w:rPr>
          <w:rtl w:val="0"/>
        </w:rPr>
      </w:r>
    </w:p>
  </w:footnote>
  <w:footnote w:id="1">
    <w:p w:rsidR="00000000" w:rsidDel="00000000" w:rsidP="00000000" w:rsidRDefault="00000000" w:rsidRPr="00000000" w14:paraId="0000016E">
      <w:pP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Doutor em Direito e professor da UNIFACISA. E-mail: marcelodlara@gmail.com.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argrafodaLista">
    <w:name w:val="List Paragraph"/>
    <w:basedOn w:val="Normal"/>
    <w:uiPriority w:val="34"/>
    <w:qFormat w:val="1"/>
    <w:rsid w:val="0088549A"/>
    <w:pPr>
      <w:ind w:left="720"/>
      <w:contextualSpacing w:val="1"/>
    </w:pPr>
  </w:style>
  <w:style w:type="paragraph" w:styleId="Textodenotaderodap">
    <w:name w:val="footnote text"/>
    <w:basedOn w:val="Normal"/>
    <w:link w:val="TextodenotaderodapChar"/>
    <w:uiPriority w:val="99"/>
    <w:semiHidden w:val="1"/>
    <w:unhideWhenUsed w:val="1"/>
    <w:rsid w:val="00746B36"/>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746B36"/>
    <w:rPr>
      <w:sz w:val="20"/>
      <w:szCs w:val="20"/>
    </w:rPr>
  </w:style>
  <w:style w:type="character" w:styleId="Refdenotaderodap">
    <w:name w:val="footnote reference"/>
    <w:basedOn w:val="Fontepargpadro"/>
    <w:uiPriority w:val="99"/>
    <w:semiHidden w:val="1"/>
    <w:unhideWhenUsed w:val="1"/>
    <w:rsid w:val="00746B36"/>
    <w:rPr>
      <w:vertAlign w:val="superscript"/>
    </w:rPr>
  </w:style>
  <w:style w:type="paragraph" w:styleId="NormalWeb">
    <w:name w:val="Normal (Web)"/>
    <w:basedOn w:val="Normal"/>
    <w:uiPriority w:val="99"/>
    <w:semiHidden w:val="1"/>
    <w:unhideWhenUsed w:val="1"/>
    <w:rsid w:val="00433353"/>
    <w:pPr>
      <w:spacing w:after="100" w:afterAutospacing="1" w:before="100" w:beforeAutospacing="1" w:line="240" w:lineRule="auto"/>
    </w:pPr>
    <w:rPr>
      <w:rFonts w:ascii="Times New Roman" w:cs="Times New Roman" w:eastAsia="Times New Roman" w:hAnsi="Times New Roman"/>
      <w:sz w:val="24"/>
      <w:szCs w:val="24"/>
    </w:rPr>
  </w:style>
  <w:style w:type="paragraph" w:styleId="Partesuperior-zdoformulrio">
    <w:name w:val="HTML Top of Form"/>
    <w:basedOn w:val="Normal"/>
    <w:next w:val="Normal"/>
    <w:link w:val="Partesuperior-zdoformulrioChar"/>
    <w:hidden w:val="1"/>
    <w:uiPriority w:val="99"/>
    <w:semiHidden w:val="1"/>
    <w:unhideWhenUsed w:val="1"/>
    <w:rsid w:val="00433353"/>
    <w:pPr>
      <w:pBdr>
        <w:bottom w:color="auto" w:space="1" w:sz="6" w:val="single"/>
      </w:pBdr>
      <w:spacing w:after="0" w:line="240" w:lineRule="auto"/>
      <w:jc w:val="center"/>
    </w:pPr>
    <w:rPr>
      <w:rFonts w:ascii="Arial" w:cs="Arial" w:eastAsia="Times New Roman" w:hAnsi="Arial"/>
      <w:vanish w:val="1"/>
      <w:sz w:val="16"/>
      <w:szCs w:val="16"/>
    </w:rPr>
  </w:style>
  <w:style w:type="character" w:styleId="Partesuperior-zdoformulrioChar" w:customStyle="1">
    <w:name w:val="Parte superior-z do formulário Char"/>
    <w:basedOn w:val="Fontepargpadro"/>
    <w:link w:val="Partesuperior-zdoformulrio"/>
    <w:uiPriority w:val="99"/>
    <w:semiHidden w:val="1"/>
    <w:rsid w:val="00433353"/>
    <w:rPr>
      <w:rFonts w:ascii="Arial" w:cs="Arial" w:eastAsia="Times New Roman" w:hAnsi="Arial"/>
      <w:vanish w:val="1"/>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t05Xa/t0uvPB9LCfc97gyLYmg==">CgMxLjAyCWguMzBqMHpsbDIIaC5namRneHM4AHIhMUs2TzRYOTNEclIwNElvanZ4RzRTZHU1NDVhMTZqQ3VY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2023-06-01T12:00:00Z</dcterms:created>
  <dc:creator>MARCELO D ANGELO LARA</dc:creator>
</cp:coreProperties>
</file>