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w:t>
      </w:r>
    </w:p>
    <w:p w:rsidR="00000000" w:rsidDel="00000000" w:rsidP="00000000" w:rsidRDefault="00000000" w:rsidRPr="00000000" w14:paraId="00000002">
      <w:pPr>
        <w:spacing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UNIFACISA - CENTRO UNIVERSITÁRIO</w:t>
      </w:r>
    </w:p>
    <w:p w:rsidR="00000000" w:rsidDel="00000000" w:rsidP="00000000" w:rsidRDefault="00000000" w:rsidRPr="00000000" w14:paraId="00000003">
      <w:pPr>
        <w:spacing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 DE BACHARELADO EM DIREITO</w:t>
      </w:r>
    </w:p>
    <w:p w:rsidR="00000000" w:rsidDel="00000000" w:rsidP="00000000" w:rsidRDefault="00000000" w:rsidRPr="00000000" w14:paraId="00000004">
      <w:pPr>
        <w:spacing w:line="36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BRENDOW SANTOS CARVALHO</w:t>
      </w:r>
    </w:p>
    <w:p w:rsidR="00000000" w:rsidDel="00000000" w:rsidP="00000000" w:rsidRDefault="00000000" w:rsidRPr="00000000" w14:paraId="00000007">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TRIBUTAÇÃO DE CRIPTOMOEDAS E OS DESAFIOS DAS TECNOLOGIAS DISRUPTIVAS</w:t>
      </w:r>
    </w:p>
    <w:p w:rsidR="00000000" w:rsidDel="00000000" w:rsidP="00000000" w:rsidRDefault="00000000" w:rsidRPr="00000000" w14:paraId="0000000E">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CAMPINA GRANDE - PB</w:t>
      </w:r>
    </w:p>
    <w:p w:rsidR="00000000" w:rsidDel="00000000" w:rsidP="00000000" w:rsidRDefault="00000000" w:rsidRPr="00000000" w14:paraId="0000001F">
      <w:pPr>
        <w:spacing w:line="36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2019</w:t>
      </w:r>
    </w:p>
    <w:p w:rsidR="00000000" w:rsidDel="00000000" w:rsidP="00000000" w:rsidRDefault="00000000" w:rsidRPr="00000000" w14:paraId="00000020">
      <w:pPr>
        <w:spacing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BRENDOW SANTOS CARVALHO</w:t>
      </w:r>
      <w:r w:rsidDel="00000000" w:rsidR="00000000" w:rsidRPr="00000000">
        <w:rPr>
          <w:rtl w:val="0"/>
        </w:rPr>
      </w:r>
    </w:p>
    <w:p w:rsidR="00000000" w:rsidDel="00000000" w:rsidP="00000000" w:rsidRDefault="00000000" w:rsidRPr="00000000" w14:paraId="00000021">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TRIBUTAÇÃO DE CRIPTOMOEDAS E OS DESAFIOS DAS TECNOLOGIAS DISRUPTIVAS</w:t>
      </w:r>
    </w:p>
    <w:p w:rsidR="00000000" w:rsidDel="00000000" w:rsidP="00000000" w:rsidRDefault="00000000" w:rsidRPr="00000000" w14:paraId="00000028">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ind w:left="4818.8976377952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apresentado como pré- requisito para a obtenção do título de Bacharel em Direito pela UniFacisa – Centro Universitário. Área de Concentração: Direito Ambiental, Ordem Socioeconômica e Regulação. Orientador: Prof. da UniFacisa Danilo Moreira Mendes.</w:t>
      </w:r>
    </w:p>
    <w:p w:rsidR="00000000" w:rsidDel="00000000" w:rsidP="00000000" w:rsidRDefault="00000000" w:rsidRPr="00000000" w14:paraId="0000002E">
      <w:pPr>
        <w:spacing w:line="360" w:lineRule="auto"/>
        <w:ind w:left="4818.89763779527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ind w:left="4818.89763779527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ind w:left="4818.89763779527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ind w:left="4818.89763779527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ind w:left="4818.89763779527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ind w:left="4818.89763779527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 - PB</w:t>
      </w:r>
    </w:p>
    <w:p w:rsidR="00000000" w:rsidDel="00000000" w:rsidP="00000000" w:rsidRDefault="00000000" w:rsidRPr="00000000" w14:paraId="00000037">
      <w:pPr>
        <w:spacing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p w:rsidR="00000000" w:rsidDel="00000000" w:rsidP="00000000" w:rsidRDefault="00000000" w:rsidRPr="00000000" w14:paraId="00000038">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4677.165354330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w:t>
      </w:r>
    </w:p>
    <w:p w:rsidR="00000000" w:rsidDel="00000000" w:rsidP="00000000" w:rsidRDefault="00000000" w:rsidRPr="00000000" w14:paraId="00000048">
      <w:pPr>
        <w:ind w:left="4677.165354330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Científico – Título do artigo, como parte</w:t>
      </w:r>
    </w:p>
    <w:p w:rsidR="00000000" w:rsidDel="00000000" w:rsidP="00000000" w:rsidRDefault="00000000" w:rsidRPr="00000000" w14:paraId="00000049">
      <w:pPr>
        <w:ind w:left="4677.165354330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requisitos para obtenção do título de</w:t>
      </w:r>
    </w:p>
    <w:p w:rsidR="00000000" w:rsidDel="00000000" w:rsidP="00000000" w:rsidRDefault="00000000" w:rsidRPr="00000000" w14:paraId="0000004A">
      <w:pPr>
        <w:ind w:left="4677.165354330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Bacharel em Direito, outorgado pela</w:t>
      </w:r>
    </w:p>
    <w:p w:rsidR="00000000" w:rsidDel="00000000" w:rsidP="00000000" w:rsidRDefault="00000000" w:rsidRPr="00000000" w14:paraId="0000004B">
      <w:pPr>
        <w:ind w:left="4677.165354330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UniFacisa – Centro Universitário.</w:t>
      </w:r>
    </w:p>
    <w:p w:rsidR="00000000" w:rsidDel="00000000" w:rsidP="00000000" w:rsidRDefault="00000000" w:rsidRPr="00000000" w14:paraId="0000004C">
      <w:pPr>
        <w:ind w:left="4677.165354330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left="4677.165354330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 EM ______/______/______</w:t>
      </w:r>
    </w:p>
    <w:p w:rsidR="00000000" w:rsidDel="00000000" w:rsidP="00000000" w:rsidRDefault="00000000" w:rsidRPr="00000000" w14:paraId="0000004E">
      <w:pPr>
        <w:ind w:left="4677.165354330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left="4677.165354330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BANCA EXAMINADORA:</w:t>
      </w:r>
    </w:p>
    <w:p w:rsidR="00000000" w:rsidDel="00000000" w:rsidP="00000000" w:rsidRDefault="00000000" w:rsidRPr="00000000" w14:paraId="00000050">
      <w:pPr>
        <w:ind w:left="4677.165354330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left="4677.165354330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w:t>
      </w:r>
    </w:p>
    <w:p w:rsidR="00000000" w:rsidDel="00000000" w:rsidP="00000000" w:rsidRDefault="00000000" w:rsidRPr="00000000" w14:paraId="00000052">
      <w:pPr>
        <w:ind w:left="4677.16535433070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Prof.o da UniFacisa, Nome Completo do</w:t>
      </w:r>
    </w:p>
    <w:p w:rsidR="00000000" w:rsidDel="00000000" w:rsidP="00000000" w:rsidRDefault="00000000" w:rsidRPr="00000000" w14:paraId="00000053">
      <w:pPr>
        <w:ind w:left="4677.16535433070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 Titulação.</w:t>
      </w:r>
    </w:p>
    <w:p w:rsidR="00000000" w:rsidDel="00000000" w:rsidP="00000000" w:rsidRDefault="00000000" w:rsidRPr="00000000" w14:paraId="00000054">
      <w:pPr>
        <w:ind w:left="4677.16535433070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w:t>
      </w:r>
    </w:p>
    <w:p w:rsidR="00000000" w:rsidDel="00000000" w:rsidP="00000000" w:rsidRDefault="00000000" w:rsidRPr="00000000" w14:paraId="00000055">
      <w:pPr>
        <w:ind w:left="4677.165354330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left="4677.165354330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w:t>
      </w:r>
    </w:p>
    <w:p w:rsidR="00000000" w:rsidDel="00000000" w:rsidP="00000000" w:rsidRDefault="00000000" w:rsidRPr="00000000" w14:paraId="00000057">
      <w:pPr>
        <w:ind w:left="4677.16535433070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Prof.o da UniFacisa, Nome Completo do</w:t>
      </w:r>
    </w:p>
    <w:p w:rsidR="00000000" w:rsidDel="00000000" w:rsidP="00000000" w:rsidRDefault="00000000" w:rsidRPr="00000000" w14:paraId="00000058">
      <w:pPr>
        <w:ind w:left="4677.16535433070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Membro, Titulação.</w:t>
      </w:r>
    </w:p>
    <w:p w:rsidR="00000000" w:rsidDel="00000000" w:rsidP="00000000" w:rsidRDefault="00000000" w:rsidRPr="00000000" w14:paraId="00000059">
      <w:pPr>
        <w:ind w:left="4677.165354330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4677.165354330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w:t>
      </w:r>
    </w:p>
    <w:p w:rsidR="00000000" w:rsidDel="00000000" w:rsidP="00000000" w:rsidRDefault="00000000" w:rsidRPr="00000000" w14:paraId="0000005B">
      <w:pPr>
        <w:ind w:left="4677.16535433070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Prof.o da UniFacisa, Nome Completo do</w:t>
      </w:r>
    </w:p>
    <w:p w:rsidR="00000000" w:rsidDel="00000000" w:rsidP="00000000" w:rsidRDefault="00000000" w:rsidRPr="00000000" w14:paraId="0000005C">
      <w:pPr>
        <w:ind w:left="4677.16535433070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Terceiro Membro, Titulação.</w:t>
      </w:r>
    </w:p>
    <w:p w:rsidR="00000000" w:rsidDel="00000000" w:rsidP="00000000" w:rsidRDefault="00000000" w:rsidRPr="00000000" w14:paraId="0000005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TRIBUTAÇÃO DE CRIPTOMOEDAS E OS DESAFIOS DAS TECNOLOGIAS DISRUPTIVAS</w:t>
      </w:r>
    </w:p>
    <w:p w:rsidR="00000000" w:rsidDel="00000000" w:rsidP="00000000" w:rsidRDefault="00000000" w:rsidRPr="00000000" w14:paraId="0000005E">
      <w:pPr>
        <w:spacing w:line="36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ind w:left="4818.897637795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Acadêmico: Brendow Santos Carvalho</w:t>
      </w:r>
    </w:p>
    <w:p w:rsidR="00000000" w:rsidDel="00000000" w:rsidP="00000000" w:rsidRDefault="00000000" w:rsidRPr="00000000" w14:paraId="00000060">
      <w:pPr>
        <w:spacing w:line="360" w:lineRule="auto"/>
        <w:ind w:left="4818.897637795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 Danilo Moreira Mendes</w:t>
      </w:r>
    </w:p>
    <w:p w:rsidR="00000000" w:rsidDel="00000000" w:rsidP="00000000" w:rsidRDefault="00000000" w:rsidRPr="00000000" w14:paraId="00000061">
      <w:pPr>
        <w:spacing w:line="36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63">
      <w:pPr>
        <w:spacing w:line="14.399999999999999"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criptomoeda é um fenômeno econômico contemporâneo que tem seu impacto no mercado como inovadora forma de pagamento e negociação, bem como no universo jurídico por se tratar de uma forma acumulação de riquezas. O presente artigo analisa o tratamento tributário das criptomoedas à luz do ordenamento jurídico brasileiro. Nesse sentido o estudo busca delimitar o conceito de criptomoeda, explicitando suas características e comparando com o conceito legal de moeda, no sentido estrito, através da revisão bibliográfica, análise documental e estudo de caso. Como resultado percebeu-se que as criptomoedas não se confundem com as moedas legais e que a legislação tributária brasileira consideram estas como bens, além de estabelecer que sobre as criptomoedas devem incidir as alíquotas referente ao Imposto de Renda. </w:t>
      </w:r>
    </w:p>
    <w:p w:rsidR="00000000" w:rsidDel="00000000" w:rsidP="00000000" w:rsidRDefault="00000000" w:rsidRPr="00000000" w14:paraId="0000006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 - CHAVE: Criptomoedas. Moedas Virtuais. Legislação tributária.</w:t>
      </w:r>
    </w:p>
    <w:p w:rsidR="00000000" w:rsidDel="00000000" w:rsidP="00000000" w:rsidRDefault="00000000" w:rsidRPr="00000000" w14:paraId="00000066">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ind w:left="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6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Cryptocurrency is a contemporary economic phenomenon that has its impact on the market as an innovative form of payment and negotiation, as well as on the legal universe because it is a form of accumulation of wealth. This article analyzes the tax treatment of cryptocurrencies in light of the Brazilian legal system. In this sense, the study seeks to delimit the concept of cryptocurrency, explaining its characteristics and comparing it with the legal concept of currency, in the strict sense, through the literature review, documental analysis and case study. As a result, it was noticed that cryptocurrencies are not confused with legal currencies and that the Brazilian tax legislation considers them as assets, in addition to establishing that on cryptocurrencies the rates referring to Income Tax should be levied.</w:t>
      </w:r>
    </w:p>
    <w:p w:rsidR="00000000" w:rsidDel="00000000" w:rsidP="00000000" w:rsidRDefault="00000000" w:rsidRPr="00000000" w14:paraId="00000069">
      <w:pPr>
        <w:spacing w:line="14.399999999999999" w:lineRule="auto"/>
        <w:ind w:left="0"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 WORDS: Criptocurrency. Virtual Coins. Tax legislation.</w:t>
      </w:r>
    </w:p>
    <w:p w:rsidR="00000000" w:rsidDel="00000000" w:rsidP="00000000" w:rsidRDefault="00000000" w:rsidRPr="00000000" w14:paraId="0000006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numPr>
          <w:ilvl w:val="0"/>
          <w:numId w:val="1"/>
        </w:numPr>
        <w:spacing w:line="360" w:lineRule="auto"/>
        <w:ind w:left="425.19685039370086" w:hanging="425.196850393700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6D">
      <w:pPr>
        <w:spacing w:line="360" w:lineRule="auto"/>
        <w:ind w:left="0" w:firstLine="708.661417322834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Revolução Digital gerou diversos impactos na vida das pessoas e simultaneamente na economia</w:t>
      </w:r>
      <w:r w:rsidDel="00000000" w:rsidR="00000000" w:rsidRPr="00000000">
        <w:rPr>
          <w:rFonts w:ascii="Times New Roman" w:cs="Times New Roman" w:eastAsia="Times New Roman" w:hAnsi="Times New Roman"/>
          <w:sz w:val="24"/>
          <w:szCs w:val="24"/>
          <w:rtl w:val="0"/>
        </w:rPr>
        <w:t xml:space="preserve">. Ocorreu a desconstrução do conceito de distância e a perspectiva do real nunca foi tão virtualizada. Esse movimento ampliou e aprimorou a capacidade de se comunicar, buscar e encontrar informações. Além de possibilitar a globalização, o que, por sua vez, resultou em uma produtividade empresarial mais eficiente e eficaz.</w:t>
      </w:r>
    </w:p>
    <w:p w:rsidR="00000000" w:rsidDel="00000000" w:rsidP="00000000" w:rsidRDefault="00000000" w:rsidRPr="00000000" w14:paraId="0000006F">
      <w:pPr>
        <w:spacing w:after="0" w:before="0" w:line="14.399999999999999"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before="0" w:line="360" w:lineRule="auto"/>
        <w:ind w:firstLine="708.6614173228347"/>
        <w:jc w:val="both"/>
        <w:rPr>
          <w:rFonts w:ascii="Times New Roman" w:cs="Times New Roman" w:eastAsia="Times New Roman" w:hAnsi="Times New Roman"/>
          <w:sz w:val="24"/>
          <w:szCs w:val="24"/>
          <w:shd w:fill="ea9999" w:val="clear"/>
        </w:rPr>
      </w:pPr>
      <w:r w:rsidDel="00000000" w:rsidR="00000000" w:rsidRPr="00000000">
        <w:rPr>
          <w:rFonts w:ascii="Times New Roman" w:cs="Times New Roman" w:eastAsia="Times New Roman" w:hAnsi="Times New Roman"/>
          <w:sz w:val="24"/>
          <w:szCs w:val="24"/>
          <w:highlight w:val="white"/>
          <w:rtl w:val="0"/>
        </w:rPr>
        <w:t xml:space="preserve">Uma </w:t>
      </w:r>
      <w:r w:rsidDel="00000000" w:rsidR="00000000" w:rsidRPr="00000000">
        <w:rPr>
          <w:rFonts w:ascii="Times New Roman" w:cs="Times New Roman" w:eastAsia="Times New Roman" w:hAnsi="Times New Roman"/>
          <w:sz w:val="24"/>
          <w:szCs w:val="24"/>
          <w:rtl w:val="0"/>
        </w:rPr>
        <w:t xml:space="preserve">importante</w:t>
      </w:r>
      <w:r w:rsidDel="00000000" w:rsidR="00000000" w:rsidRPr="00000000">
        <w:rPr>
          <w:rFonts w:ascii="Times New Roman" w:cs="Times New Roman" w:eastAsia="Times New Roman" w:hAnsi="Times New Roman"/>
          <w:sz w:val="24"/>
          <w:szCs w:val="24"/>
          <w:highlight w:val="white"/>
          <w:rtl w:val="0"/>
        </w:rPr>
        <w:t xml:space="preserve"> constatação de um </w:t>
      </w:r>
      <w:r w:rsidDel="00000000" w:rsidR="00000000" w:rsidRPr="00000000">
        <w:rPr>
          <w:rFonts w:ascii="Times New Roman" w:cs="Times New Roman" w:eastAsia="Times New Roman" w:hAnsi="Times New Roman"/>
          <w:sz w:val="24"/>
          <w:szCs w:val="24"/>
          <w:rtl w:val="0"/>
        </w:rPr>
        <w:t xml:space="preserve">componente</w:t>
      </w:r>
      <w:r w:rsidDel="00000000" w:rsidR="00000000" w:rsidRPr="00000000">
        <w:rPr>
          <w:rFonts w:ascii="Times New Roman" w:cs="Times New Roman" w:eastAsia="Times New Roman" w:hAnsi="Times New Roman"/>
          <w:sz w:val="24"/>
          <w:szCs w:val="24"/>
          <w:highlight w:val="white"/>
          <w:rtl w:val="0"/>
        </w:rPr>
        <w:t xml:space="preserve"> de ordem econômica parece </w:t>
      </w:r>
      <w:r w:rsidDel="00000000" w:rsidR="00000000" w:rsidRPr="00000000">
        <w:rPr>
          <w:rFonts w:ascii="Times New Roman" w:cs="Times New Roman" w:eastAsia="Times New Roman" w:hAnsi="Times New Roman"/>
          <w:sz w:val="24"/>
          <w:szCs w:val="24"/>
          <w:rtl w:val="0"/>
        </w:rPr>
        <w:t xml:space="preserve">haver</w:t>
      </w:r>
      <w:r w:rsidDel="00000000" w:rsidR="00000000" w:rsidRPr="00000000">
        <w:rPr>
          <w:rFonts w:ascii="Times New Roman" w:cs="Times New Roman" w:eastAsia="Times New Roman" w:hAnsi="Times New Roman"/>
          <w:sz w:val="24"/>
          <w:szCs w:val="24"/>
          <w:highlight w:val="white"/>
          <w:rtl w:val="0"/>
        </w:rPr>
        <w:t xml:space="preserve"> sido potencializado por essa </w:t>
      </w:r>
      <w:r w:rsidDel="00000000" w:rsidR="00000000" w:rsidRPr="00000000">
        <w:rPr>
          <w:rFonts w:ascii="Times New Roman" w:cs="Times New Roman" w:eastAsia="Times New Roman" w:hAnsi="Times New Roman"/>
          <w:sz w:val="24"/>
          <w:szCs w:val="24"/>
          <w:rtl w:val="0"/>
        </w:rPr>
        <w:t xml:space="preserve">revolução</w:t>
      </w:r>
      <w:r w:rsidDel="00000000" w:rsidR="00000000" w:rsidRPr="00000000">
        <w:rPr>
          <w:rFonts w:ascii="Times New Roman" w:cs="Times New Roman" w:eastAsia="Times New Roman" w:hAnsi="Times New Roman"/>
          <w:sz w:val="24"/>
          <w:szCs w:val="24"/>
          <w:highlight w:val="white"/>
          <w:rtl w:val="0"/>
        </w:rPr>
        <w:t xml:space="preserve">, que é a </w:t>
      </w:r>
      <w:r w:rsidDel="00000000" w:rsidR="00000000" w:rsidRPr="00000000">
        <w:rPr>
          <w:rFonts w:ascii="Times New Roman" w:cs="Times New Roman" w:eastAsia="Times New Roman" w:hAnsi="Times New Roman"/>
          <w:sz w:val="24"/>
          <w:szCs w:val="24"/>
          <w:rtl w:val="0"/>
        </w:rPr>
        <w:t xml:space="preserve">diminuição</w:t>
      </w:r>
      <w:r w:rsidDel="00000000" w:rsidR="00000000" w:rsidRPr="00000000">
        <w:rPr>
          <w:rFonts w:ascii="Times New Roman" w:cs="Times New Roman" w:eastAsia="Times New Roman" w:hAnsi="Times New Roman"/>
          <w:sz w:val="24"/>
          <w:szCs w:val="24"/>
          <w:highlight w:val="white"/>
          <w:rtl w:val="0"/>
        </w:rPr>
        <w:t xml:space="preserve"> de intermediários. Tendo </w:t>
      </w:r>
      <w:r w:rsidDel="00000000" w:rsidR="00000000" w:rsidRPr="00000000">
        <w:rPr>
          <w:rFonts w:ascii="Times New Roman" w:cs="Times New Roman" w:eastAsia="Times New Roman" w:hAnsi="Times New Roman"/>
          <w:sz w:val="24"/>
          <w:szCs w:val="24"/>
          <w:rtl w:val="0"/>
        </w:rPr>
        <w:t xml:space="preserve">como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efeito</w:t>
      </w:r>
      <w:r w:rsidDel="00000000" w:rsidR="00000000" w:rsidRPr="00000000">
        <w:rPr>
          <w:rFonts w:ascii="Times New Roman" w:cs="Times New Roman" w:eastAsia="Times New Roman" w:hAnsi="Times New Roman"/>
          <w:sz w:val="24"/>
          <w:szCs w:val="24"/>
          <w:highlight w:val="white"/>
          <w:rtl w:val="0"/>
        </w:rPr>
        <w:t xml:space="preserve"> a </w:t>
      </w:r>
      <w:r w:rsidDel="00000000" w:rsidR="00000000" w:rsidRPr="00000000">
        <w:rPr>
          <w:rFonts w:ascii="Times New Roman" w:cs="Times New Roman" w:eastAsia="Times New Roman" w:hAnsi="Times New Roman"/>
          <w:sz w:val="24"/>
          <w:szCs w:val="24"/>
          <w:rtl w:val="0"/>
        </w:rPr>
        <w:t xml:space="preserve">proximidade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entre</w:t>
      </w:r>
      <w:r w:rsidDel="00000000" w:rsidR="00000000" w:rsidRPr="00000000">
        <w:rPr>
          <w:rFonts w:ascii="Times New Roman" w:cs="Times New Roman" w:eastAsia="Times New Roman" w:hAnsi="Times New Roman"/>
          <w:sz w:val="24"/>
          <w:szCs w:val="24"/>
          <w:highlight w:val="white"/>
          <w:rtl w:val="0"/>
        </w:rPr>
        <w:t xml:space="preserve"> os dois extremos de uma mesma relação, incluindo a “intangibilização” dos estabelecimentos comerciais, isto é, a </w:t>
      </w:r>
      <w:r w:rsidDel="00000000" w:rsidR="00000000" w:rsidRPr="00000000">
        <w:rPr>
          <w:rFonts w:ascii="Times New Roman" w:cs="Times New Roman" w:eastAsia="Times New Roman" w:hAnsi="Times New Roman"/>
          <w:sz w:val="24"/>
          <w:szCs w:val="24"/>
          <w:rtl w:val="0"/>
        </w:rPr>
        <w:t xml:space="preserve">participação</w:t>
      </w:r>
      <w:r w:rsidDel="00000000" w:rsidR="00000000" w:rsidRPr="00000000">
        <w:rPr>
          <w:rFonts w:ascii="Times New Roman" w:cs="Times New Roman" w:eastAsia="Times New Roman" w:hAnsi="Times New Roman"/>
          <w:sz w:val="24"/>
          <w:szCs w:val="24"/>
          <w:highlight w:val="white"/>
          <w:rtl w:val="0"/>
        </w:rPr>
        <w:t xml:space="preserve"> física, se tornou </w:t>
      </w:r>
      <w:r w:rsidDel="00000000" w:rsidR="00000000" w:rsidRPr="00000000">
        <w:rPr>
          <w:rFonts w:ascii="Times New Roman" w:cs="Times New Roman" w:eastAsia="Times New Roman" w:hAnsi="Times New Roman"/>
          <w:sz w:val="24"/>
          <w:szCs w:val="24"/>
          <w:rtl w:val="0"/>
        </w:rPr>
        <w:t xml:space="preserve">totalmente</w:t>
      </w:r>
      <w:r w:rsidDel="00000000" w:rsidR="00000000" w:rsidRPr="00000000">
        <w:rPr>
          <w:rFonts w:ascii="Times New Roman" w:cs="Times New Roman" w:eastAsia="Times New Roman" w:hAnsi="Times New Roman"/>
          <w:sz w:val="24"/>
          <w:szCs w:val="24"/>
          <w:highlight w:val="white"/>
          <w:rtl w:val="0"/>
        </w:rPr>
        <w:t xml:space="preserve"> desnecessária à </w:t>
      </w:r>
      <w:r w:rsidDel="00000000" w:rsidR="00000000" w:rsidRPr="00000000">
        <w:rPr>
          <w:rFonts w:ascii="Times New Roman" w:cs="Times New Roman" w:eastAsia="Times New Roman" w:hAnsi="Times New Roman"/>
          <w:sz w:val="24"/>
          <w:szCs w:val="24"/>
          <w:rtl w:val="0"/>
        </w:rPr>
        <w:t xml:space="preserve">efetivação</w:t>
      </w:r>
      <w:r w:rsidDel="00000000" w:rsidR="00000000" w:rsidRPr="00000000">
        <w:rPr>
          <w:rFonts w:ascii="Times New Roman" w:cs="Times New Roman" w:eastAsia="Times New Roman" w:hAnsi="Times New Roman"/>
          <w:sz w:val="24"/>
          <w:szCs w:val="24"/>
          <w:highlight w:val="white"/>
          <w:rtl w:val="0"/>
        </w:rPr>
        <w:t xml:space="preserve"> de negócios em </w:t>
      </w:r>
      <w:r w:rsidDel="00000000" w:rsidR="00000000" w:rsidRPr="00000000">
        <w:rPr>
          <w:rFonts w:ascii="Times New Roman" w:cs="Times New Roman" w:eastAsia="Times New Roman" w:hAnsi="Times New Roman"/>
          <w:sz w:val="24"/>
          <w:szCs w:val="24"/>
          <w:rtl w:val="0"/>
        </w:rPr>
        <w:t xml:space="preserve">qualquer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localidade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71">
      <w:pPr>
        <w:spacing w:after="0" w:before="0"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artigo, trata de uma inovadora e importante criação do mundo virtual, que se encontra no centro dessa temática, que se convencionou chamar de “moedas virtuais”, e mais especificamente as moedas criptografadas ou simplesmente “criptomoedas”.</w:t>
      </w:r>
    </w:p>
    <w:p w:rsidR="00000000" w:rsidDel="00000000" w:rsidP="00000000" w:rsidRDefault="00000000" w:rsidRPr="00000000" w14:paraId="00000073">
      <w:pPr>
        <w:spacing w:after="0" w:before="0"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before="0" w:line="36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Mais especificamente, este artigo abordará o tratamento tributário das moedas virtuais à luz do ordenamento jurídico brasileiro. Alcançaremos este objetivo por meio da delimitação conceito de moedas virtuais, explicitando suas principais características e sua relevância financeira, comparando o tratamento legal de moeda com a definição do que seriam as moedas virtuais, por fim verificaremos o tratamento tributário </w:t>
      </w:r>
      <w:r w:rsidDel="00000000" w:rsidR="00000000" w:rsidRPr="00000000">
        <w:rPr>
          <w:rFonts w:ascii="Times New Roman" w:cs="Times New Roman" w:eastAsia="Times New Roman" w:hAnsi="Times New Roman"/>
          <w:sz w:val="24"/>
          <w:szCs w:val="24"/>
          <w:rtl w:val="0"/>
        </w:rPr>
        <w:t xml:space="preserve">das moedas virtuais</w:t>
      </w:r>
      <w:r w:rsidDel="00000000" w:rsidR="00000000" w:rsidRPr="00000000">
        <w:rPr>
          <w:rFonts w:ascii="Times New Roman" w:cs="Times New Roman" w:eastAsia="Times New Roman" w:hAnsi="Times New Roman"/>
          <w:sz w:val="24"/>
          <w:szCs w:val="24"/>
          <w:highlight w:val="white"/>
          <w:rtl w:val="0"/>
        </w:rPr>
        <w:t xml:space="preserve"> de acordo com a legislação tributária brasileira, bem como apontaremos os desafios à fiscalização e ao controle dessas criptomoedas. </w:t>
      </w:r>
    </w:p>
    <w:p w:rsidR="00000000" w:rsidDel="00000000" w:rsidP="00000000" w:rsidRDefault="00000000" w:rsidRPr="00000000" w14:paraId="00000075">
      <w:pPr>
        <w:spacing w:after="0" w:before="0" w:line="14.399999999999999"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6">
      <w:pPr>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matéria acerca das moedas virtuais é </w:t>
      </w:r>
      <w:r w:rsidDel="00000000" w:rsidR="00000000" w:rsidRPr="00000000">
        <w:rPr>
          <w:rFonts w:ascii="Times New Roman" w:cs="Times New Roman" w:eastAsia="Times New Roman" w:hAnsi="Times New Roman"/>
          <w:sz w:val="24"/>
          <w:szCs w:val="24"/>
          <w:rtl w:val="0"/>
        </w:rPr>
        <w:t xml:space="preserve">assunto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recorrente</w:t>
      </w:r>
      <w:r w:rsidDel="00000000" w:rsidR="00000000" w:rsidRPr="00000000">
        <w:rPr>
          <w:rFonts w:ascii="Times New Roman" w:cs="Times New Roman" w:eastAsia="Times New Roman" w:hAnsi="Times New Roman"/>
          <w:sz w:val="24"/>
          <w:szCs w:val="24"/>
          <w:highlight w:val="white"/>
          <w:rtl w:val="0"/>
        </w:rPr>
        <w:t xml:space="preserve"> em diversas discussões políticas, econômicas e jurídicas, que </w:t>
      </w:r>
      <w:r w:rsidDel="00000000" w:rsidR="00000000" w:rsidRPr="00000000">
        <w:rPr>
          <w:rFonts w:ascii="Times New Roman" w:cs="Times New Roman" w:eastAsia="Times New Roman" w:hAnsi="Times New Roman"/>
          <w:sz w:val="24"/>
          <w:szCs w:val="24"/>
          <w:rtl w:val="0"/>
        </w:rPr>
        <w:t xml:space="preserve">vão</w:t>
      </w:r>
      <w:r w:rsidDel="00000000" w:rsidR="00000000" w:rsidRPr="00000000">
        <w:rPr>
          <w:rFonts w:ascii="Times New Roman" w:cs="Times New Roman" w:eastAsia="Times New Roman" w:hAnsi="Times New Roman"/>
          <w:sz w:val="24"/>
          <w:szCs w:val="24"/>
          <w:highlight w:val="white"/>
          <w:rtl w:val="0"/>
        </w:rPr>
        <w:t xml:space="preserve"> desde a </w:t>
      </w:r>
      <w:r w:rsidDel="00000000" w:rsidR="00000000" w:rsidRPr="00000000">
        <w:rPr>
          <w:rFonts w:ascii="Times New Roman" w:cs="Times New Roman" w:eastAsia="Times New Roman" w:hAnsi="Times New Roman"/>
          <w:sz w:val="24"/>
          <w:szCs w:val="24"/>
          <w:rtl w:val="0"/>
        </w:rPr>
        <w:t xml:space="preserve">necessidade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ou</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não</w:t>
      </w:r>
      <w:r w:rsidDel="00000000" w:rsidR="00000000" w:rsidRPr="00000000">
        <w:rPr>
          <w:rFonts w:ascii="Times New Roman" w:cs="Times New Roman" w:eastAsia="Times New Roman" w:hAnsi="Times New Roman"/>
          <w:sz w:val="24"/>
          <w:szCs w:val="24"/>
          <w:highlight w:val="white"/>
          <w:rtl w:val="0"/>
        </w:rPr>
        <w:t xml:space="preserve">) de sua regulação à </w:t>
      </w:r>
      <w:r w:rsidDel="00000000" w:rsidR="00000000" w:rsidRPr="00000000">
        <w:rPr>
          <w:rFonts w:ascii="Times New Roman" w:cs="Times New Roman" w:eastAsia="Times New Roman" w:hAnsi="Times New Roman"/>
          <w:sz w:val="24"/>
          <w:szCs w:val="24"/>
          <w:rtl w:val="0"/>
        </w:rPr>
        <w:t xml:space="preserve">possibilidade</w:t>
      </w:r>
      <w:r w:rsidDel="00000000" w:rsidR="00000000" w:rsidRPr="00000000">
        <w:rPr>
          <w:rFonts w:ascii="Times New Roman" w:cs="Times New Roman" w:eastAsia="Times New Roman" w:hAnsi="Times New Roman"/>
          <w:sz w:val="24"/>
          <w:szCs w:val="24"/>
          <w:highlight w:val="white"/>
          <w:rtl w:val="0"/>
        </w:rPr>
        <w:t xml:space="preserve"> de sua utilização </w:t>
      </w:r>
      <w:r w:rsidDel="00000000" w:rsidR="00000000" w:rsidRPr="00000000">
        <w:rPr>
          <w:rFonts w:ascii="Times New Roman" w:cs="Times New Roman" w:eastAsia="Times New Roman" w:hAnsi="Times New Roman"/>
          <w:sz w:val="24"/>
          <w:szCs w:val="24"/>
          <w:rtl w:val="0"/>
        </w:rPr>
        <w:t xml:space="preserve">como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ferramenta</w:t>
      </w:r>
      <w:r w:rsidDel="00000000" w:rsidR="00000000" w:rsidRPr="00000000">
        <w:rPr>
          <w:rFonts w:ascii="Times New Roman" w:cs="Times New Roman" w:eastAsia="Times New Roman" w:hAnsi="Times New Roman"/>
          <w:sz w:val="24"/>
          <w:szCs w:val="24"/>
          <w:highlight w:val="white"/>
          <w:rtl w:val="0"/>
        </w:rPr>
        <w:t xml:space="preserve"> de </w:t>
      </w:r>
      <w:r w:rsidDel="00000000" w:rsidR="00000000" w:rsidRPr="00000000">
        <w:rPr>
          <w:rFonts w:ascii="Times New Roman" w:cs="Times New Roman" w:eastAsia="Times New Roman" w:hAnsi="Times New Roman"/>
          <w:sz w:val="24"/>
          <w:szCs w:val="24"/>
          <w:rtl w:val="0"/>
        </w:rPr>
        <w:t xml:space="preserve">subsídio</w:t>
      </w:r>
      <w:r w:rsidDel="00000000" w:rsidR="00000000" w:rsidRPr="00000000">
        <w:rPr>
          <w:rFonts w:ascii="Times New Roman" w:cs="Times New Roman" w:eastAsia="Times New Roman" w:hAnsi="Times New Roman"/>
          <w:sz w:val="24"/>
          <w:szCs w:val="24"/>
          <w:highlight w:val="white"/>
          <w:rtl w:val="0"/>
        </w:rPr>
        <w:t xml:space="preserve"> à práticas ilícitas.</w:t>
      </w:r>
      <w:r w:rsidDel="00000000" w:rsidR="00000000" w:rsidRPr="00000000">
        <w:rPr>
          <w:rtl w:val="0"/>
        </w:rPr>
      </w:r>
    </w:p>
    <w:p w:rsidR="00000000" w:rsidDel="00000000" w:rsidP="00000000" w:rsidRDefault="00000000" w:rsidRPr="00000000" w14:paraId="00000077">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numPr>
          <w:ilvl w:val="0"/>
          <w:numId w:val="1"/>
        </w:numPr>
        <w:spacing w:line="360" w:lineRule="auto"/>
        <w:ind w:left="283.46456692913375" w:hanging="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CRIPTOMOEDAS OU MOEDAS VIRTUAIS: ASPECTOS ECONÔMICOS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Do ponto de vista econômico, de acordo com o Fundo Monetário Internacional (FMI), os principais atributos caracterizadores das moedas virtuais seriam:</w:t>
      </w:r>
    </w:p>
    <w:p w:rsidR="00000000" w:rsidDel="00000000" w:rsidP="00000000" w:rsidRDefault="00000000" w:rsidRPr="00000000" w14:paraId="0000007B">
      <w:pPr>
        <w:spacing w:line="14.39999999999999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Moedas Virtuais ou Criptomoedas são representações digitais de valor, expedidas por desenvolvedores privados e denominadas em sua própria unidade de registro. Elas podem ser adquiridas, armazenadas, acessadas e transacionadas de forma eletrônica, e podem ser utilizadas para uma variedade de propósitos, desde que as partes contratantes concordem com o uso delas. (HE et al.,, 2016, p.7, tradução nossa)</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7D">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E">
      <w:pPr>
        <w:spacing w:line="14.399999999999999"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mesmo sentido,</w:t>
        <w:tab/>
        <w:t xml:space="preserve">além do FMI, a Autoridade Bancária Europeia emitiu uma nota de opinião sobre o Criptomoedas, estabelecendo a seguinte definição:</w:t>
      </w:r>
    </w:p>
    <w:p w:rsidR="00000000" w:rsidDel="00000000" w:rsidP="00000000" w:rsidRDefault="00000000" w:rsidRPr="00000000" w14:paraId="00000080">
      <w:pPr>
        <w:spacing w:line="14.399999999999999"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Criptomoedas são definidas com uma representação digital de valor que não é emitida por um banco central ou autoridade pública, tampouco vinculadas a uma moeda convencional, sendo elas utilizadas por pessoas físicas ou jurídicas como instrumento de permuta e podendo serem transferidas, armazenadas ou comercializadas eletronicamente. (EBA, 2014, p.11, tradução nossa</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2">
      <w:pPr>
        <w:spacing w:line="240"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4">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as informações retromencionadas, podemos estabelecer cinco atributos indispensáveis à caracterização de moedas virtuais, nem se tratando de um rol taxativo.</w:t>
      </w:r>
    </w:p>
    <w:p w:rsidR="00000000" w:rsidDel="00000000" w:rsidP="00000000" w:rsidRDefault="00000000" w:rsidRPr="00000000" w14:paraId="00000085">
      <w:pPr>
        <w:spacing w:line="14.399999999999999"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deles diz respeito ao fato de que as moedas virtuais representam valores digitalmente, diferente das moedas tradicionais, elas não são “impressas” ou cunhadas em algum metal para que possam circular e exercer seu poder de troca. Portanto, uma espécie de “dinheiro” virtual que é movimentado através da internet, sendo dividido entre membros ou comunidades de grupos, gerado através de algoritmos escritos em linguagem de programação que representam uma sequência de operações ou instruções, e raciocínios,  resultando em uma forma de “receita” que, se bem executada, resultará em um objetivo que se deseja. </w:t>
      </w:r>
    </w:p>
    <w:p w:rsidR="00000000" w:rsidDel="00000000" w:rsidP="00000000" w:rsidRDefault="00000000" w:rsidRPr="00000000" w14:paraId="00000087">
      <w:pPr>
        <w:spacing w:line="14.399999999999999"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ind w:lef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Em segundo lugar, as criptomoedas não possuem curso legal. O conceito de curso legal foi bem apresentado pelo ex-ministro do Supremo Tribunal Federal (STF), Eros Grau, em seu voto no julgamento do RE 478410 - SP no ano de 2010, cabendo aqui a sua citação, Eros (2010): O curso legal - expressa a qualidade de valor líquido da moeda, em razão do que ela não pode ser recusada. O curso legal assegura a ampla circulação e imposição de aceitação da moeda; daí a sua caracterização como meio de pagamento</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89">
      <w:pPr>
        <w:spacing w:line="14.39999999999999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Dessa forma, as moedas virtuais, não possuem obrigatoriedade em sua aceitação como forma de adimplemento de uma obrigação financeira, ficando a critério dos envolvidos, em uma possível relação de credor e devedor, aceitar ou não essa forma de pagamento, nem são dotadas de ampla circulação, já que pertence ao meio virtual e não podem ser comercializadas por todos. </w:t>
      </w:r>
    </w:p>
    <w:p w:rsidR="00000000" w:rsidDel="00000000" w:rsidP="00000000" w:rsidRDefault="00000000" w:rsidRPr="00000000" w14:paraId="0000008B">
      <w:pPr>
        <w:spacing w:line="14.399999999999999"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terceiro atributo caracterizado das criptomoedas é que elas são “conversíveis” no mundo real em bens, serviços e até mesmo em moedas oficiais. As moedas virtuais, apesar de não ter aceitação obrigatória, as pessoas podem optar por receber elas em forma de pagamento ou recompensa e até mesmo passar essas moedas para outras pessoas ou para alguma instituição de pagamento em troca de alguma moeda. </w:t>
      </w:r>
    </w:p>
    <w:p w:rsidR="00000000" w:rsidDel="00000000" w:rsidP="00000000" w:rsidRDefault="00000000" w:rsidRPr="00000000" w14:paraId="0000008D">
      <w:pPr>
        <w:spacing w:line="14.39999999999999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quarta característica temos que as moedas virtuais</w:t>
      </w:r>
      <w:r w:rsidDel="00000000" w:rsidR="00000000" w:rsidRPr="00000000">
        <w:rPr>
          <w:rFonts w:ascii="Times New Roman" w:cs="Times New Roman" w:eastAsia="Times New Roman" w:hAnsi="Times New Roman"/>
          <w:sz w:val="24"/>
          <w:szCs w:val="24"/>
          <w:rtl w:val="0"/>
        </w:rPr>
        <w:t xml:space="preserve">  são dotadas de caráter “descentralizado”, pois sua criação, emissão e circulação, não dependem de autoridades centrais e nem por elas são controladas. Sendo a criptomoeda uma representação de valor digital criada e emitida por desenvolvedores particulares, através de algoritmos. Logo, são </w:t>
      </w:r>
      <w:r w:rsidDel="00000000" w:rsidR="00000000" w:rsidRPr="00000000">
        <w:rPr>
          <w:rFonts w:ascii="Times New Roman" w:cs="Times New Roman" w:eastAsia="Times New Roman" w:hAnsi="Times New Roman"/>
          <w:sz w:val="24"/>
          <w:szCs w:val="24"/>
          <w:highlight w:val="white"/>
          <w:rtl w:val="0"/>
        </w:rPr>
        <w:t xml:space="preserve">moedas que estão no mercado sem o intermédio de uma autoridade estatal para assegurar o seu valor ou a sua autenticidade. Ao contrário do que ocorre com as moedas tradicionais, a emissão de moedas virtuais não é controlada por uma nação, e a transferência destas moedas, na teoria, não necessita da validação por nenhum agente financeiro.</w:t>
      </w:r>
      <w:r w:rsidDel="00000000" w:rsidR="00000000" w:rsidRPr="00000000">
        <w:rPr>
          <w:rtl w:val="0"/>
        </w:rPr>
      </w:r>
    </w:p>
    <w:p w:rsidR="00000000" w:rsidDel="00000000" w:rsidP="00000000" w:rsidRDefault="00000000" w:rsidRPr="00000000" w14:paraId="0000008F">
      <w:pPr>
        <w:spacing w:line="14.399999999999999"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fazem uso de tecnologia criptográfica para validação. As moedas virtuais, são transferidas entre pessoas, convertidas em moedas legais ou utilizadas como forma de pagamento, através da tecnologia conhecida como </w:t>
      </w:r>
      <w:r w:rsidDel="00000000" w:rsidR="00000000" w:rsidRPr="00000000">
        <w:rPr>
          <w:rFonts w:ascii="Times New Roman" w:cs="Times New Roman" w:eastAsia="Times New Roman" w:hAnsi="Times New Roman"/>
          <w:i w:val="1"/>
          <w:sz w:val="24"/>
          <w:szCs w:val="24"/>
          <w:rtl w:val="0"/>
        </w:rPr>
        <w:t xml:space="preserve">blockchain</w:t>
      </w:r>
      <w:r w:rsidDel="00000000" w:rsidR="00000000" w:rsidRPr="00000000">
        <w:rPr>
          <w:rFonts w:ascii="Times New Roman" w:cs="Times New Roman" w:eastAsia="Times New Roman" w:hAnsi="Times New Roman"/>
          <w:sz w:val="24"/>
          <w:szCs w:val="24"/>
          <w:rtl w:val="0"/>
        </w:rPr>
        <w:t xml:space="preserve"> (corrente de blocos).</w:t>
      </w:r>
    </w:p>
    <w:p w:rsidR="00000000" w:rsidDel="00000000" w:rsidP="00000000" w:rsidRDefault="00000000" w:rsidRPr="00000000" w14:paraId="00000091">
      <w:pPr>
        <w:spacing w:line="14.399999999999999"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palavras de Tapscott e Tapscott, 2017:</w:t>
      </w:r>
    </w:p>
    <w:p w:rsidR="00000000" w:rsidDel="00000000" w:rsidP="00000000" w:rsidRDefault="00000000" w:rsidRPr="00000000" w14:paraId="00000093">
      <w:pPr>
        <w:spacing w:line="14.399999999999999"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Embora a tecnologia seja complicada e a palavra </w:t>
      </w:r>
      <w:r w:rsidDel="00000000" w:rsidR="00000000" w:rsidRPr="00000000">
        <w:rPr>
          <w:rFonts w:ascii="Times New Roman" w:cs="Times New Roman" w:eastAsia="Times New Roman" w:hAnsi="Times New Roman"/>
          <w:i w:val="1"/>
          <w:rtl w:val="0"/>
        </w:rPr>
        <w:t xml:space="preserve">Blockchain</w:t>
      </w:r>
      <w:r w:rsidDel="00000000" w:rsidR="00000000" w:rsidRPr="00000000">
        <w:rPr>
          <w:rFonts w:ascii="Times New Roman" w:cs="Times New Roman" w:eastAsia="Times New Roman" w:hAnsi="Times New Roman"/>
          <w:rtl w:val="0"/>
        </w:rPr>
        <w:t xml:space="preserve"> não seja exatamente sonora, a ideia principal é simples. Os </w:t>
      </w:r>
      <w:r w:rsidDel="00000000" w:rsidR="00000000" w:rsidRPr="00000000">
        <w:rPr>
          <w:rFonts w:ascii="Times New Roman" w:cs="Times New Roman" w:eastAsia="Times New Roman" w:hAnsi="Times New Roman"/>
          <w:i w:val="1"/>
          <w:rtl w:val="0"/>
        </w:rPr>
        <w:t xml:space="preserve">Blockchains </w:t>
      </w:r>
      <w:r w:rsidDel="00000000" w:rsidR="00000000" w:rsidRPr="00000000">
        <w:rPr>
          <w:rFonts w:ascii="Times New Roman" w:cs="Times New Roman" w:eastAsia="Times New Roman" w:hAnsi="Times New Roman"/>
          <w:rtl w:val="0"/>
        </w:rPr>
        <w:t xml:space="preserve">nos permitem enviar dinheiro de forma direta e com segurança, sem passar por um banco, uma empresa de cartão de crédito ou o PayPal. Em vez da Internet da Informação, é a Internet do Valor ou da Moeda. É, ainda, uma plataforma para que todos saibam o que é verdadeiro, pelo menos no que diz respeito à informação estruturada e gravada. No seu aspecto mais básico, é um código fonte aberto: qualquer um pode, gratuitamente, baixá-lo, executá-lo e usá-lo para desenvolver novas ferramentas para gerenciamento de transações on-line. Como tal, ele tem o potencial para desencadear inúmeras novas aplicações, além da capacidade iminente de transformar muitas coisas. O Bitcoin, ou outra moeda digital, não é salvo em um artigo em algum lugar; é representado por transações registradas em um Blockchain - como uma espécie de planilha ou livro-razão global, que aproveita os recursos de uma grande rede Bitcoin ponto a ponto para verificar e aprovar cada operação dessa moeda digital. Cada Blockchain, como o que usa Bitcoin, é distribuído: ele é executado em computadores fornecidos por voluntários ao redor do mundo; não há nenhum base de dados central para hackear.</w:t>
      </w:r>
    </w:p>
    <w:p w:rsidR="00000000" w:rsidDel="00000000" w:rsidP="00000000" w:rsidRDefault="00000000" w:rsidRPr="00000000" w14:paraId="00000095">
      <w:pPr>
        <w:spacing w:line="14.39999999999999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Através do </w:t>
      </w:r>
      <w:r w:rsidDel="00000000" w:rsidR="00000000" w:rsidRPr="00000000">
        <w:rPr>
          <w:rFonts w:ascii="Times New Roman" w:cs="Times New Roman" w:eastAsia="Times New Roman" w:hAnsi="Times New Roman"/>
          <w:i w:val="1"/>
          <w:sz w:val="24"/>
          <w:szCs w:val="24"/>
          <w:rtl w:val="0"/>
        </w:rPr>
        <w:t xml:space="preserve">blockchain</w:t>
      </w:r>
      <w:r w:rsidDel="00000000" w:rsidR="00000000" w:rsidRPr="00000000">
        <w:rPr>
          <w:rFonts w:ascii="Times New Roman" w:cs="Times New Roman" w:eastAsia="Times New Roman" w:hAnsi="Times New Roman"/>
          <w:sz w:val="24"/>
          <w:szCs w:val="24"/>
          <w:rtl w:val="0"/>
        </w:rPr>
        <w:t xml:space="preserve"> as transações envolvendo moedas virtuais, que utilizam essa tecnologia, possuem uma certificação da sua segurança contra violações e quanto a sua origem, pois armazenam informações sobre todas as transações realizadas com a mesma em uma espécie de corrente de blocos. A respeito do efetivo funcionamento, os mesmos autores afirmam:</w:t>
      </w:r>
    </w:p>
    <w:p w:rsidR="00000000" w:rsidDel="00000000" w:rsidP="00000000" w:rsidRDefault="00000000" w:rsidRPr="00000000" w14:paraId="00000097">
      <w:pPr>
        <w:spacing w:line="14.39999999999999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Blockchain é público: qualquer pessoa pode vê-lo a qualquer momento, pois reside na rede e não dentro de uma única instituição encarregada de operações de auditoria e manutenção de registros. E é criptografado: ele usa criptografia pesada, envolvendo chaves públicas e privadas (semelhante ao sistema de duas chaves para acessar uma caixa forte) para manter a segurança virtual. A cada dez minutos, como o batimento cardíaco da rede Bitcoin, todas transações realizadas são verificadas, liberadas e armazenadas em um bloco que está ligado ao bloco anterior, criando assim uma corrente. Cada bloco deve se referir ao anterior para ser válido. Essa estrutura marca permanentemente o momento e armazena as trocas de valor, impedindo que qualquer pessoa altere o livro-razão. Se quisesse roubar um Bitcoin, você terá que reescrever toda a história da moeda no Blockchain em plena luz do dia. Isso é praticamente impossível. Assim o Blockchain é um livro-razão distribuído que representa um consenso de cada operação que já ocorreu na rede. (TAPSCOTT, TAPSCOTT, 2017, p.8).</w:t>
      </w:r>
    </w:p>
    <w:p w:rsidR="00000000" w:rsidDel="00000000" w:rsidP="00000000" w:rsidRDefault="00000000" w:rsidRPr="00000000" w14:paraId="00000099">
      <w:pPr>
        <w:spacing w:line="240"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B">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Depreende-se do trecho acima que o </w:t>
      </w:r>
      <w:r w:rsidDel="00000000" w:rsidR="00000000" w:rsidRPr="00000000">
        <w:rPr>
          <w:rFonts w:ascii="Times New Roman" w:cs="Times New Roman" w:eastAsia="Times New Roman" w:hAnsi="Times New Roman"/>
          <w:i w:val="1"/>
          <w:sz w:val="24"/>
          <w:szCs w:val="24"/>
          <w:rtl w:val="0"/>
        </w:rPr>
        <w:t xml:space="preserve">blockchain</w:t>
      </w:r>
      <w:r w:rsidDel="00000000" w:rsidR="00000000" w:rsidRPr="00000000">
        <w:rPr>
          <w:rFonts w:ascii="Times New Roman" w:cs="Times New Roman" w:eastAsia="Times New Roman" w:hAnsi="Times New Roman"/>
          <w:sz w:val="24"/>
          <w:szCs w:val="24"/>
          <w:rtl w:val="0"/>
        </w:rPr>
        <w:t xml:space="preserve"> é uma espécie de corrente que é composta por informações pretéritas e as atuais de uma moeda virtual compiladas em blocos respectivos, sendo essa corrente condição </w:t>
      </w:r>
      <w:r w:rsidDel="00000000" w:rsidR="00000000" w:rsidRPr="00000000">
        <w:rPr>
          <w:rFonts w:ascii="Times New Roman" w:cs="Times New Roman" w:eastAsia="Times New Roman" w:hAnsi="Times New Roman"/>
          <w:i w:val="1"/>
          <w:sz w:val="24"/>
          <w:szCs w:val="24"/>
          <w:rtl w:val="0"/>
        </w:rPr>
        <w:t xml:space="preserve">sine qua non</w:t>
      </w:r>
      <w:r w:rsidDel="00000000" w:rsidR="00000000" w:rsidRPr="00000000">
        <w:rPr>
          <w:rFonts w:ascii="Times New Roman" w:cs="Times New Roman" w:eastAsia="Times New Roman" w:hAnsi="Times New Roman"/>
          <w:sz w:val="24"/>
          <w:szCs w:val="24"/>
          <w:rtl w:val="0"/>
        </w:rPr>
        <w:t xml:space="preserve"> para que uma futura operação ocorra. A segurança das transações é garantida por esse sistema, que por ser público, distribuído em vários dispositivos eletrônicos conectados à rede mundial de computadores e não existindo uma base central de armazenamento dessas informações, para hackear uma moeda virtual seria necessário o acesso à inúmeros dispositivos, simultaneamente, com o objetivo de realizar um rastreio de todas as operações que aquela moeda já passou, o que se mostra bastante improvável pois demandaria muito tempo para realização desse processo de reconstrução do histórico dela, além de que as moedas virtuais estão em constante operação, então provavelmente quando fosse reescrito o passado desta, já existiria outras operações que seriam inseridas no código, gerando um ciclo quase infinito.</w:t>
      </w:r>
    </w:p>
    <w:p w:rsidR="00000000" w:rsidDel="00000000" w:rsidP="00000000" w:rsidRDefault="00000000" w:rsidRPr="00000000" w14:paraId="0000009D">
      <w:pPr>
        <w:spacing w:line="14.39999999999999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Outra fator é a impossibilidade da operação de reembolso de valores negociados em moedas virtuais, pois para desfazer uma transferência seria retirado um dos blocos da corrente que guarnece o código da mesma, o que levaria à quebra da sequência, fato que impossibilitaria o manuseio desta moeda. Não fica, porém, um compensação de valores impossibilitada, pois o recebedor pode, caso deseje, devolver a moeda ao usuário que lhe enviou. Desta forma, cada operação em moeda virtual deve ser muito bem pensada antes de ser realizada.</w:t>
      </w:r>
    </w:p>
    <w:p w:rsidR="00000000" w:rsidDel="00000000" w:rsidP="00000000" w:rsidRDefault="00000000" w:rsidRPr="00000000" w14:paraId="0000009F">
      <w:pPr>
        <w:spacing w:line="14.39999999999999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Criptomoedas ou moedas virtuais são sinônimos e constituem um gênero no qual podemos identificá-las. Atualmente, existem milhares de diferentes moedas virtuais que variam com relação aos métodos, formas, tecnologias envolvidas, nomenclaturas e finalidades distintas (Bitcoins, Ethereum, Ripple, EOS, etc), levando em consideração também que elas são criadas diariamente podendo ser produzidas por qualquer pessoa, mas, todas são espécies do gênero moedas virtuais. </w:t>
      </w:r>
    </w:p>
    <w:p w:rsidR="00000000" w:rsidDel="00000000" w:rsidP="00000000" w:rsidRDefault="00000000" w:rsidRPr="00000000" w14:paraId="000000A1">
      <w:pPr>
        <w:spacing w:line="14.39999999999999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primeira moeda virtual foi o Bitcoin, atribui-se sua criação a Satoshi Nakamoto, natural do Japão seria a pessoa responsável pela criação do Bitcoin, existindo a possibilidade do nome Nakamoto se tratar de um pseudônimo de um grupo de pessoas, se supõe que ele começou a trabalhar no conceito dessa moeda virtual no ano de 2007, porém, apenas veio a ser comercializada em 2010.</w:t>
      </w:r>
    </w:p>
    <w:p w:rsidR="00000000" w:rsidDel="00000000" w:rsidP="00000000" w:rsidRDefault="00000000" w:rsidRPr="00000000" w14:paraId="000000A3">
      <w:pPr>
        <w:spacing w:line="14.399999999999999"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dia 18 de agosto de 2008, surgiu o site </w:t>
      </w:r>
      <w:r w:rsidDel="00000000" w:rsidR="00000000" w:rsidRPr="00000000">
        <w:rPr>
          <w:rFonts w:ascii="Times New Roman" w:cs="Times New Roman" w:eastAsia="Times New Roman" w:hAnsi="Times New Roman"/>
          <w:sz w:val="23"/>
          <w:szCs w:val="23"/>
          <w:rtl w:val="0"/>
        </w:rPr>
        <w:t xml:space="preserve">Bitcoin.org</w:t>
      </w:r>
      <w:r w:rsidDel="00000000" w:rsidR="00000000" w:rsidRPr="00000000">
        <w:rPr>
          <w:rFonts w:ascii="Times New Roman" w:cs="Times New Roman" w:eastAsia="Times New Roman" w:hAnsi="Times New Roman"/>
          <w:sz w:val="24"/>
          <w:szCs w:val="24"/>
          <w:rtl w:val="0"/>
        </w:rPr>
        <w:t xml:space="preserve">, que teve seu domínio registrado no</w:t>
      </w:r>
      <w:r w:rsidDel="00000000" w:rsidR="00000000" w:rsidRPr="00000000">
        <w:rPr>
          <w:rFonts w:ascii="Times New Roman" w:cs="Times New Roman" w:eastAsia="Times New Roman" w:hAnsi="Times New Roman"/>
          <w:i w:val="1"/>
          <w:sz w:val="24"/>
          <w:szCs w:val="24"/>
          <w:rtl w:val="0"/>
        </w:rPr>
        <w:t xml:space="preserve"> anonymousspeech </w:t>
      </w:r>
      <w:r w:rsidDel="00000000" w:rsidR="00000000" w:rsidRPr="00000000">
        <w:rPr>
          <w:rFonts w:ascii="Times New Roman" w:cs="Times New Roman" w:eastAsia="Times New Roman" w:hAnsi="Times New Roman"/>
          <w:sz w:val="24"/>
          <w:szCs w:val="24"/>
          <w:rtl w:val="0"/>
        </w:rPr>
        <w:t xml:space="preserve">que garante o anonimato dos proprietários de endereços eletrônicos, além de permitir a hospedagem anônima de informações.</w:t>
      </w:r>
    </w:p>
    <w:p w:rsidR="00000000" w:rsidDel="00000000" w:rsidP="00000000" w:rsidRDefault="00000000" w:rsidRPr="00000000" w14:paraId="000000A5">
      <w:pPr>
        <w:spacing w:line="14.39999999999999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primeira transação financeira realizada em Bitcoin, como forma de pagamento, foi realizada em 12 de janeiro de 2009, por seu suposto criador Satoshi  Nakamoto </w:t>
      </w:r>
      <w:r w:rsidDel="00000000" w:rsidR="00000000" w:rsidRPr="00000000">
        <w:rPr>
          <w:rFonts w:ascii="Times New Roman" w:cs="Times New Roman" w:eastAsia="Times New Roman" w:hAnsi="Times New Roman"/>
          <w:sz w:val="24"/>
          <w:szCs w:val="24"/>
          <w:rtl w:val="0"/>
        </w:rPr>
        <w:t xml:space="preserve">para contratar os serviços de um cientista da computação, desenvolvedor de criptografia, chamado </w:t>
      </w:r>
      <w:r w:rsidDel="00000000" w:rsidR="00000000" w:rsidRPr="00000000">
        <w:rPr>
          <w:rFonts w:ascii="Times New Roman" w:cs="Times New Roman" w:eastAsia="Times New Roman" w:hAnsi="Times New Roman"/>
          <w:sz w:val="24"/>
          <w:szCs w:val="24"/>
          <w:rtl w:val="0"/>
        </w:rPr>
        <w:t xml:space="preserve">Harold Thomas Finney II, conhecido no mundo virtual apenas como Hal Finney.</w:t>
      </w:r>
      <w:r w:rsidDel="00000000" w:rsidR="00000000" w:rsidRPr="00000000">
        <w:rPr>
          <w:rtl w:val="0"/>
        </w:rPr>
      </w:r>
    </w:p>
    <w:p w:rsidR="00000000" w:rsidDel="00000000" w:rsidP="00000000" w:rsidRDefault="00000000" w:rsidRPr="00000000" w14:paraId="000000A7">
      <w:pPr>
        <w:spacing w:line="14.399999999999999"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360" w:lineRule="auto"/>
        <w:ind w:left="0" w:firstLine="720"/>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Essa criptomoeda</w:t>
      </w:r>
      <w:r w:rsidDel="00000000" w:rsidR="00000000" w:rsidRPr="00000000">
        <w:rPr>
          <w:rFonts w:ascii="Times New Roman" w:cs="Times New Roman" w:eastAsia="Times New Roman" w:hAnsi="Times New Roman"/>
          <w:sz w:val="24"/>
          <w:szCs w:val="24"/>
          <w:rtl w:val="0"/>
        </w:rPr>
        <w:t xml:space="preserve"> foi originalmente quantificada em 5 de outubro de 2009 e, na ocasião, US$ 1,00 (um dólar dos Estados Unidos da América) equivalia a 1.309 Bitcoins (em Reais, na cotação da época, R$ 1,00 equivaleria a 753,16 Bitcoins)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Esse valor foi definido, pela empresa de câmbio New Liberty Standard, naquela data com base numa equação que quantificava o gasto com energia elétrica utilizada para ligar o computador que gerava os Bitcoins.</w:t>
      </w:r>
      <w:r w:rsidDel="00000000" w:rsidR="00000000" w:rsidRPr="00000000">
        <w:rPr>
          <w:rFonts w:ascii="Times New Roman" w:cs="Times New Roman" w:eastAsia="Times New Roman" w:hAnsi="Times New Roman"/>
          <w:sz w:val="24"/>
          <w:szCs w:val="24"/>
          <w:vertAlign w:val="subscript"/>
          <w:rtl w:val="0"/>
        </w:rPr>
        <w:t xml:space="preserve">.</w:t>
      </w:r>
    </w:p>
    <w:p w:rsidR="00000000" w:rsidDel="00000000" w:rsidP="00000000" w:rsidRDefault="00000000" w:rsidRPr="00000000" w14:paraId="000000A9">
      <w:pPr>
        <w:spacing w:line="14.399999999999999" w:lineRule="auto"/>
        <w:ind w:left="0" w:firstLine="708.6614173228347"/>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A">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ano de 2010</w:t>
      </w:r>
      <w:r w:rsidDel="00000000" w:rsidR="00000000" w:rsidRPr="00000000">
        <w:rPr>
          <w:rFonts w:ascii="Times New Roman" w:cs="Times New Roman" w:eastAsia="Times New Roman" w:hAnsi="Times New Roman"/>
          <w:sz w:val="24"/>
          <w:szCs w:val="24"/>
          <w:rtl w:val="0"/>
        </w:rPr>
        <w:t xml:space="preserve">, em 6 de março, essa moeda virtual é comercializada no mercado através do Bitcoin Market, site que realizava conversão de moeda real em criptomoedas. </w:t>
      </w:r>
    </w:p>
    <w:p w:rsidR="00000000" w:rsidDel="00000000" w:rsidP="00000000" w:rsidRDefault="00000000" w:rsidRPr="00000000" w14:paraId="000000AB">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forma surpreendente, no dia 3 de janeiro de 2017, a cotação da unidade do Bitcoin no mercado brasileiro alcança aproximadamente R$ 4.100,00. Em 30 de novembro desse mesmo ano, os Bitcoins são comercializados em território nacional por R$ 40.680,00 a unidade.</w:t>
      </w:r>
    </w:p>
    <w:p w:rsidR="00000000" w:rsidDel="00000000" w:rsidP="00000000" w:rsidRDefault="00000000" w:rsidRPr="00000000" w14:paraId="000000AD">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termos numéricos, a mesma quantidade de Bitcoins que poderia ser adquirida no final de 2009 por R$ 1,00 custaria mais de R$ 30,3 milhões no final de novembro de 2017. Ainda em termos numéricos, um investimento de R$ 11.500,00 feito com base na primeira cotação do Bitcoin, se realizado ao final de novembro de 2017 na cotação acima, transformaria o investidor no homem mais rico do mundo, com patrimônio superior a US$ 100 bilhões. </w:t>
      </w:r>
    </w:p>
    <w:p w:rsidR="00000000" w:rsidDel="00000000" w:rsidP="00000000" w:rsidRDefault="00000000" w:rsidRPr="00000000" w14:paraId="000000AF">
      <w:pPr>
        <w:spacing w:line="14.39999999999999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por serem as moedas virtuais, descentralizadas, logo, não estão elas sob o controle de nenhuma autoridade, fato que facilita sua utilização de discreta, ainda possuem uma inviolabilidade garantida pela tecnologia blockchain que conferem segurança às moedas virtuais. As criptomoedas chamam atenção quanto ao notável impacto que elas podem gerar no cenário econômico através de suas exorbitantes cifras e seu alto valor de conversão em moedas legais.</w:t>
      </w:r>
    </w:p>
    <w:p w:rsidR="00000000" w:rsidDel="00000000" w:rsidP="00000000" w:rsidRDefault="00000000" w:rsidRPr="00000000" w14:paraId="000000B1">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numPr>
          <w:ilvl w:val="0"/>
          <w:numId w:val="1"/>
        </w:numPr>
        <w:spacing w:line="360" w:lineRule="auto"/>
        <w:ind w:left="283.46456692913375" w:hanging="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NATUREZA JURÍDICA DAS MOEDAS VIRTUAIS</w:t>
      </w:r>
    </w:p>
    <w:p w:rsidR="00000000" w:rsidDel="00000000" w:rsidP="00000000" w:rsidRDefault="00000000" w:rsidRPr="00000000" w14:paraId="000000B3">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delimitação dos elementos caracterizadores, nomenclatura e relevância, nos direcionamos à análise das considerações jurídicas sobre a natureza das das criptomoedas, sob os auspícios da legislação brasileira, bem como a atual concepção atribuída pelo ordenamento jurídico pátrio.</w:t>
      </w:r>
    </w:p>
    <w:p w:rsidR="00000000" w:rsidDel="00000000" w:rsidP="00000000" w:rsidRDefault="00000000" w:rsidRPr="00000000" w14:paraId="000000B5">
      <w:pPr>
        <w:spacing w:line="14.399999999999999"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Moeda, juridicamente, segundo a lei n° 8.880/94 que dispõe sobre o Sistema Monetário Nacional, se refere a um padrão de valor monetário exclusivo, dotado de natureza liberatória de obrigações patrimoniais, visto que é dotada de curso legal e de exclusiva emissão pela União, por meio de órgão competente. </w:t>
      </w:r>
    </w:p>
    <w:p w:rsidR="00000000" w:rsidDel="00000000" w:rsidP="00000000" w:rsidRDefault="00000000" w:rsidRPr="00000000" w14:paraId="000000B7">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o tema, o STF já se pronunciou no julgamento do RE 478410, em 13 de maio de 2010.</w:t>
      </w:r>
    </w:p>
    <w:p w:rsidR="00000000" w:rsidDel="00000000" w:rsidP="00000000" w:rsidRDefault="00000000" w:rsidRPr="00000000" w14:paraId="000000B9">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40" w:lineRule="auto"/>
        <w:ind w:left="2267.71653543307"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SUPREMO TRIBUNAL FEDERAL STF - Recurso Especial: 478410 SP. Relator: Min. Luiz Fux, Tribunal Pleno, julgado em 15/12/2011, ACÓRDÃO ELETRÔNICO DJe- 03-02-2012, Publicado 06-02-2012, RDDT n.199, p.145-150: </w:t>
      </w:r>
      <w:r w:rsidDel="00000000" w:rsidR="00000000" w:rsidRPr="00000000">
        <w:rPr>
          <w:rFonts w:ascii="Times New Roman" w:cs="Times New Roman" w:eastAsia="Times New Roman" w:hAnsi="Times New Roman"/>
          <w:highlight w:val="white"/>
          <w:rtl w:val="0"/>
        </w:rPr>
        <w:t xml:space="preserve">A funcionalidade do conceito de moeda revela-se em sua utilização no plano das relações jurídicas. O instrumento monetário válido é padrão de valor, enquanto instrumento de pagamento sendo dotado de poder liberatório: sua entrega ao credor libera o devedor. Poder liberatório é qualidade, da moeda enquanto instrumento de pagamento, que se manifesta exclusivamente no plano jurídico: somente ela permite essa liberação indiscriminada, a todo sujeito de direito, no que tange a débitos de caráter patrimonial. 4. A aptidão da moeda para o cumprimento dessas funções decorre da circunstância de ser ela tocada pelos atributos do curso legal e do curso forçado. </w:t>
      </w:r>
    </w:p>
    <w:p w:rsidR="00000000" w:rsidDel="00000000" w:rsidP="00000000" w:rsidRDefault="00000000" w:rsidRPr="00000000" w14:paraId="000000BB">
      <w:pPr>
        <w:spacing w:line="14.399999999999999" w:lineRule="auto"/>
        <w:ind w:left="2267.71653543307"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C">
      <w:pPr>
        <w:spacing w:line="14.399999999999999" w:lineRule="auto"/>
        <w:ind w:left="2267.71653543307"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D">
      <w:pPr>
        <w:spacing w:line="14.399999999999999" w:lineRule="auto"/>
        <w:ind w:left="2267.71653543307"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E">
      <w:pPr>
        <w:spacing w:line="14.399999999999999" w:lineRule="auto"/>
        <w:ind w:left="2267.71653543307"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F">
      <w:pPr>
        <w:spacing w:line="14.399999999999999" w:lineRule="auto"/>
        <w:ind w:left="2267.71653543307"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0">
      <w:pPr>
        <w:spacing w:line="14.399999999999999" w:lineRule="auto"/>
        <w:ind w:left="2267.71653543307"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1">
      <w:pPr>
        <w:spacing w:line="14.399999999999999" w:lineRule="auto"/>
        <w:ind w:left="2267.71653543307"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2">
      <w:pPr>
        <w:spacing w:line="14.399999999999999" w:lineRule="auto"/>
        <w:ind w:left="2267.71653543307"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3">
      <w:pPr>
        <w:spacing w:line="14.39999999999999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14.39999999999999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no entendimento do STF a moeda para que exerça sua finalidade de adimplir com uma obrigação de caráter monetário e não possa ser recusada pelo credor como forma de pagamento, ela deve possuir os atributos de padrão de valor exclusivo, natureza liberatória e curso legal.</w:t>
      </w:r>
    </w:p>
    <w:p w:rsidR="00000000" w:rsidDel="00000000" w:rsidP="00000000" w:rsidRDefault="00000000" w:rsidRPr="00000000" w14:paraId="000000C6">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padrão de valor exclusivo, ele pode ser melhor compreendido sob a perspectiva mercantil, onde se estabelece um meio de troca, sendo este exclusivo, que será aceito por todos, para aquisição de mercadorias e serviços, como afirma Varela (2015. p.12):</w:t>
      </w:r>
    </w:p>
    <w:p w:rsidR="00000000" w:rsidDel="00000000" w:rsidP="00000000" w:rsidRDefault="00000000" w:rsidRPr="00000000" w14:paraId="000000C8">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Diz-se que padrão de valor exclusivo é um mecanismo desenvolvido pelo mercado para quantificar os valores das mercadorias através de um único meio de troca – por isso se diz que é exclusivo. Este tem o fim de facilitar o processo de troca e, consequentemente, aumentar a velocidade dos trâmites comerciais, intensificando e otimizando a dinâmica do mercado.</w:t>
      </w:r>
    </w:p>
    <w:p w:rsidR="00000000" w:rsidDel="00000000" w:rsidP="00000000" w:rsidRDefault="00000000" w:rsidRPr="00000000" w14:paraId="000000CA">
      <w:pPr>
        <w:spacing w:line="14.399999999999999"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spacing w:line="14.399999999999999"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spacing w:line="14.399999999999999"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spacing w:line="14.399999999999999"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spacing w:line="14.399999999999999"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pacing w:line="14.399999999999999"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spacing w:line="14.399999999999999"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pacing w:line="14.399999999999999"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3">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Natureza liberatória de obrigações significa que através do uso da moeda podemos adimplir qualquer obrigação patrimonial. Sendo assim, o credor de uma obrigação patrimonial não pode se negar a dar quitação ao devedor que entregue o valor correspondente que o contrato lhe impõe, em moeda, com curso legal nacional. Nesse sentido, nas palavras de Lopes e Rossetti, (2002. p.23): </w:t>
      </w:r>
    </w:p>
    <w:p w:rsidR="00000000" w:rsidDel="00000000" w:rsidP="00000000" w:rsidRDefault="00000000" w:rsidRPr="00000000" w14:paraId="000000D4">
      <w:pPr>
        <w:spacing w:line="14.399999999999999"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moeda, como nenhum outro ativo, detém um poder que a distingue de quaisquer outras formas de riqueza possuídas por um agente econômico – o poder de saldar dívidas, de liquidar débitos, de livrar seu detentor de uma situação passiva. Dá-se a esta particularidade da moeda a denominação de poder liberatório ou função liberatória. Esse poder é garantido pelo Estado, que pode forçar o curso da moeda, impondo sua aceitação como forma de pagamento.</w:t>
      </w:r>
    </w:p>
    <w:p w:rsidR="00000000" w:rsidDel="00000000" w:rsidP="00000000" w:rsidRDefault="00000000" w:rsidRPr="00000000" w14:paraId="000000D6">
      <w:pPr>
        <w:spacing w:line="14.399999999999999"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pacing w:line="14.399999999999999"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pacing w:line="14.399999999999999"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spacing w:line="14.399999999999999"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B">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C">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D">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E">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moeda, na ótica jurídica, possui a atribuição de curso legal, pois circula no mercado, dentro do perímetro territorial de competência da união, dotada de força de aceitação vinculante, isto significa que ela não pode ser recusada para fins de exaurimento de obrigação de caráter patrimonial baseada na pecúnia. Sendo assim, segundo Cózer (2006):</w:t>
      </w:r>
    </w:p>
    <w:p w:rsidR="00000000" w:rsidDel="00000000" w:rsidP="00000000" w:rsidRDefault="00000000" w:rsidRPr="00000000" w14:paraId="000000DF">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meio do curso legal, estabelece-se a aceitação compulsória da moeda para a quitação de dívidas: ela não pode ser recusada, caso seja oferecida em pagamento de uma obrigação pecuniária. A atribuição do curso legal confere à moeda a condição de meio de pagamento, ou seja, um instrumento de troca juridicamente idôneo para a quitação de obrigações. Isso implica que, sob o ponto de vista da definição ortodoxa de moeda , um meio de pagamento é um meio de troca dotado de curso legal.</w:t>
      </w:r>
    </w:p>
    <w:p w:rsidR="00000000" w:rsidDel="00000000" w:rsidP="00000000" w:rsidRDefault="00000000" w:rsidRPr="00000000" w14:paraId="000000E1">
      <w:pPr>
        <w:spacing w:line="14.399999999999999"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spacing w:line="360"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3">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 moeda é emitida exclusivamente pela a União, Desta forma, através da Constituição da República, os legisladores constituintes determinaram que o Estado é a única instituição legítima para emitir moeda, em decorrência à previsão expressa no Artigo 21, inciso VII da Constituição Federal, “Compete à União (...), VII - emitir moeda”.</w:t>
      </w:r>
    </w:p>
    <w:p w:rsidR="00000000" w:rsidDel="00000000" w:rsidP="00000000" w:rsidRDefault="00000000" w:rsidRPr="00000000" w14:paraId="000000E4">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Contrastando as características entre criptomoedas e moedas, em sentido legal, percebemos que elas destoam em vários aspectos, enquanto uma tem sua representação de valor virtualmente a outra é dotada de um padrão de valor monetário e determinado pelo mercado. As criptomoedas não possuem curso legal, ou seja, a sua aceitação não é obrigatória em nosso país, por outro lado a moeda tem seu recebimento vinculado, sendo sua recusa inadmissível para fins de adimplemento de obrigação pecuniária. Ainda temos, respectivamente, uma que não está sujeita ao controle estatal, não respondendo à nenhuma autoridade central, em contra partida da última é emitida exclusivamente pela união e por ela regulada.</w:t>
      </w:r>
    </w:p>
    <w:p w:rsidR="00000000" w:rsidDel="00000000" w:rsidP="00000000" w:rsidRDefault="00000000" w:rsidRPr="00000000" w14:paraId="000000E5">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assim, as criptomoedas, </w:t>
      </w:r>
      <w:r w:rsidDel="00000000" w:rsidR="00000000" w:rsidRPr="00000000">
        <w:rPr>
          <w:rFonts w:ascii="Times New Roman" w:cs="Times New Roman" w:eastAsia="Times New Roman" w:hAnsi="Times New Roman"/>
          <w:sz w:val="24"/>
          <w:szCs w:val="24"/>
          <w:rtl w:val="0"/>
        </w:rPr>
        <w:t xml:space="preserve">por não possuírem os atributos de moedas</w:t>
      </w:r>
      <w:r w:rsidDel="00000000" w:rsidR="00000000" w:rsidRPr="00000000">
        <w:rPr>
          <w:rFonts w:ascii="Times New Roman" w:cs="Times New Roman" w:eastAsia="Times New Roman" w:hAnsi="Times New Roman"/>
          <w:sz w:val="24"/>
          <w:szCs w:val="24"/>
          <w:rtl w:val="0"/>
        </w:rPr>
        <w:t xml:space="preserve">, legalmente, não podem ser assim reconhecidas no ordenamento jurídico brasileiro, restando apenas uma adequação do seu conceito, apresentado anteriormente, as normas do nosso país, nas palavras de Monteiro (2018, p.629).</w:t>
      </w:r>
    </w:p>
    <w:p w:rsidR="00000000" w:rsidDel="00000000" w:rsidP="00000000" w:rsidRDefault="00000000" w:rsidRPr="00000000" w14:paraId="000000E7">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Inicialmente, cumpre registrar que a Lei n. 9.069/95, resultado da conversão da Medida Provisória n. 1.027/95, instituiu o “REAL” como a unidade exclusiva do Sistema Monetário Nacional, determinando que essa unidade passaria a ter curso legal em todo o território nacional. Sendo o Real exclusivo, a legislação brasileira não reconhece as moedas virtuais como moeda de referência, tampouco lhes impõe curso legal.</w:t>
      </w:r>
    </w:p>
    <w:p w:rsidR="00000000" w:rsidDel="00000000" w:rsidP="00000000" w:rsidRDefault="00000000" w:rsidRPr="00000000" w14:paraId="000000E9">
      <w:pPr>
        <w:spacing w:line="14.399999999999999"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09 de outubro de 2013, foi promulgada a lei de n°12.865, que regula o novo sistema de pagamento brasileiro que criou a possibilidade de normatização dos sistemas de pagamento móvel e a adoção de moedas eletrônicas.</w:t>
      </w:r>
    </w:p>
    <w:p w:rsidR="00000000" w:rsidDel="00000000" w:rsidP="00000000" w:rsidRDefault="00000000" w:rsidRPr="00000000" w14:paraId="000000F3">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t xml:space="preserve"> </w:t>
        <w:tab/>
      </w:r>
      <w:r w:rsidDel="00000000" w:rsidR="00000000" w:rsidRPr="00000000">
        <w:rPr>
          <w:rFonts w:ascii="Times New Roman" w:cs="Times New Roman" w:eastAsia="Times New Roman" w:hAnsi="Times New Roman"/>
          <w:sz w:val="24"/>
          <w:szCs w:val="24"/>
          <w:rtl w:val="0"/>
        </w:rPr>
        <w:t xml:space="preserve">A lei n° 12.865 estabeleceu, dentre outras coisas, os modelos de arranjo de pagamentos e as instituições de pagamentos que constituem o Sistema de Pagamentos Brasileiro, o SPB, determinando arranjo de pagamento como sendo um conjunto de regras e procedimentos que disciplinam a prestação de determinado serviço de pagamento ao público aceito por mais de um recebedor, mediante acesso direto pelos usuários finais, pagadores e recebedores. Definiu, ainda, que instituições de pagamento são caracterizadas como pessoas jurídicas que, aderindo a um ou mais arranjos de pagamento, tenha como atividade principal ou acessória, alternativa ou cumulativamente, uma das atividades listadas em seu art.6, inciso II,</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alíneas a-h:</w:t>
      </w:r>
    </w:p>
    <w:p w:rsidR="00000000" w:rsidDel="00000000" w:rsidP="00000000" w:rsidRDefault="00000000" w:rsidRPr="00000000" w14:paraId="000000F5">
      <w:pPr>
        <w:spacing w:line="14.399999999999999"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6º Para os efeitos das normas aplicáveis aos arranjos e às instituições de pagamento que passam a integrar o Sistema de Pagamentos Brasileiro (SPB), nos termos desta Lei, considera-se:</w:t>
      </w:r>
    </w:p>
    <w:p w:rsidR="00000000" w:rsidDel="00000000" w:rsidP="00000000" w:rsidRDefault="00000000" w:rsidRPr="00000000" w14:paraId="000000F7">
      <w:pPr>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 instituição de pagamento - pessoa jurídica que, aderindo a um ou mais arranjos de pagamento, tenha como atividade principal ou acessória, alternativa ou cumulativamente:</w:t>
      </w:r>
    </w:p>
    <w:p w:rsidR="00000000" w:rsidDel="00000000" w:rsidP="00000000" w:rsidRDefault="00000000" w:rsidRPr="00000000" w14:paraId="000000F8">
      <w:pPr>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converter moeda física ou escritural em moeda eletrônica, ou vice-versa, credenciar a aceitação ou gerir o uso de moeda eletrônica; (BRASIL, 2013)</w:t>
      </w:r>
    </w:p>
    <w:p w:rsidR="00000000" w:rsidDel="00000000" w:rsidP="00000000" w:rsidRDefault="00000000" w:rsidRPr="00000000" w14:paraId="000000F9">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A">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B">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C">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D">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E">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F">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0">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1">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2">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3">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4">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spacing w:line="14.399999999999999"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6">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Essa mesma lei, em seu art.6, inciso VI, trouxe uma definição do que seriam moedas eletrônicas, as conceituando como “recursos armazenados em dispositivo ou sistema eletrônico que permitem ao usuário final efetuar transação de pagamento”. </w:t>
      </w:r>
    </w:p>
    <w:p w:rsidR="00000000" w:rsidDel="00000000" w:rsidP="00000000" w:rsidRDefault="00000000" w:rsidRPr="00000000" w14:paraId="00000107">
      <w:pPr>
        <w:spacing w:line="14.39999999999999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moedas eletrônicas se assemelham com as moedas virtuais e em uma perspectiva superficial poderiam ser consideradas sinônimas. Porém, as moedas eletrônicas possuem padrão de valor exclusivo estando seu valor adstrito ao Real e têm a garantia de sua conversão em moeda nacional, enquanto as moedas virtuais são dotadas de auto-denominação</w:t>
      </w:r>
      <w:r w:rsidDel="00000000" w:rsidR="00000000" w:rsidRPr="00000000">
        <w:rPr>
          <w:rFonts w:ascii="Times New Roman" w:cs="Times New Roman" w:eastAsia="Times New Roman" w:hAnsi="Times New Roman"/>
          <w:sz w:val="24"/>
          <w:szCs w:val="24"/>
          <w:rtl w:val="0"/>
        </w:rPr>
        <w:t xml:space="preserve">, logo, são denominadas em unidade de conta que se diferenciam das moedas emitidas por governos soberanos, e não caracterizam dispositivo ou sistema eletrônico para armazenamento em moeda nacional, além de poderem ser convertidas em qualquer moedas, de forma não obrigatória e garantida.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9">
      <w:pPr>
        <w:spacing w:line="14.39999999999999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é o entendimento do Banco Central (2014), de acordo com o comunicado n° 25.306, que estabeleceu </w:t>
      </w:r>
      <w:r w:rsidDel="00000000" w:rsidR="00000000" w:rsidRPr="00000000">
        <w:rPr>
          <w:rFonts w:ascii="Times New Roman" w:cs="Times New Roman" w:eastAsia="Times New Roman" w:hAnsi="Times New Roman"/>
          <w:sz w:val="24"/>
          <w:szCs w:val="24"/>
          <w:rtl w:val="0"/>
        </w:rPr>
        <w:t xml:space="preserve">que “as chamadas moedas virtuais não se confundem com a “moeda eletrônica” de que tratam a Lei nº 12.865, de 9 de outubro de 2013, e sua regulamentação infralegal”. Sendo assim, não há ainda previsão na lei, em sentido estrito, quanto à natureza ou regulamentação das moedas virtuais no Brasil, nem sobre o tratamento tributário que deve ser atribuído à elas, apesar das autoridade estarem cientes da sua utilização e existência.</w:t>
      </w:r>
    </w:p>
    <w:p w:rsidR="00000000" w:rsidDel="00000000" w:rsidP="00000000" w:rsidRDefault="00000000" w:rsidRPr="00000000" w14:paraId="0000010B">
      <w:pPr>
        <w:spacing w:line="14.399999999999999"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Todavia, de acordo com o art.96 da Código Tributário Nacional (1996), </w:t>
      </w:r>
      <w:r w:rsidDel="00000000" w:rsidR="00000000" w:rsidRPr="00000000">
        <w:rPr>
          <w:rFonts w:ascii="Times New Roman" w:cs="Times New Roman" w:eastAsia="Times New Roman" w:hAnsi="Times New Roman"/>
          <w:sz w:val="24"/>
          <w:szCs w:val="24"/>
          <w:highlight w:val="white"/>
          <w:rtl w:val="0"/>
        </w:rPr>
        <w:t xml:space="preserve">a “expressão "legislação tributária" compreende as leis, os tratados e as convenções internacionais, os decretos e as normas complementares que versem, no todo ou em parte, sobre tributos e relações jurídicas a eles pertinentes”, desta forma um possível enquadramento tributário das criptomoedas não fica adstrito à lei, em sentido estrito, podendo também ser determinado por decretos e normas complementares.</w:t>
      </w:r>
      <w:r w:rsidDel="00000000" w:rsidR="00000000" w:rsidRPr="00000000">
        <w:rPr>
          <w:rtl w:val="0"/>
        </w:rPr>
      </w:r>
    </w:p>
    <w:p w:rsidR="00000000" w:rsidDel="00000000" w:rsidP="00000000" w:rsidRDefault="00000000" w:rsidRPr="00000000" w14:paraId="0000010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numPr>
          <w:ilvl w:val="0"/>
          <w:numId w:val="1"/>
        </w:numPr>
        <w:spacing w:line="360" w:lineRule="auto"/>
        <w:ind w:left="283.46456692913375" w:hanging="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ENQUADRAMENTO TRIBUTÁRIO DAS CRIPTOMOEDAS.</w:t>
      </w:r>
    </w:p>
    <w:p w:rsidR="00000000" w:rsidDel="00000000" w:rsidP="00000000" w:rsidRDefault="00000000" w:rsidRPr="00000000" w14:paraId="0000010F">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Enquadramento tributário é o conjunto de regras, previstos na legislação tributária, que regem e indicam a forma que um determinado bem ou atividade devem ser declarados por pessoa física ou jurídica de forma viabilizar a cobrança dos tributos incidentes, ressaltando que o conceito de legislação tributária compreende leis, tratados, convenções internacionais, decretos e as normas complementares que aludem, no todo ou em parte, sobre tributos e relações jurídicas a eles pertinentes.</w:t>
      </w:r>
    </w:p>
    <w:p w:rsidR="00000000" w:rsidDel="00000000" w:rsidP="00000000" w:rsidRDefault="00000000" w:rsidRPr="00000000" w14:paraId="00000111">
      <w:pPr>
        <w:spacing w:line="14.39999999999999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Sendo assim, a Secretaria Especial da Receita Federal do Brasil (RFB) emitiu a instrução normativa n°1.888, vigente desde o dia 01 de agosto de 2019, que instituiu e disciplinou a obrigatoriedade de prestação de informações relativas às operações envolvendo moedas virtuais. Nesta instrução está presente a forma como essa prestação de informações se dará, quem deve prestar (pessoa física ou jurídica residente ou domiciliada no Brasil bem como os respectivos prazos para essa prestação.</w:t>
      </w:r>
    </w:p>
    <w:p w:rsidR="00000000" w:rsidDel="00000000" w:rsidP="00000000" w:rsidRDefault="00000000" w:rsidRPr="00000000" w14:paraId="00000113">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Além de apresentar o conceito de criptomoedas, prevê a figura do exchange de criptoativos como sendo </w:t>
      </w:r>
      <w:r w:rsidDel="00000000" w:rsidR="00000000" w:rsidRPr="00000000">
        <w:rPr>
          <w:rFonts w:ascii="Times New Roman" w:cs="Times New Roman" w:eastAsia="Times New Roman" w:hAnsi="Times New Roman"/>
          <w:sz w:val="24"/>
          <w:szCs w:val="24"/>
          <w:highlight w:val="white"/>
          <w:rtl w:val="0"/>
        </w:rPr>
        <w:t xml:space="preserve">a pessoa jurídica, mesmo que não financeira, que oferte serviços relativos a operações efetuadas com criptoativos, inclusive intermediação, negociação ou custódia, e que pode aceitar quaisquer meios de pagamento, inclusive outras criptomoedas, estabelecendo que está incluída no conceito de intermediação de operações realizadas com criptoativos, a disponibilização de ambientes para a realização das operações de compra e venda de criptoativo realizadas entre os próprios usuários de seus serviços, que também estão incluídos como sujeitos passivos das obrigações tributárias previstas na instrução normativa da RFB.</w:t>
      </w:r>
    </w:p>
    <w:p w:rsidR="00000000" w:rsidDel="00000000" w:rsidP="00000000" w:rsidRDefault="00000000" w:rsidRPr="00000000" w14:paraId="00000114">
      <w:pPr>
        <w:spacing w:line="14.399999999999999"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A instrução normativa da RFB, definiu que o enquadramento da criptomoeda seria o de Imposto de Renda da Pessoa Física, considerando a mesma,</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highlight w:val="white"/>
          <w:rtl w:val="0"/>
        </w:rPr>
        <w:t xml:space="preserve">para fins de tributação, como um bem. Portanto, para fins de apuração do ganho de capital, sobre a variação entre o valor de venda e o valor de compra incidirá a alíquota do imposto de renda. A instrução atribui à criptomoeda, a denominação de “criptoativo”.</w:t>
      </w:r>
    </w:p>
    <w:p w:rsidR="00000000" w:rsidDel="00000000" w:rsidP="00000000" w:rsidRDefault="00000000" w:rsidRPr="00000000" w14:paraId="00000116">
      <w:pPr>
        <w:spacing w:line="14.399999999999999"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O art.6, §2° da instrução normativa prevê que a obrigatoriedade de prestar informações aplica-se à pessoa física ou jurídica à RFB que realize as operações de compra e venda, bem como, permuta, doação, transferência e retirada de criptoativo para exchange, cessão temporária, dação em pagamento, emissão e outras operações que envolverem transferência de criptoativos, sempre que o valor mensal destas, isolado ou conjuntamente, ultrapassarem R$ 30.000,00 (trinta mil reais), sendo assim, as que forem abaixo desse valor estão isentas de fornecerem esses dados. </w:t>
      </w:r>
    </w:p>
    <w:p w:rsidR="00000000" w:rsidDel="00000000" w:rsidP="00000000" w:rsidRDefault="00000000" w:rsidRPr="00000000" w14:paraId="00000118">
      <w:pPr>
        <w:spacing w:line="14.399999999999999"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9">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informações requeridas são: a data da operação, o tipo da operação, os seus titulares, qual o criptoativos utilizado para o negócio bem como sua quantidade, o valor da operação (quantidade de criptoativos convertidos em Real), além do valor das taxas de serviços necessário para efetivação da operação, por último o endereço da carteira virtual que serão enviados os criptoativos. As operações deverão estar comprovadas através de documentação hábil e idônea para fins de tributação, tais como: os comprovantes de pagamento na aquisição da moeda, cópias dos extratos fornecidos pelas entidades que as gerenciam, etc.</w:t>
      </w:r>
    </w:p>
    <w:p w:rsidR="00000000" w:rsidDel="00000000" w:rsidP="00000000" w:rsidRDefault="00000000" w:rsidRPr="00000000" w14:paraId="0000011A">
      <w:pPr>
        <w:spacing w:line="14.399999999999999"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De acordo com art.7, parágrafo único da instrução normativa em questão, as informações sobre titularidade se refere ao nome, a nacionalidade, o domicílio fiscal, endereço de residência e domicílio, número de inscrição no Cadastro de Pessoas Físicas (CPF) ou no Cadastro Nacional da Pessoa Jurídica ou número de identificação fiscal no exterior (NIF), daqueles que estão realizando a operação que envolve criptoativo.</w:t>
      </w:r>
    </w:p>
    <w:p w:rsidR="00000000" w:rsidDel="00000000" w:rsidP="00000000" w:rsidRDefault="00000000" w:rsidRPr="00000000" w14:paraId="0000011C">
      <w:pPr>
        <w:spacing w:line="14.399999999999999"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As operações de compra e venda, quando os valores alienados superem a quantia de R$ 30.000,00 (trinta mil reais) ao mês, devem ser declaradas no mês posterior com base na apuração do ganho capital, que é a variação entre o valor de venda e o valor de compra,  e sobre ele incidirá a alíquota do imposto de renda segundo o art.6, §1° da instrução normativa n° 1.888. </w:t>
      </w:r>
    </w:p>
    <w:p w:rsidR="00000000" w:rsidDel="00000000" w:rsidP="00000000" w:rsidRDefault="00000000" w:rsidRPr="00000000" w14:paraId="0000011E">
      <w:pPr>
        <w:spacing w:line="14.399999999999999"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F">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título de exemplo, uma aquisição de criptoativos, no mês de fevereiro, cujo valor de compra foi de R$ 100.000,00 (cem mil reais) e posteriormente o contribuinte vendeu a aludida quantidade, no mês de março, por R$ 135.000,00 (cento e trinta e cinco mil reais), no caso o ganho de capital apurado será o valor de venda menos o valor de compra que será de R$ 35.000,00 (trinta e cinco mil reais), sendo este último valor o considerado para fins de tributação, no caso incidindo a alíquota do IRPF 22,5% resultando no valor que deve ser recolhido.</w:t>
      </w:r>
    </w:p>
    <w:p w:rsidR="00000000" w:rsidDel="00000000" w:rsidP="00000000" w:rsidRDefault="00000000" w:rsidRPr="00000000" w14:paraId="00000120">
      <w:pPr>
        <w:spacing w:line="14.399999999999999"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1">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 situação retromencionada, as informações deverão ser transmitidas à RFB mensalmente até às 23h59min59s (vinte e três horas, cinquenta e nove minutos e cinquenta e nove segundos), horário de Brasília, do último dia útil do mês subsequente do que ocorreu as operações envolvendo criptoativos, é o que prevê o art. 8 da instrução normativa n° 1.888.</w:t>
      </w:r>
    </w:p>
    <w:p w:rsidR="00000000" w:rsidDel="00000000" w:rsidP="00000000" w:rsidRDefault="00000000" w:rsidRPr="00000000" w14:paraId="00000122">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r>
    </w:p>
    <w:p w:rsidR="00000000" w:rsidDel="00000000" w:rsidP="00000000" w:rsidRDefault="00000000" w:rsidRPr="00000000" w14:paraId="00000123">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No art.9 da mesma instrução, está previsto que as exchanges de criptoativos domiciliadas no Brasil, independente do valor das operações, devem prestar no dia 31 de dezembro de cada ano as seguintes informações sobre cada usuário, o saldo de cada espécie de criptoativos em unidades do mesmo, além do custo em reais da obtenção de cada espécie de criptoativo.</w:t>
      </w:r>
    </w:p>
    <w:p w:rsidR="00000000" w:rsidDel="00000000" w:rsidP="00000000" w:rsidRDefault="00000000" w:rsidRPr="00000000" w14:paraId="00000124">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5">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Caso as pessoas físicas ou jurídicas, que se enquadrem nas situações retromencionadas, deixem de prestar, omitam ou prestem de forma inexatas, incompleta ou incorretas, as informações sobre as operações com cripto ativos estarão sujeitas à penalidade de multa que varia de R$ 500,00 (quinhentos reais) à 3% (três por cento) do valor de cada operação, é o que estabelece o art.10 e seguintes da instrução normativa.</w:t>
      </w:r>
    </w:p>
    <w:p w:rsidR="00000000" w:rsidDel="00000000" w:rsidP="00000000" w:rsidRDefault="00000000" w:rsidRPr="00000000" w14:paraId="00000126">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7">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 fim, a declaração para incidência do IRPF se dará ao final do exercício anual,  onde o contribuinte que tiver posse de criptoativos deverá declará-la à RFB por meio da declaração anual na ficha de bens e direitos como “outros bens” (código 99), já que não foi incluído, até o momento um código específico para criptoativos. Caso o contribuinte não tenha apurado os ganhos capitais na alienação de criptotivos no mês corrente, poderá se auto regularizar informando os ganhos através do Programa de Apuração de Ganhos de Capital (GCAP) de forma retroativa, onde o tributo deverá ser recolhido com atraso incluindo a multa e correção, que podem ser calculados por meio do </w:t>
      </w:r>
      <w:r w:rsidDel="00000000" w:rsidR="00000000" w:rsidRPr="00000000">
        <w:rPr>
          <w:rFonts w:ascii="Times New Roman" w:cs="Times New Roman" w:eastAsia="Times New Roman" w:hAnsi="Times New Roman"/>
          <w:sz w:val="24"/>
          <w:szCs w:val="24"/>
          <w:highlight w:val="white"/>
          <w:rtl w:val="0"/>
        </w:rPr>
        <w:t xml:space="preserve">Sistema de Cálculo de Acréscimos Legais da Receita Federal (SICALC), onde será gerado um Documento de Arrecadação de Receitas Federais (DARF).</w:t>
      </w:r>
    </w:p>
    <w:p w:rsidR="00000000" w:rsidDel="00000000" w:rsidP="00000000" w:rsidRDefault="00000000" w:rsidRPr="00000000" w14:paraId="00000128">
      <w:pPr>
        <w:spacing w:line="14.399999999999999"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9">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instrução normativa não faz menção quanto a origem dos ganhos obtidos com criptoativos, logo podem resultar de atividade lícita ou ilícita. Para o direito tributário, a origem dos ganhos de capital, não possuem relevância, em razão da prevalência do brocardo “pecunia non olet”, que significa figurativamente que o dinheiro não tem cheiro, sendo a ocorrência do fato gerador suficiente para incidência do tributo, nas palavras de Sabbag (2017, p.126): </w:t>
      </w:r>
    </w:p>
    <w:p w:rsidR="00000000" w:rsidDel="00000000" w:rsidP="00000000" w:rsidRDefault="00000000" w:rsidRPr="00000000" w14:paraId="0000012A">
      <w:pPr>
        <w:spacing w:line="240" w:lineRule="auto"/>
        <w:ind w:left="2267.71653543307"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Não importa, para a ocorrência de um fator gerador, a natureza dos atos praticados nem de seus efeitos, de forma que, atos nulos ou ilícitos podem ser tributados, conforme o art. 118 do CTN. É a chamada interpretação objetiva do fato gerador, calcada na máxima latina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pecunia non olet</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14:paraId="0000012B">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r>
    </w:p>
    <w:p w:rsidR="00000000" w:rsidDel="00000000" w:rsidP="00000000" w:rsidRDefault="00000000" w:rsidRPr="00000000" w14:paraId="0000012C">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D">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E">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F">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0">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1">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2">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3">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4">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5">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6">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7">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8">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Essa interpretação coaduna com o disposto no princípio da isonomia que estabelece que é vedado à União, aos Estados, ao Distrito Federal e aos Municípios instituir tratamento desigual entre contribuintes que se encontrem em situação equivalente, proibida qualquer distinção em razão de ocupação profissional ou função por eles exercida, independentemente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w:t>
      </w:r>
      <w:r w:rsidDel="00000000" w:rsidR="00000000" w:rsidRPr="00000000">
        <w:rPr>
          <w:rFonts w:ascii="Times New Roman" w:cs="Times New Roman" w:eastAsia="Times New Roman" w:hAnsi="Times New Roman"/>
          <w:sz w:val="24"/>
          <w:szCs w:val="24"/>
          <w:highlight w:val="white"/>
          <w:rtl w:val="0"/>
        </w:rPr>
        <w:t xml:space="preserve"> denominação jurídica dos rendimentos, títulos ou direitos (CF/88, art. 150, II), desta forma se seria justo a tributação de ganhos lícitos e a não tributação dos ganhos ilícitos.</w:t>
      </w:r>
    </w:p>
    <w:p w:rsidR="00000000" w:rsidDel="00000000" w:rsidP="00000000" w:rsidRDefault="00000000" w:rsidRPr="00000000" w14:paraId="00000139">
      <w:pPr>
        <w:spacing w:line="14.399999999999999"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A">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Portanto, esse é o conjunto de normas que regem e disciplinam a tributação das operações que envolvem a utilização de criptoativos no Brasil, representando um marco regulatório e uma mínima fiscalização desse novo advento do mercado econômico.</w:t>
      </w:r>
    </w:p>
    <w:p w:rsidR="00000000" w:rsidDel="00000000" w:rsidP="00000000" w:rsidRDefault="00000000" w:rsidRPr="00000000" w14:paraId="0000013B">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C">
      <w:pPr>
        <w:numPr>
          <w:ilvl w:val="0"/>
          <w:numId w:val="1"/>
        </w:numPr>
        <w:spacing w:before="200" w:line="360" w:lineRule="auto"/>
        <w:ind w:left="425.19685039370086" w:hanging="283.464566929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13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Começamos a observar, de forma tímida, a popularização do uso das moedas virtuais, que atualmente estão em evidência, já que sua utilização e transferência não necessita de pagamento de taxas exorbitante à bancos e pode ser realizado apenas com um celular ou computador com acesso à internet</w:t>
      </w:r>
    </w:p>
    <w:p w:rsidR="00000000" w:rsidDel="00000000" w:rsidP="00000000" w:rsidRDefault="00000000" w:rsidRPr="00000000" w14:paraId="0000013F">
      <w:pPr>
        <w:spacing w:line="14.399999999999999"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spacing w:line="360" w:lineRule="auto"/>
        <w:ind w:lef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Nessa perspectiva, não se mostra equivocado dizer que, após alguns séculos, a inovação tecnológica fez retornar a antiga prática do escambo, mesmo que de forma virtual, ao núcleo da prática econômica. Além disso, esse progresso trouxe indagações à máxima de serem os Estados os centros e reguladores exclusivos de políticas monetárias.</w:t>
      </w:r>
      <w:r w:rsidDel="00000000" w:rsidR="00000000" w:rsidRPr="00000000">
        <w:rPr>
          <w:rtl w:val="0"/>
        </w:rPr>
      </w:r>
    </w:p>
    <w:p w:rsidR="00000000" w:rsidDel="00000000" w:rsidP="00000000" w:rsidRDefault="00000000" w:rsidRPr="00000000" w14:paraId="00000141">
      <w:pPr>
        <w:spacing w:line="14.399999999999999"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o que foi exposto, através da metodologia de pesquisa bibliográfica, as moedas virtuais podem constituir um forma de acumulação de riqueza, bem como podem ser utilizadas para adquirir bens e serviços, constituindo situações que independem do controle da união, mas que geram consequências no mundo tangível, não apenas no mundo virtual. </w:t>
      </w:r>
    </w:p>
    <w:p w:rsidR="00000000" w:rsidDel="00000000" w:rsidP="00000000" w:rsidRDefault="00000000" w:rsidRPr="00000000" w14:paraId="00000143">
      <w:pPr>
        <w:spacing w:line="14.399999999999999"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complexidade em determinar o tratamento tributário aplicável às moedas virtuais é diretamente proporcional à dificuldade em se determinar a natureza jurídica desse ativo virtual.</w:t>
      </w:r>
    </w:p>
    <w:p w:rsidR="00000000" w:rsidDel="00000000" w:rsidP="00000000" w:rsidRDefault="00000000" w:rsidRPr="00000000" w14:paraId="00000145">
      <w:pPr>
        <w:spacing w:line="14.399999999999999"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Existindo a necessidade de se estabelecer um paralelo entre o seu conceito e uma possível adequação em algum fato gerador previsto na legislação tributária, já que a circulação das criptomoedas movimentam valores variados. </w:t>
      </w:r>
    </w:p>
    <w:p w:rsidR="00000000" w:rsidDel="00000000" w:rsidP="00000000" w:rsidRDefault="00000000" w:rsidRPr="00000000" w14:paraId="00000147">
      <w:pPr>
        <w:spacing w:line="14.399999999999999"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Mesmo que não exista uma lei em sentido estrito, a legislação tributária já se antecipou em relação ao fenômeno das moedas virtuais e estabeleceu seu tratamento tributário bem como determinou os fatos geradores para incidência do IRPF, bem como estabeleceu como obrigação tributária acessória, o fornecimento de informações relativas às operações que envolvam criptoativos.</w:t>
      </w:r>
    </w:p>
    <w:p w:rsidR="00000000" w:rsidDel="00000000" w:rsidP="00000000" w:rsidRDefault="00000000" w:rsidRPr="00000000" w14:paraId="00000149">
      <w:pPr>
        <w:spacing w:line="14.399999999999999"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tecnologia vem mudando o mundo e a forma como o homem se relaciona em sociedade através de constantes inovações que primam pela rapidez e o desprendimento da burocracia estatal. Desta forma, o direito deve acompanhar essas mudanças e está atento às inovações do mercado, não de forma a interferir a ponto de obstaculizar demasiadamente os as relações, porém, de forma a garantir os direitos fundamentais do indivíduo em qualquer que seja o modo de relação.</w:t>
      </w:r>
    </w:p>
    <w:p w:rsidR="00000000" w:rsidDel="00000000" w:rsidP="00000000" w:rsidRDefault="00000000" w:rsidRPr="00000000" w14:paraId="0000014B">
      <w:pPr>
        <w:spacing w:line="14.399999999999999"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Portanto, este artigo, busca trazer uma reflexão sobre as novas tecnologias e seus impactos sociais e econômicos, além de convidar a todos a conhecerem as moedas virtuais do ponto de vista jurídico. Naturalmente, outros enfoques sobre outros ponto de vistas são necessários podem e devem ser dados, sendo o presente uma mera tentativa de listar alguns dos principais pontos de atenção na esfera tributária.</w:t>
      </w:r>
    </w:p>
    <w:p w:rsidR="00000000" w:rsidDel="00000000" w:rsidP="00000000" w:rsidRDefault="00000000" w:rsidRPr="00000000" w14:paraId="0000014D">
      <w:pPr>
        <w:spacing w:line="14.399999999999999"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Desta forma, como instrumento de regulação de condutas, o Direito deve refletir a realidade da sociedade e se adaptar às mudanças necessárias para garantir a liberdade e reprimir qualquer ato que gere danos à terceiros ou tenham tal potencial, como já certificou o filósofo contratualista Jhon Locke (1994, p.18): </w:t>
      </w:r>
      <w:r w:rsidDel="00000000" w:rsidR="00000000" w:rsidRPr="00000000">
        <w:rPr>
          <w:rFonts w:ascii="Times New Roman" w:cs="Times New Roman" w:eastAsia="Times New Roman" w:hAnsi="Times New Roman"/>
          <w:sz w:val="24"/>
          <w:szCs w:val="24"/>
          <w:rtl w:val="0"/>
        </w:rPr>
        <w:t xml:space="preserve">"Onde não há lei, não há liberdade; pois liberdade significa estar livre da restrição e violência causada por outros, o que não acontece onde não há leis".</w:t>
      </w:r>
    </w:p>
    <w:p w:rsidR="00000000" w:rsidDel="00000000" w:rsidP="00000000" w:rsidRDefault="00000000" w:rsidRPr="00000000" w14:paraId="0000014F">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151">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b w:val="1"/>
          <w:sz w:val="24"/>
          <w:szCs w:val="24"/>
          <w:rtl w:val="0"/>
        </w:rPr>
        <w:t xml:space="preserve">Lei n° 8.880</w:t>
      </w:r>
      <w:r w:rsidDel="00000000" w:rsidR="00000000" w:rsidRPr="00000000">
        <w:rPr>
          <w:rFonts w:ascii="Times New Roman" w:cs="Times New Roman" w:eastAsia="Times New Roman" w:hAnsi="Times New Roman"/>
          <w:sz w:val="24"/>
          <w:szCs w:val="24"/>
          <w:rtl w:val="0"/>
        </w:rPr>
        <w:t xml:space="preserve">, de 27 de maio de 1994. </w:t>
      </w:r>
      <w:r w:rsidDel="00000000" w:rsidR="00000000" w:rsidRPr="00000000">
        <w:rPr>
          <w:rFonts w:ascii="Times New Roman" w:cs="Times New Roman" w:eastAsia="Times New Roman" w:hAnsi="Times New Roman"/>
          <w:sz w:val="24"/>
          <w:szCs w:val="24"/>
          <w:highlight w:val="white"/>
          <w:rtl w:val="0"/>
        </w:rPr>
        <w:t xml:space="preserve">Dispõe sobre o Programa de Estabilização Econômica e o Sistema Monetário Nacional, institui a Unidade Real de Valor (URV) e dá outras providências</w:t>
      </w:r>
      <w:r w:rsidDel="00000000" w:rsidR="00000000" w:rsidRPr="00000000">
        <w:rPr>
          <w:rFonts w:ascii="Times New Roman" w:cs="Times New Roman" w:eastAsia="Times New Roman" w:hAnsi="Times New Roman"/>
          <w:sz w:val="24"/>
          <w:szCs w:val="24"/>
          <w:rtl w:val="0"/>
        </w:rPr>
        <w:t xml:space="preserve">. Disponível em: </w:t>
      </w:r>
      <w:hyperlink r:id="rId7">
        <w:r w:rsidDel="00000000" w:rsidR="00000000" w:rsidRPr="00000000">
          <w:rPr>
            <w:rFonts w:ascii="Times New Roman" w:cs="Times New Roman" w:eastAsia="Times New Roman" w:hAnsi="Times New Roman"/>
            <w:color w:val="1155cc"/>
            <w:sz w:val="24"/>
            <w:szCs w:val="24"/>
            <w:rtl w:val="0"/>
          </w:rPr>
          <w:t xml:space="preserve">http://www.planalto.gov.br/ccivil_03/LEIS/L8880.htm</w:t>
        </w:r>
      </w:hyperlink>
      <w:r w:rsidDel="00000000" w:rsidR="00000000" w:rsidRPr="00000000">
        <w:rPr>
          <w:rFonts w:ascii="Times New Roman" w:cs="Times New Roman" w:eastAsia="Times New Roman" w:hAnsi="Times New Roman"/>
          <w:sz w:val="24"/>
          <w:szCs w:val="24"/>
          <w:rtl w:val="0"/>
        </w:rPr>
        <w:t xml:space="preserve"> Acesso em: 28 de out.2019.</w:t>
      </w:r>
    </w:p>
    <w:p w:rsidR="00000000" w:rsidDel="00000000" w:rsidP="00000000" w:rsidRDefault="00000000" w:rsidRPr="00000000" w14:paraId="00000153">
      <w:pPr>
        <w:spacing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b w:val="1"/>
          <w:sz w:val="24"/>
          <w:szCs w:val="24"/>
          <w:rtl w:val="0"/>
        </w:rPr>
        <w:t xml:space="preserve">Lei n° 12.865</w:t>
      </w:r>
      <w:r w:rsidDel="00000000" w:rsidR="00000000" w:rsidRPr="00000000">
        <w:rPr>
          <w:rFonts w:ascii="Times New Roman" w:cs="Times New Roman" w:eastAsia="Times New Roman" w:hAnsi="Times New Roman"/>
          <w:sz w:val="24"/>
          <w:szCs w:val="24"/>
          <w:rtl w:val="0"/>
        </w:rPr>
        <w:t xml:space="preserve">, de 9 de outubro de 2013. (...) dispõe sobre os arranjos de pagamento e as instituições de pagamento integrantes do Sistema de Pagamentos Brasileiro - SPB (...), art. 6, inciso III, g. Disponível em </w:t>
      </w:r>
      <w:hyperlink r:id="rId8">
        <w:r w:rsidDel="00000000" w:rsidR="00000000" w:rsidRPr="00000000">
          <w:rPr>
            <w:rFonts w:ascii="Times New Roman" w:cs="Times New Roman" w:eastAsia="Times New Roman" w:hAnsi="Times New Roman"/>
            <w:color w:val="1155cc"/>
            <w:sz w:val="24"/>
            <w:szCs w:val="24"/>
            <w:rtl w:val="0"/>
          </w:rPr>
          <w:t xml:space="preserve">http://www.planalto.gov.br/ccivil_03/_Ato2011-2014/2013/Lei/L12865.htm</w:t>
        </w:r>
      </w:hyperlink>
      <w:r w:rsidDel="00000000" w:rsidR="00000000" w:rsidRPr="00000000">
        <w:rPr>
          <w:rFonts w:ascii="Times New Roman" w:cs="Times New Roman" w:eastAsia="Times New Roman" w:hAnsi="Times New Roman"/>
          <w:sz w:val="24"/>
          <w:szCs w:val="24"/>
          <w:rtl w:val="0"/>
        </w:rPr>
        <w:t xml:space="preserve"> Acesso em: 28 de out.2019.</w:t>
      </w:r>
    </w:p>
    <w:p w:rsidR="00000000" w:rsidDel="00000000" w:rsidP="00000000" w:rsidRDefault="00000000" w:rsidRPr="00000000" w14:paraId="0000015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Banco Central, </w:t>
      </w:r>
      <w:r w:rsidDel="00000000" w:rsidR="00000000" w:rsidRPr="00000000">
        <w:rPr>
          <w:rFonts w:ascii="Times New Roman" w:cs="Times New Roman" w:eastAsia="Times New Roman" w:hAnsi="Times New Roman"/>
          <w:b w:val="1"/>
          <w:sz w:val="24"/>
          <w:szCs w:val="24"/>
          <w:rtl w:val="0"/>
        </w:rPr>
        <w:t xml:space="preserve">Comunicado n°25.306</w:t>
      </w:r>
      <w:r w:rsidDel="00000000" w:rsidR="00000000" w:rsidRPr="00000000">
        <w:rPr>
          <w:rFonts w:ascii="Times New Roman" w:cs="Times New Roman" w:eastAsia="Times New Roman" w:hAnsi="Times New Roman"/>
          <w:sz w:val="24"/>
          <w:szCs w:val="24"/>
          <w:rtl w:val="0"/>
        </w:rPr>
        <w:t xml:space="preserve">, de 19 de fevereiro de 2014. Esclarece sobre os riscos decorrentes da aquisição das chamadas "moedas virtuais" ou "moedas criptografadas" e da realização de transações com elas. Disponível em: </w:t>
      </w:r>
      <w:hyperlink r:id="rId9">
        <w:r w:rsidDel="00000000" w:rsidR="00000000" w:rsidRPr="00000000">
          <w:rPr>
            <w:rFonts w:ascii="Times New Roman" w:cs="Times New Roman" w:eastAsia="Times New Roman" w:hAnsi="Times New Roman"/>
            <w:color w:val="1155cc"/>
            <w:sz w:val="24"/>
            <w:szCs w:val="24"/>
            <w:rtl w:val="0"/>
          </w:rPr>
          <w:t xml:space="preserve">https://www3.bcb.gov.br/normativo/detalharNormativo.do?method=detalharNormativo&amp;N=114009277</w:t>
        </w:r>
      </w:hyperlink>
      <w:r w:rsidDel="00000000" w:rsidR="00000000" w:rsidRPr="00000000">
        <w:rPr>
          <w:rFonts w:ascii="Times New Roman" w:cs="Times New Roman" w:eastAsia="Times New Roman" w:hAnsi="Times New Roman"/>
          <w:sz w:val="24"/>
          <w:szCs w:val="24"/>
          <w:rtl w:val="0"/>
        </w:rPr>
        <w:t xml:space="preserve">. Acesso em 05 de nov.2019.</w:t>
      </w:r>
    </w:p>
    <w:p w:rsidR="00000000" w:rsidDel="00000000" w:rsidP="00000000" w:rsidRDefault="00000000" w:rsidRPr="00000000" w14:paraId="0000015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BRASIL, Supremo Tribunal Federal. </w:t>
      </w:r>
      <w:r w:rsidDel="00000000" w:rsidR="00000000" w:rsidRPr="00000000">
        <w:rPr>
          <w:rFonts w:ascii="Times New Roman" w:cs="Times New Roman" w:eastAsia="Times New Roman" w:hAnsi="Times New Roman"/>
          <w:sz w:val="24"/>
          <w:szCs w:val="24"/>
          <w:highlight w:val="white"/>
          <w:rtl w:val="0"/>
        </w:rPr>
        <w:t xml:space="preserve">Ementa: Recurso Extraordinário. Contribuição Previdenciária. Incidência. Vale-transporte. Moeda. Curso Legal E Curso Forçado. Caráter Não Salarial Do Benefício. Artigo 150, I, Da Constituição Do Brasil. Constituição Como Totalidade Normativa. </w:t>
      </w:r>
      <w:r w:rsidDel="00000000" w:rsidR="00000000" w:rsidRPr="00000000">
        <w:rPr>
          <w:rFonts w:ascii="Times New Roman" w:cs="Times New Roman" w:eastAsia="Times New Roman" w:hAnsi="Times New Roman"/>
          <w:b w:val="1"/>
          <w:sz w:val="24"/>
          <w:szCs w:val="24"/>
          <w:highlight w:val="white"/>
          <w:rtl w:val="0"/>
        </w:rPr>
        <w:t xml:space="preserve">Recurso Extraordinário, n° 478410</w:t>
      </w:r>
      <w:r w:rsidDel="00000000" w:rsidR="00000000" w:rsidRPr="00000000">
        <w:rPr>
          <w:rFonts w:ascii="Times New Roman" w:cs="Times New Roman" w:eastAsia="Times New Roman" w:hAnsi="Times New Roman"/>
          <w:sz w:val="24"/>
          <w:szCs w:val="24"/>
          <w:highlight w:val="white"/>
          <w:rtl w:val="0"/>
        </w:rPr>
        <w:t xml:space="preserve">. Unibanco - União De Bancos Brasileiros S/A E Instituto Nacional Do Seguro Social - Inss. Relator: Min. Eros Grau, DJe, 14 de mai.2010.</w:t>
      </w:r>
    </w:p>
    <w:p w:rsidR="00000000" w:rsidDel="00000000" w:rsidP="00000000" w:rsidRDefault="00000000" w:rsidRPr="00000000" w14:paraId="0000015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COZER, C.O.L. </w:t>
      </w:r>
      <w:r w:rsidDel="00000000" w:rsidR="00000000" w:rsidRPr="00000000">
        <w:rPr>
          <w:rFonts w:ascii="Times New Roman" w:cs="Times New Roman" w:eastAsia="Times New Roman" w:hAnsi="Times New Roman"/>
          <w:b w:val="1"/>
          <w:sz w:val="24"/>
          <w:szCs w:val="24"/>
          <w:rtl w:val="0"/>
        </w:rPr>
        <w:t xml:space="preserve">Natureza E Propriedades Da Moeda: </w:t>
      </w:r>
      <w:r w:rsidDel="00000000" w:rsidR="00000000" w:rsidRPr="00000000">
        <w:rPr>
          <w:rFonts w:ascii="Times New Roman" w:cs="Times New Roman" w:eastAsia="Times New Roman" w:hAnsi="Times New Roman"/>
          <w:sz w:val="24"/>
          <w:szCs w:val="24"/>
          <w:rtl w:val="0"/>
        </w:rPr>
        <w:t xml:space="preserve">Contribuição Para O Estudo Do Direito Monetário No Brasil.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2006. </w:t>
      </w:r>
      <w:r w:rsidDel="00000000" w:rsidR="00000000" w:rsidRPr="00000000">
        <w:rPr>
          <w:rFonts w:ascii="Times New Roman" w:cs="Times New Roman" w:eastAsia="Times New Roman" w:hAnsi="Times New Roman"/>
          <w:sz w:val="24"/>
          <w:szCs w:val="24"/>
          <w:rtl w:val="0"/>
        </w:rPr>
        <w:t xml:space="preserve">Dissertação (Mestrado em Direito, Estado e Constituição) ─ Universidade de Brasília, Faculdade de Direito, Brasília.</w:t>
      </w:r>
    </w:p>
    <w:p w:rsidR="00000000" w:rsidDel="00000000" w:rsidP="00000000" w:rsidRDefault="00000000" w:rsidRPr="00000000" w14:paraId="0000015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EBA, 2014, </w:t>
      </w:r>
      <w:r w:rsidDel="00000000" w:rsidR="00000000" w:rsidRPr="00000000">
        <w:rPr>
          <w:rFonts w:ascii="Times New Roman" w:cs="Times New Roman" w:eastAsia="Times New Roman" w:hAnsi="Times New Roman"/>
          <w:b w:val="1"/>
          <w:sz w:val="24"/>
          <w:szCs w:val="24"/>
          <w:rtl w:val="0"/>
        </w:rPr>
        <w:t xml:space="preserve">Opinion on “Virtual Currencies”</w:t>
      </w:r>
      <w:r w:rsidDel="00000000" w:rsidR="00000000" w:rsidRPr="00000000">
        <w:rPr>
          <w:rFonts w:ascii="Times New Roman" w:cs="Times New Roman" w:eastAsia="Times New Roman" w:hAnsi="Times New Roman"/>
          <w:sz w:val="24"/>
          <w:szCs w:val="24"/>
          <w:rtl w:val="0"/>
        </w:rPr>
        <w:t xml:space="preserve">, p. 11. Disponível em: </w:t>
      </w:r>
      <w:hyperlink r:id="rId10">
        <w:r w:rsidDel="00000000" w:rsidR="00000000" w:rsidRPr="00000000">
          <w:rPr>
            <w:rFonts w:ascii="Times New Roman" w:cs="Times New Roman" w:eastAsia="Times New Roman" w:hAnsi="Times New Roman"/>
            <w:color w:val="1155cc"/>
            <w:sz w:val="24"/>
            <w:szCs w:val="24"/>
            <w:rtl w:val="0"/>
          </w:rPr>
          <w:t xml:space="preserve">https://eba.europa.eu/sites/default/documents/files/documents/10180/657547/81409b94-4222-45d7-ba3b-7deb5863ab57/EBA-Op-2014-08%20Opinion%20on%20Virtual%20Currencies.pdf</w:t>
        </w:r>
      </w:hyperlink>
      <w:r w:rsidDel="00000000" w:rsidR="00000000" w:rsidRPr="00000000">
        <w:rPr>
          <w:rFonts w:ascii="Times New Roman" w:cs="Times New Roman" w:eastAsia="Times New Roman" w:hAnsi="Times New Roman"/>
          <w:sz w:val="24"/>
          <w:szCs w:val="24"/>
          <w:rtl w:val="0"/>
        </w:rPr>
        <w:t xml:space="preserve">. Acesso em: 24 de out.2019.</w:t>
      </w:r>
    </w:p>
    <w:p w:rsidR="00000000" w:rsidDel="00000000" w:rsidP="00000000" w:rsidRDefault="00000000" w:rsidRPr="00000000" w14:paraId="0000015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ESTADOS UNIDOS DA AMÉRICA, 2014, </w:t>
      </w:r>
      <w:r w:rsidDel="00000000" w:rsidR="00000000" w:rsidRPr="00000000">
        <w:rPr>
          <w:rFonts w:ascii="Times New Roman" w:cs="Times New Roman" w:eastAsia="Times New Roman" w:hAnsi="Times New Roman"/>
          <w:b w:val="1"/>
          <w:sz w:val="24"/>
          <w:szCs w:val="24"/>
          <w:rtl w:val="0"/>
        </w:rPr>
        <w:t xml:space="preserve">Regulation of Bitcoin in Selected Jurisdictions</w:t>
      </w:r>
      <w:r w:rsidDel="00000000" w:rsidR="00000000" w:rsidRPr="00000000">
        <w:rPr>
          <w:rFonts w:ascii="Times New Roman" w:cs="Times New Roman" w:eastAsia="Times New Roman" w:hAnsi="Times New Roman"/>
          <w:sz w:val="24"/>
          <w:szCs w:val="24"/>
          <w:rtl w:val="0"/>
        </w:rPr>
        <w:t xml:space="preserve">,  Biblioteca do Congresso do Estados Unidos da América. Disponível em: </w:t>
      </w:r>
      <w:hyperlink r:id="rId11">
        <w:r w:rsidDel="00000000" w:rsidR="00000000" w:rsidRPr="00000000">
          <w:rPr>
            <w:rFonts w:ascii="Times New Roman" w:cs="Times New Roman" w:eastAsia="Times New Roman" w:hAnsi="Times New Roman"/>
            <w:color w:val="1155cc"/>
            <w:sz w:val="24"/>
            <w:szCs w:val="24"/>
            <w:rtl w:val="0"/>
          </w:rPr>
          <w:t xml:space="preserve">https://www.loc.gov/law/help/bitcoin-survey/regulation-of-bitcoin.pdf</w:t>
        </w:r>
      </w:hyperlink>
      <w:r w:rsidDel="00000000" w:rsidR="00000000" w:rsidRPr="00000000">
        <w:rPr>
          <w:rFonts w:ascii="Times New Roman" w:cs="Times New Roman" w:eastAsia="Times New Roman" w:hAnsi="Times New Roman"/>
          <w:sz w:val="24"/>
          <w:szCs w:val="24"/>
          <w:rtl w:val="0"/>
        </w:rPr>
        <w:t xml:space="preserve">. Acesso em: 26 de out.2019. </w:t>
      </w:r>
    </w:p>
    <w:p w:rsidR="00000000" w:rsidDel="00000000" w:rsidP="00000000" w:rsidRDefault="00000000" w:rsidRPr="00000000" w14:paraId="0000015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Dong. et al.  </w:t>
      </w:r>
      <w:r w:rsidDel="00000000" w:rsidR="00000000" w:rsidRPr="00000000">
        <w:rPr>
          <w:rFonts w:ascii="Times New Roman" w:cs="Times New Roman" w:eastAsia="Times New Roman" w:hAnsi="Times New Roman"/>
          <w:b w:val="1"/>
          <w:sz w:val="24"/>
          <w:szCs w:val="24"/>
          <w:rtl w:val="0"/>
        </w:rPr>
        <w:t xml:space="preserve">Virtual Currencies and Beyond: Initial Considerations</w:t>
      </w:r>
      <w:r w:rsidDel="00000000" w:rsidR="00000000" w:rsidRPr="00000000">
        <w:rPr>
          <w:rFonts w:ascii="Times New Roman" w:cs="Times New Roman" w:eastAsia="Times New Roman" w:hAnsi="Times New Roman"/>
          <w:sz w:val="24"/>
          <w:szCs w:val="24"/>
          <w:rtl w:val="0"/>
        </w:rPr>
        <w:t xml:space="preserve">. In: Imf Staff Discussion Note. 2016 p. 7. Disponível em: </w:t>
      </w:r>
      <w:hyperlink r:id="rId12">
        <w:r w:rsidDel="00000000" w:rsidR="00000000" w:rsidRPr="00000000">
          <w:rPr>
            <w:rFonts w:ascii="Times New Roman" w:cs="Times New Roman" w:eastAsia="Times New Roman" w:hAnsi="Times New Roman"/>
            <w:color w:val="1155cc"/>
            <w:sz w:val="24"/>
            <w:szCs w:val="24"/>
            <w:rtl w:val="0"/>
          </w:rPr>
          <w:t xml:space="preserve">https://www.imf.org/external/pubs/ft/sdn/2016/sdn1603.pdf</w:t>
        </w:r>
      </w:hyperlink>
      <w:r w:rsidDel="00000000" w:rsidR="00000000" w:rsidRPr="00000000">
        <w:rPr>
          <w:rFonts w:ascii="Times New Roman" w:cs="Times New Roman" w:eastAsia="Times New Roman" w:hAnsi="Times New Roman"/>
          <w:sz w:val="24"/>
          <w:szCs w:val="24"/>
          <w:rtl w:val="0"/>
        </w:rPr>
        <w:t xml:space="preserve">. Acesso em: 24 de out.2019.</w:t>
      </w:r>
    </w:p>
    <w:p w:rsidR="00000000" w:rsidDel="00000000" w:rsidP="00000000" w:rsidRDefault="00000000" w:rsidRPr="00000000" w14:paraId="0000016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LOCKE, J. </w:t>
      </w:r>
      <w:r w:rsidDel="00000000" w:rsidR="00000000" w:rsidRPr="00000000">
        <w:rPr>
          <w:rFonts w:ascii="Times New Roman" w:cs="Times New Roman" w:eastAsia="Times New Roman" w:hAnsi="Times New Roman"/>
          <w:b w:val="1"/>
          <w:sz w:val="24"/>
          <w:szCs w:val="24"/>
          <w:rtl w:val="0"/>
        </w:rPr>
        <w:t xml:space="preserve">Segundo Tratado Sobre o Governo Civil</w:t>
      </w:r>
      <w:r w:rsidDel="00000000" w:rsidR="00000000" w:rsidRPr="00000000">
        <w:rPr>
          <w:rFonts w:ascii="Times New Roman" w:cs="Times New Roman" w:eastAsia="Times New Roman" w:hAnsi="Times New Roman"/>
          <w:sz w:val="24"/>
          <w:szCs w:val="24"/>
          <w:rtl w:val="0"/>
        </w:rPr>
        <w:t xml:space="preserve">. Rio de Janeiro: Vozes, 1994.</w:t>
      </w:r>
    </w:p>
    <w:p w:rsidR="00000000" w:rsidDel="00000000" w:rsidP="00000000" w:rsidRDefault="00000000" w:rsidRPr="00000000" w14:paraId="00000163">
      <w:pPr>
        <w:spacing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64">
      <w:pPr>
        <w:spacing w:line="14.39999999999999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LOPES, J.C. &amp; ROSSETTI, J.P. </w:t>
      </w:r>
      <w:r w:rsidDel="00000000" w:rsidR="00000000" w:rsidRPr="00000000">
        <w:rPr>
          <w:rFonts w:ascii="Times New Roman" w:cs="Times New Roman" w:eastAsia="Times New Roman" w:hAnsi="Times New Roman"/>
          <w:b w:val="1"/>
          <w:sz w:val="24"/>
          <w:szCs w:val="24"/>
          <w:rtl w:val="0"/>
        </w:rPr>
        <w:t xml:space="preserve">Economia Monetária.</w:t>
      </w:r>
      <w:r w:rsidDel="00000000" w:rsidR="00000000" w:rsidRPr="00000000">
        <w:rPr>
          <w:rFonts w:ascii="Times New Roman" w:cs="Times New Roman" w:eastAsia="Times New Roman" w:hAnsi="Times New Roman"/>
          <w:sz w:val="24"/>
          <w:szCs w:val="24"/>
          <w:rtl w:val="0"/>
        </w:rPr>
        <w:t xml:space="preserve"> 9.ed. São Paulo: Editora Atlas, 2005.</w:t>
      </w:r>
    </w:p>
    <w:p w:rsidR="00000000" w:rsidDel="00000000" w:rsidP="00000000" w:rsidRDefault="00000000" w:rsidRPr="00000000" w14:paraId="0000016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 Bernard. A Short History Of Bitcoin And Cryptocurrency Everyone Should Read. 2017. Disponível em: </w:t>
      </w:r>
      <w:hyperlink r:id="rId13">
        <w:r w:rsidDel="00000000" w:rsidR="00000000" w:rsidRPr="00000000">
          <w:rPr>
            <w:rFonts w:ascii="Times New Roman" w:cs="Times New Roman" w:eastAsia="Times New Roman" w:hAnsi="Times New Roman"/>
            <w:color w:val="1155cc"/>
            <w:sz w:val="24"/>
            <w:szCs w:val="24"/>
            <w:rtl w:val="0"/>
          </w:rPr>
          <w:t xml:space="preserve">https://www.forbes.com/sites/bernardmarr/2017/12/06/a-short-history-of-bitcoin-and-crypto-currency-everyone-should-read/#42623d873f27</w:t>
        </w:r>
      </w:hyperlink>
      <w:r w:rsidDel="00000000" w:rsidR="00000000" w:rsidRPr="00000000">
        <w:rPr>
          <w:rFonts w:ascii="Times New Roman" w:cs="Times New Roman" w:eastAsia="Times New Roman" w:hAnsi="Times New Roman"/>
          <w:sz w:val="24"/>
          <w:szCs w:val="24"/>
          <w:rtl w:val="0"/>
        </w:rPr>
        <w:t xml:space="preserve">. Acesso em: 27 de out.2019.</w:t>
      </w:r>
    </w:p>
    <w:p w:rsidR="00000000" w:rsidDel="00000000" w:rsidP="00000000" w:rsidRDefault="00000000" w:rsidRPr="00000000" w14:paraId="0000016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MONTEIRO, A; FARIA, R; SILVEIRA, R. In.Org. </w:t>
      </w:r>
      <w:r w:rsidDel="00000000" w:rsidR="00000000" w:rsidRPr="00000000">
        <w:rPr>
          <w:rFonts w:ascii="Times New Roman" w:cs="Times New Roman" w:eastAsia="Times New Roman" w:hAnsi="Times New Roman"/>
          <w:b w:val="1"/>
          <w:sz w:val="24"/>
          <w:szCs w:val="24"/>
          <w:rtl w:val="0"/>
        </w:rPr>
        <w:t xml:space="preserve">Tributação da economia digital:</w:t>
      </w:r>
      <w:r w:rsidDel="00000000" w:rsidR="00000000" w:rsidRPr="00000000">
        <w:rPr>
          <w:rFonts w:ascii="Times New Roman" w:cs="Times New Roman" w:eastAsia="Times New Roman" w:hAnsi="Times New Roman"/>
          <w:sz w:val="24"/>
          <w:szCs w:val="24"/>
          <w:rtl w:val="0"/>
        </w:rPr>
        <w:t xml:space="preserve"> desafios no Brasil, experiência internacional e novas perspectivas. São Paulo, Saraiva Jur, 2018, 1.ed, p.625-640.</w:t>
      </w:r>
    </w:p>
    <w:p w:rsidR="00000000" w:rsidDel="00000000" w:rsidP="00000000" w:rsidRDefault="00000000" w:rsidRPr="00000000" w14:paraId="0000016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SABBAG, Eduardo Moraes. In.Org. </w:t>
      </w:r>
      <w:r w:rsidDel="00000000" w:rsidR="00000000" w:rsidRPr="00000000">
        <w:rPr>
          <w:rFonts w:ascii="Times New Roman" w:cs="Times New Roman" w:eastAsia="Times New Roman" w:hAnsi="Times New Roman"/>
          <w:b w:val="1"/>
          <w:sz w:val="24"/>
          <w:szCs w:val="24"/>
          <w:rtl w:val="0"/>
        </w:rPr>
        <w:t xml:space="preserve">Direito Tributário Essencial</w:t>
      </w:r>
      <w:r w:rsidDel="00000000" w:rsidR="00000000" w:rsidRPr="00000000">
        <w:rPr>
          <w:rFonts w:ascii="Times New Roman" w:cs="Times New Roman" w:eastAsia="Times New Roman" w:hAnsi="Times New Roman"/>
          <w:sz w:val="24"/>
          <w:szCs w:val="24"/>
          <w:rtl w:val="0"/>
        </w:rPr>
        <w:t xml:space="preserve">, 5.ed. rev., atual. e ampl. Rio de Janeiro: Forense; São Paulo: Método, 2017.</w:t>
      </w:r>
    </w:p>
    <w:p w:rsidR="00000000" w:rsidDel="00000000" w:rsidP="00000000" w:rsidRDefault="00000000" w:rsidRPr="00000000" w14:paraId="0000016B">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14.39999999999999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TAPSCOTT, Don; TAPSCOTT, Alex. In Org. </w:t>
      </w:r>
      <w:r w:rsidDel="00000000" w:rsidR="00000000" w:rsidRPr="00000000">
        <w:rPr>
          <w:rFonts w:ascii="Times New Roman" w:cs="Times New Roman" w:eastAsia="Times New Roman" w:hAnsi="Times New Roman"/>
          <w:b w:val="1"/>
          <w:sz w:val="24"/>
          <w:szCs w:val="24"/>
          <w:highlight w:val="white"/>
          <w:rtl w:val="0"/>
        </w:rPr>
        <w:t xml:space="preserve">Blockchain revolution</w:t>
      </w:r>
      <w:r w:rsidDel="00000000" w:rsidR="00000000" w:rsidRPr="00000000">
        <w:rPr>
          <w:rFonts w:ascii="Times New Roman" w:cs="Times New Roman" w:eastAsia="Times New Roman" w:hAnsi="Times New Roman"/>
          <w:sz w:val="24"/>
          <w:szCs w:val="24"/>
          <w:highlight w:val="white"/>
          <w:rtl w:val="0"/>
        </w:rPr>
        <w:t xml:space="preserve"> - how the technology behind bitcoin is changing money, business and the world. Nova Iorque: Penguin, 2016, 1.ed. p.2-8.</w:t>
      </w:r>
    </w:p>
    <w:p w:rsidR="00000000" w:rsidDel="00000000" w:rsidP="00000000" w:rsidRDefault="00000000" w:rsidRPr="00000000" w14:paraId="0000016E">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F">
      <w:pPr>
        <w:spacing w:line="14.399999999999999"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VARELA, D. M. A. </w:t>
      </w:r>
      <w:r w:rsidDel="00000000" w:rsidR="00000000" w:rsidRPr="00000000">
        <w:rPr>
          <w:rFonts w:ascii="Times New Roman" w:cs="Times New Roman" w:eastAsia="Times New Roman" w:hAnsi="Times New Roman"/>
          <w:b w:val="1"/>
          <w:sz w:val="24"/>
          <w:szCs w:val="24"/>
          <w:rtl w:val="0"/>
        </w:rPr>
        <w:t xml:space="preserve">Do Conceito Jurídico de E-Moeda</w:t>
      </w:r>
      <w:r w:rsidDel="00000000" w:rsidR="00000000" w:rsidRPr="00000000">
        <w:rPr>
          <w:rFonts w:ascii="Times New Roman" w:cs="Times New Roman" w:eastAsia="Times New Roman" w:hAnsi="Times New Roman"/>
          <w:sz w:val="24"/>
          <w:szCs w:val="24"/>
          <w:rtl w:val="0"/>
        </w:rPr>
        <w:t xml:space="preserve">. Revista de Direito Unifacex, Natal, v.5, n.1, p.2-28, Abr.2015.</w:t>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360"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C">
      <w:pPr>
        <w:spacing w:line="360" w:lineRule="auto"/>
        <w:ind w:left="0"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D">
      <w:pPr>
        <w:spacing w:line="360" w:lineRule="auto"/>
        <w:ind w:left="0"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7F">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81">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5">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sectPr>
      <w:pgSz w:h="16834" w:w="11909"/>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86">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rtl w:val="0"/>
        </w:rPr>
        <w:t xml:space="preserve">“VCs are digital representations of value, issued by private developers and denominated in their own unit of account. VCs can be obtained, stored, accessed, and transacted electronically, and can be used for a variety of purposes, as long as the transacting parties agree to use them”.</w:t>
      </w:r>
      <w:r w:rsidDel="00000000" w:rsidR="00000000" w:rsidRPr="00000000">
        <w:rPr>
          <w:rtl w:val="0"/>
        </w:rPr>
      </w:r>
    </w:p>
  </w:footnote>
  <w:footnote w:id="1">
    <w:p w:rsidR="00000000" w:rsidDel="00000000" w:rsidP="00000000" w:rsidRDefault="00000000" w:rsidRPr="00000000" w14:paraId="00000187">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rtl w:val="0"/>
        </w:rPr>
        <w:t xml:space="preserve">“VCs are defined as a digital representation of value that is neither issued by a central bank or public authority nor necessarily attached to a FC, but is used by natural or legal persons as a means of exchange and can be transferred, stored or traded electronically”.</w:t>
      </w:r>
      <w:r w:rsidDel="00000000" w:rsidR="00000000" w:rsidRPr="00000000">
        <w:rPr>
          <w:rtl w:val="0"/>
        </w:rPr>
      </w:r>
    </w:p>
  </w:footnote>
  <w:footnote w:id="2">
    <w:p w:rsidR="00000000" w:rsidDel="00000000" w:rsidP="00000000" w:rsidRDefault="00000000" w:rsidRPr="00000000" w14:paraId="00000188">
      <w:pPr>
        <w:spacing w:line="24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O valor da cotação do Dólar em relação ao no ano de 2009 no mês de outubro era de 1,738.Informação do site: </w:t>
      </w:r>
      <w:hyperlink r:id="rId1">
        <w:r w:rsidDel="00000000" w:rsidR="00000000" w:rsidRPr="00000000">
          <w:rPr>
            <w:rFonts w:ascii="Times New Roman" w:cs="Times New Roman" w:eastAsia="Times New Roman" w:hAnsi="Times New Roman"/>
            <w:color w:val="1155cc"/>
            <w:sz w:val="24"/>
            <w:szCs w:val="24"/>
            <w:u w:val="single"/>
            <w:rtl w:val="0"/>
          </w:rPr>
          <w:t xml:space="preserve">http://www.acinh.com.br/servicos/cotacao-dolar</w:t>
        </w:r>
      </w:hyperlink>
      <w:r w:rsidDel="00000000" w:rsidR="00000000" w:rsidRPr="00000000">
        <w:rPr>
          <w:rFonts w:ascii="Times New Roman" w:cs="Times New Roman" w:eastAsia="Times New Roman" w:hAnsi="Times New Roman"/>
          <w:sz w:val="24"/>
          <w:szCs w:val="24"/>
          <w:rtl w:val="0"/>
        </w:rPr>
        <w:t xml:space="preserve">. Acesso em: 31 de Out.2019. Sendo assim, se um Dólar seria equivalente a 1.309 Bitcoins, um Real equivaleria a 753,16 Bitcoins.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oc.gov/law/help/bitcoin-survey/regulation-of-bitcoin.pdf" TargetMode="External"/><Relationship Id="rId10" Type="http://schemas.openxmlformats.org/officeDocument/2006/relationships/hyperlink" Target="https://eba.europa.eu/sites/default/documents/files/documents/10180/657547/81409b94-4222-45d7-ba3b-7deb5863ab57/EBA-Op-2014-08%20Opinion%20on%20Virtual%20Currencies.pdf" TargetMode="External"/><Relationship Id="rId13" Type="http://schemas.openxmlformats.org/officeDocument/2006/relationships/hyperlink" Target="https://www.forbes.com/sites/bernardmarr/2017/12/06/a-short-history-of-bitcoin-and-crypto-currency-everyone-should-read/#42623d873f27" TargetMode="External"/><Relationship Id="rId12" Type="http://schemas.openxmlformats.org/officeDocument/2006/relationships/hyperlink" Target="https://www.imf.org/external/pubs/ft/sdn/2016/sdn1603.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3.bcb.gov.br/normativo/detalharNormativo.do?method=detalharNormativo&amp;N=114009277"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planalto.gov.br/ccivil_03/LEIS/L8880.htm" TargetMode="External"/><Relationship Id="rId8" Type="http://schemas.openxmlformats.org/officeDocument/2006/relationships/hyperlink" Target="http://www.planalto.gov.br/ccivil_03/_Ato2011-2014/2013/Lei/L12865.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cinh.com.br/servicos/cotacao-do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