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557" w:rsidRPr="00011FCD" w:rsidRDefault="00947557" w:rsidP="00F05566">
      <w:pPr>
        <w:pStyle w:val="Ca1"/>
        <w:rPr>
          <w:color w:val="auto"/>
        </w:rPr>
      </w:pPr>
      <w:r w:rsidRPr="00011FCD">
        <w:rPr>
          <w:color w:val="auto"/>
        </w:rPr>
        <w:t>CESED - CENTRO DE ENSINO SUPERIOR E DESENVOLVIMENTO</w:t>
      </w:r>
    </w:p>
    <w:p w:rsidR="00947557" w:rsidRPr="00011FCD" w:rsidRDefault="00710502" w:rsidP="00F05566">
      <w:pPr>
        <w:pStyle w:val="Ca1"/>
        <w:rPr>
          <w:color w:val="auto"/>
        </w:rPr>
      </w:pPr>
      <w:r w:rsidRPr="00011FCD">
        <w:rPr>
          <w:color w:val="auto"/>
        </w:rPr>
        <w:t xml:space="preserve">UNIFACISA – CENTRO </w:t>
      </w:r>
      <w:r w:rsidR="00637495" w:rsidRPr="00011FCD">
        <w:rPr>
          <w:color w:val="auto"/>
        </w:rPr>
        <w:t>UNIVERSITÁRIO</w:t>
      </w:r>
    </w:p>
    <w:p w:rsidR="00947557" w:rsidRPr="00011FCD" w:rsidRDefault="00947557" w:rsidP="00F05566">
      <w:pPr>
        <w:pStyle w:val="Ca1"/>
        <w:rPr>
          <w:color w:val="auto"/>
        </w:rPr>
      </w:pPr>
      <w:r w:rsidRPr="00011FCD">
        <w:rPr>
          <w:color w:val="auto"/>
        </w:rPr>
        <w:t>CURSO DE BACHARELADO EM DIREITO</w:t>
      </w:r>
    </w:p>
    <w:p w:rsidR="00947557" w:rsidRPr="00011FCD" w:rsidRDefault="00947557" w:rsidP="00F05566">
      <w:pPr>
        <w:pStyle w:val="Ca1"/>
        <w:rPr>
          <w:color w:val="auto"/>
        </w:rPr>
      </w:pPr>
    </w:p>
    <w:p w:rsidR="00947557" w:rsidRPr="00011FCD" w:rsidRDefault="00947557" w:rsidP="00F05566">
      <w:pPr>
        <w:pStyle w:val="Ca1"/>
        <w:rPr>
          <w:color w:val="auto"/>
        </w:rPr>
      </w:pPr>
    </w:p>
    <w:p w:rsidR="0037209A" w:rsidRPr="00011FCD" w:rsidRDefault="00CD2C56" w:rsidP="00372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011FCD">
        <w:rPr>
          <w:rFonts w:ascii="Arial" w:eastAsia="Times New Roman" w:hAnsi="Arial" w:cs="Arial"/>
          <w:b/>
          <w:sz w:val="24"/>
          <w:szCs w:val="24"/>
        </w:rPr>
        <w:t>ALEXANDRA MARIA LIMA CARVALHO</w:t>
      </w:r>
    </w:p>
    <w:p w:rsidR="00947557" w:rsidRPr="00011FC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011FC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011FC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011FC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011FCD" w:rsidRDefault="00947557" w:rsidP="00D53A2D">
      <w:pPr>
        <w:tabs>
          <w:tab w:val="left" w:pos="708"/>
        </w:tabs>
        <w:suppressAutoHyphens/>
        <w:spacing w:after="0" w:line="360" w:lineRule="auto"/>
        <w:jc w:val="center"/>
        <w:rPr>
          <w:rFonts w:ascii="Arial" w:eastAsia="Calibri" w:hAnsi="Arial" w:cs="Arial"/>
          <w:b/>
          <w:sz w:val="24"/>
          <w:szCs w:val="24"/>
        </w:rPr>
      </w:pPr>
    </w:p>
    <w:p w:rsidR="00025111" w:rsidRPr="00011FCD" w:rsidRDefault="00025111" w:rsidP="00D53A2D">
      <w:pPr>
        <w:tabs>
          <w:tab w:val="left" w:pos="708"/>
        </w:tabs>
        <w:suppressAutoHyphens/>
        <w:spacing w:after="0" w:line="360" w:lineRule="auto"/>
        <w:jc w:val="center"/>
        <w:rPr>
          <w:rFonts w:ascii="Arial" w:eastAsia="Calibri" w:hAnsi="Arial" w:cs="Arial"/>
          <w:b/>
          <w:sz w:val="24"/>
          <w:szCs w:val="24"/>
        </w:rPr>
      </w:pPr>
    </w:p>
    <w:p w:rsidR="00947557" w:rsidRPr="00011FCD" w:rsidRDefault="00947557" w:rsidP="00D53A2D">
      <w:pPr>
        <w:tabs>
          <w:tab w:val="left" w:pos="708"/>
        </w:tabs>
        <w:suppressAutoHyphens/>
        <w:spacing w:after="0" w:line="360" w:lineRule="auto"/>
        <w:jc w:val="center"/>
        <w:rPr>
          <w:rFonts w:ascii="Arial" w:eastAsia="Calibri" w:hAnsi="Arial" w:cs="Arial"/>
          <w:b/>
          <w:sz w:val="24"/>
          <w:szCs w:val="24"/>
        </w:rPr>
      </w:pPr>
    </w:p>
    <w:p w:rsidR="00CD2C56" w:rsidRPr="00011FCD" w:rsidRDefault="00CD2C56" w:rsidP="00CD2C56">
      <w:pPr>
        <w:spacing w:line="360" w:lineRule="auto"/>
        <w:jc w:val="center"/>
        <w:rPr>
          <w:rFonts w:ascii="Arial" w:hAnsi="Arial" w:cs="Arial"/>
          <w:b/>
          <w:sz w:val="24"/>
          <w:szCs w:val="24"/>
        </w:rPr>
      </w:pPr>
      <w:r w:rsidRPr="00011FCD">
        <w:rPr>
          <w:rFonts w:ascii="Arial" w:hAnsi="Arial" w:cs="Arial"/>
          <w:b/>
          <w:sz w:val="24"/>
          <w:szCs w:val="24"/>
        </w:rPr>
        <w:t>CRIMES DE COLARINHO BRANCO: UMA ANÁLISE SOBRE A EFICÁCIA NORMATIVA DA LEI 7.492/86</w:t>
      </w:r>
    </w:p>
    <w:p w:rsidR="00335622" w:rsidRPr="00011FCD" w:rsidRDefault="00335622" w:rsidP="00D962C1">
      <w:pPr>
        <w:pStyle w:val="Texto"/>
        <w:ind w:firstLine="0"/>
        <w:jc w:val="center"/>
        <w:rPr>
          <w:b/>
          <w:lang w:eastAsia="en-US"/>
        </w:rPr>
      </w:pPr>
    </w:p>
    <w:p w:rsidR="00947557" w:rsidRPr="00011FCD" w:rsidRDefault="00947557" w:rsidP="00D962C1">
      <w:pPr>
        <w:tabs>
          <w:tab w:val="left" w:pos="708"/>
        </w:tabs>
        <w:suppressAutoHyphens/>
        <w:spacing w:after="0" w:line="360" w:lineRule="auto"/>
        <w:jc w:val="center"/>
        <w:rPr>
          <w:rFonts w:ascii="Arial" w:eastAsia="Calibri" w:hAnsi="Arial" w:cs="Arial"/>
          <w:sz w:val="24"/>
          <w:szCs w:val="24"/>
        </w:rPr>
      </w:pPr>
    </w:p>
    <w:p w:rsidR="00947557" w:rsidRPr="00011FCD" w:rsidRDefault="00947557" w:rsidP="00D962C1">
      <w:pPr>
        <w:tabs>
          <w:tab w:val="left" w:pos="708"/>
        </w:tabs>
        <w:suppressAutoHyphens/>
        <w:spacing w:after="0" w:line="360" w:lineRule="auto"/>
        <w:jc w:val="center"/>
        <w:rPr>
          <w:rFonts w:ascii="Arial" w:eastAsia="Calibri" w:hAnsi="Arial" w:cs="Arial"/>
          <w:sz w:val="24"/>
          <w:szCs w:val="24"/>
        </w:rPr>
      </w:pPr>
    </w:p>
    <w:p w:rsidR="00947557" w:rsidRPr="00011FC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011FC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011FC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011FC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011FCD" w:rsidRDefault="00947557" w:rsidP="00947557">
      <w:pPr>
        <w:spacing w:after="0" w:line="360" w:lineRule="auto"/>
        <w:jc w:val="center"/>
        <w:rPr>
          <w:rFonts w:ascii="Arial" w:hAnsi="Arial" w:cs="Arial"/>
          <w:b/>
          <w:bCs/>
          <w:sz w:val="24"/>
          <w:szCs w:val="24"/>
        </w:rPr>
      </w:pPr>
    </w:p>
    <w:p w:rsidR="00947557" w:rsidRPr="00011FCD" w:rsidRDefault="00947557" w:rsidP="00947557">
      <w:pPr>
        <w:spacing w:after="0" w:line="360" w:lineRule="auto"/>
        <w:jc w:val="center"/>
        <w:rPr>
          <w:rFonts w:ascii="Arial" w:hAnsi="Arial" w:cs="Arial"/>
          <w:b/>
          <w:bCs/>
          <w:sz w:val="24"/>
          <w:szCs w:val="24"/>
        </w:rPr>
      </w:pPr>
    </w:p>
    <w:p w:rsidR="00947557" w:rsidRPr="00011FCD" w:rsidRDefault="00947557" w:rsidP="00947557">
      <w:pPr>
        <w:spacing w:after="0" w:line="360" w:lineRule="auto"/>
        <w:jc w:val="center"/>
        <w:rPr>
          <w:rFonts w:ascii="Arial" w:hAnsi="Arial" w:cs="Arial"/>
          <w:b/>
          <w:bCs/>
          <w:sz w:val="24"/>
          <w:szCs w:val="24"/>
        </w:rPr>
      </w:pPr>
    </w:p>
    <w:p w:rsidR="00412658" w:rsidRPr="00011FCD" w:rsidRDefault="00412658" w:rsidP="00947557">
      <w:pPr>
        <w:spacing w:after="0" w:line="360" w:lineRule="auto"/>
        <w:jc w:val="center"/>
        <w:rPr>
          <w:rFonts w:ascii="Arial" w:hAnsi="Arial" w:cs="Arial"/>
          <w:b/>
          <w:bCs/>
          <w:sz w:val="24"/>
          <w:szCs w:val="24"/>
        </w:rPr>
      </w:pPr>
    </w:p>
    <w:p w:rsidR="00412658" w:rsidRPr="00011FCD" w:rsidRDefault="00412658" w:rsidP="00947557">
      <w:pPr>
        <w:spacing w:after="0" w:line="360" w:lineRule="auto"/>
        <w:jc w:val="center"/>
        <w:rPr>
          <w:rFonts w:ascii="Arial" w:hAnsi="Arial" w:cs="Arial"/>
          <w:b/>
          <w:bCs/>
          <w:sz w:val="24"/>
          <w:szCs w:val="24"/>
        </w:rPr>
      </w:pPr>
    </w:p>
    <w:p w:rsidR="0087223E" w:rsidRPr="00011FCD" w:rsidRDefault="0087223E" w:rsidP="00947557">
      <w:pPr>
        <w:spacing w:after="0" w:line="360" w:lineRule="auto"/>
        <w:jc w:val="center"/>
        <w:rPr>
          <w:rFonts w:ascii="Arial" w:hAnsi="Arial" w:cs="Arial"/>
          <w:b/>
          <w:bCs/>
          <w:sz w:val="24"/>
          <w:szCs w:val="24"/>
        </w:rPr>
      </w:pPr>
    </w:p>
    <w:p w:rsidR="00947557" w:rsidRPr="00011FCD" w:rsidRDefault="00947557" w:rsidP="00947557">
      <w:pPr>
        <w:spacing w:after="0" w:line="360" w:lineRule="auto"/>
        <w:jc w:val="center"/>
        <w:rPr>
          <w:rFonts w:ascii="Arial" w:hAnsi="Arial" w:cs="Arial"/>
          <w:b/>
          <w:bCs/>
          <w:sz w:val="24"/>
          <w:szCs w:val="24"/>
        </w:rPr>
      </w:pPr>
    </w:p>
    <w:p w:rsidR="009E1856" w:rsidRPr="00011FCD" w:rsidRDefault="009E1856" w:rsidP="009E1856">
      <w:pPr>
        <w:pStyle w:val="Cap3"/>
        <w:tabs>
          <w:tab w:val="left" w:pos="3732"/>
        </w:tabs>
        <w:jc w:val="left"/>
      </w:pPr>
    </w:p>
    <w:p w:rsidR="006C7C03" w:rsidRPr="00011FCD" w:rsidRDefault="006C7C03" w:rsidP="00F05566">
      <w:pPr>
        <w:pStyle w:val="Cap3"/>
      </w:pPr>
    </w:p>
    <w:p w:rsidR="00570F17" w:rsidRPr="00011FCD" w:rsidRDefault="00570F17" w:rsidP="00F05566">
      <w:pPr>
        <w:pStyle w:val="Cap3"/>
      </w:pPr>
    </w:p>
    <w:p w:rsidR="00947557" w:rsidRPr="00011FCD" w:rsidRDefault="00947557" w:rsidP="00F05566">
      <w:pPr>
        <w:pStyle w:val="Cap3"/>
      </w:pPr>
      <w:r w:rsidRPr="00011FCD">
        <w:t xml:space="preserve">CAMPINA GRANDE - PB </w:t>
      </w:r>
    </w:p>
    <w:p w:rsidR="00947557" w:rsidRPr="00011FCD" w:rsidRDefault="00947557" w:rsidP="00F05566">
      <w:pPr>
        <w:pStyle w:val="Cap3"/>
      </w:pPr>
      <w:r w:rsidRPr="00011FCD">
        <w:t>201</w:t>
      </w:r>
      <w:r w:rsidR="00DA14FD" w:rsidRPr="00011FCD">
        <w:t>9</w:t>
      </w:r>
    </w:p>
    <w:p w:rsidR="00CD2C56" w:rsidRPr="00011FCD" w:rsidRDefault="00CD2C56" w:rsidP="00CD2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rPr>
      </w:pPr>
      <w:r w:rsidRPr="00011FCD">
        <w:rPr>
          <w:rFonts w:ascii="Arial" w:eastAsia="Times New Roman" w:hAnsi="Arial" w:cs="Arial"/>
          <w:sz w:val="24"/>
          <w:szCs w:val="24"/>
        </w:rPr>
        <w:lastRenderedPageBreak/>
        <w:t>ALEXANDRA MARIA LIMA CARVALHO</w:t>
      </w:r>
    </w:p>
    <w:p w:rsidR="00947557" w:rsidRPr="00011FCD" w:rsidRDefault="00947557" w:rsidP="00F05566">
      <w:pPr>
        <w:pStyle w:val="Cap4"/>
        <w:rPr>
          <w:sz w:val="26"/>
          <w:szCs w:val="26"/>
        </w:rPr>
      </w:pPr>
    </w:p>
    <w:p w:rsidR="00604E9A" w:rsidRPr="00011FCD" w:rsidRDefault="00604E9A" w:rsidP="00F05566">
      <w:pPr>
        <w:pStyle w:val="Cap4"/>
        <w:rPr>
          <w:sz w:val="26"/>
          <w:szCs w:val="26"/>
        </w:rPr>
      </w:pPr>
    </w:p>
    <w:p w:rsidR="00604E9A" w:rsidRPr="00011FCD" w:rsidRDefault="00604E9A" w:rsidP="00F05566">
      <w:pPr>
        <w:pStyle w:val="Cap4"/>
        <w:rPr>
          <w:sz w:val="26"/>
          <w:szCs w:val="26"/>
        </w:rPr>
      </w:pPr>
    </w:p>
    <w:p w:rsidR="00604E9A" w:rsidRPr="00011FCD" w:rsidRDefault="00604E9A" w:rsidP="00F05566">
      <w:pPr>
        <w:pStyle w:val="Cap4"/>
        <w:rPr>
          <w:sz w:val="26"/>
          <w:szCs w:val="26"/>
        </w:rPr>
      </w:pPr>
    </w:p>
    <w:p w:rsidR="00604E9A" w:rsidRPr="00011FCD" w:rsidRDefault="00604E9A" w:rsidP="00F05566">
      <w:pPr>
        <w:pStyle w:val="Cap4"/>
        <w:rPr>
          <w:sz w:val="26"/>
          <w:szCs w:val="26"/>
        </w:rPr>
      </w:pPr>
    </w:p>
    <w:p w:rsidR="00947557" w:rsidRPr="00011FCD" w:rsidRDefault="00947557" w:rsidP="003C36CE">
      <w:pPr>
        <w:pStyle w:val="Cap4"/>
        <w:rPr>
          <w:sz w:val="26"/>
          <w:szCs w:val="26"/>
        </w:rPr>
      </w:pPr>
    </w:p>
    <w:p w:rsidR="00570F17" w:rsidRPr="00011FCD" w:rsidRDefault="00570F17" w:rsidP="00570F17">
      <w:pPr>
        <w:tabs>
          <w:tab w:val="left" w:pos="708"/>
        </w:tabs>
        <w:suppressAutoHyphens/>
        <w:spacing w:after="0" w:line="360" w:lineRule="auto"/>
        <w:jc w:val="center"/>
        <w:rPr>
          <w:rFonts w:ascii="Arial" w:eastAsia="Calibri" w:hAnsi="Arial" w:cs="Arial"/>
          <w:b/>
          <w:sz w:val="24"/>
          <w:szCs w:val="24"/>
        </w:rPr>
      </w:pPr>
    </w:p>
    <w:p w:rsidR="00CD2C56" w:rsidRPr="00011FCD" w:rsidRDefault="00CD2C56" w:rsidP="00CD2C56">
      <w:pPr>
        <w:spacing w:line="360" w:lineRule="auto"/>
        <w:jc w:val="center"/>
        <w:rPr>
          <w:rFonts w:ascii="Arial" w:hAnsi="Arial" w:cs="Arial"/>
          <w:sz w:val="24"/>
          <w:szCs w:val="24"/>
        </w:rPr>
      </w:pPr>
      <w:r w:rsidRPr="00011FCD">
        <w:rPr>
          <w:rFonts w:ascii="Arial" w:hAnsi="Arial" w:cs="Arial"/>
          <w:sz w:val="24"/>
          <w:szCs w:val="24"/>
        </w:rPr>
        <w:t>CRIMES DE COLARINHO BRANCO: UMA ANÁLISE SOBRE A EFICÁCIA NORMATIVA DA LEI 7.492/86</w:t>
      </w:r>
    </w:p>
    <w:p w:rsidR="00D962C1" w:rsidRPr="00011FCD" w:rsidRDefault="00D962C1" w:rsidP="00D962C1">
      <w:pPr>
        <w:tabs>
          <w:tab w:val="left" w:pos="708"/>
        </w:tabs>
        <w:suppressAutoHyphens/>
        <w:spacing w:after="0" w:line="360" w:lineRule="auto"/>
        <w:jc w:val="center"/>
        <w:rPr>
          <w:rFonts w:ascii="Arial" w:eastAsia="Calibri" w:hAnsi="Arial" w:cs="Arial"/>
          <w:sz w:val="24"/>
          <w:szCs w:val="24"/>
        </w:rPr>
      </w:pPr>
    </w:p>
    <w:p w:rsidR="00947557" w:rsidRPr="00011FCD" w:rsidRDefault="00947557" w:rsidP="00947557">
      <w:pPr>
        <w:spacing w:after="0" w:line="360" w:lineRule="auto"/>
        <w:ind w:left="4536"/>
        <w:jc w:val="center"/>
        <w:rPr>
          <w:rFonts w:ascii="Arial" w:hAnsi="Arial" w:cs="Arial"/>
          <w:sz w:val="24"/>
          <w:szCs w:val="24"/>
        </w:rPr>
      </w:pPr>
    </w:p>
    <w:p w:rsidR="006C0BF3" w:rsidRPr="00011FCD" w:rsidRDefault="006C0BF3" w:rsidP="00947557">
      <w:pPr>
        <w:spacing w:after="0" w:line="360" w:lineRule="auto"/>
        <w:ind w:left="4536"/>
        <w:jc w:val="center"/>
        <w:rPr>
          <w:rFonts w:ascii="Arial" w:hAnsi="Arial" w:cs="Arial"/>
          <w:sz w:val="24"/>
          <w:szCs w:val="24"/>
        </w:rPr>
      </w:pPr>
    </w:p>
    <w:p w:rsidR="006C0BF3" w:rsidRPr="00011FCD" w:rsidRDefault="006C0BF3" w:rsidP="00947557">
      <w:pPr>
        <w:spacing w:after="0" w:line="360" w:lineRule="auto"/>
        <w:ind w:left="4536"/>
        <w:jc w:val="center"/>
        <w:rPr>
          <w:rFonts w:ascii="Arial" w:hAnsi="Arial" w:cs="Arial"/>
          <w:sz w:val="24"/>
          <w:szCs w:val="24"/>
        </w:rPr>
      </w:pPr>
    </w:p>
    <w:p w:rsidR="006C0BF3" w:rsidRPr="00011FCD" w:rsidRDefault="006C0BF3" w:rsidP="00947557">
      <w:pPr>
        <w:spacing w:after="0" w:line="360" w:lineRule="auto"/>
        <w:ind w:left="4536"/>
        <w:jc w:val="center"/>
        <w:rPr>
          <w:rFonts w:ascii="Arial" w:hAnsi="Arial" w:cs="Arial"/>
          <w:sz w:val="24"/>
          <w:szCs w:val="24"/>
        </w:rPr>
      </w:pPr>
    </w:p>
    <w:p w:rsidR="006C0BF3" w:rsidRPr="00011FCD" w:rsidRDefault="006C0BF3" w:rsidP="00CD2C56">
      <w:pPr>
        <w:spacing w:after="0" w:line="360" w:lineRule="auto"/>
        <w:rPr>
          <w:rFonts w:ascii="Arial" w:hAnsi="Arial" w:cs="Arial"/>
          <w:sz w:val="24"/>
          <w:szCs w:val="24"/>
        </w:rPr>
      </w:pPr>
    </w:p>
    <w:p w:rsidR="006C0BF3" w:rsidRPr="00011FCD" w:rsidRDefault="006C0BF3" w:rsidP="00D962C1">
      <w:pPr>
        <w:spacing w:after="0" w:line="360" w:lineRule="auto"/>
        <w:rPr>
          <w:rFonts w:ascii="Arial" w:hAnsi="Arial" w:cs="Arial"/>
          <w:sz w:val="24"/>
          <w:szCs w:val="24"/>
        </w:rPr>
      </w:pPr>
    </w:p>
    <w:p w:rsidR="00947557" w:rsidRPr="00011FCD" w:rsidRDefault="00947557" w:rsidP="00947557">
      <w:pPr>
        <w:spacing w:after="0" w:line="360" w:lineRule="auto"/>
        <w:ind w:left="4536"/>
        <w:jc w:val="center"/>
        <w:rPr>
          <w:rFonts w:ascii="Arial" w:hAnsi="Arial" w:cs="Arial"/>
          <w:sz w:val="24"/>
          <w:szCs w:val="24"/>
        </w:rPr>
      </w:pPr>
    </w:p>
    <w:p w:rsidR="00947557" w:rsidRPr="00011FCD" w:rsidRDefault="00947557" w:rsidP="00D07FC5">
      <w:pPr>
        <w:pStyle w:val="Elementos1"/>
      </w:pPr>
      <w:r w:rsidRPr="00011FCD">
        <w:t xml:space="preserve">Trabalho de Conclusão de Curso - Artigo Científico - apresentado como pré-requisito para a obtenção do título de Bacharel em Direito pela </w:t>
      </w:r>
      <w:r w:rsidR="00710502" w:rsidRPr="00011FCD">
        <w:t>UniFacisa – Centro Universitário</w:t>
      </w:r>
      <w:r w:rsidRPr="00011FCD">
        <w:t>.</w:t>
      </w:r>
    </w:p>
    <w:p w:rsidR="006C0BF3" w:rsidRPr="00011FCD" w:rsidRDefault="006C0BF3" w:rsidP="006C0BF3">
      <w:pPr>
        <w:pStyle w:val="Elementos1"/>
      </w:pPr>
      <w:r w:rsidRPr="00011FCD">
        <w:t xml:space="preserve">Área de Concentração: </w:t>
      </w:r>
      <w:r w:rsidR="006172F7" w:rsidRPr="00011FCD">
        <w:t>Direito Penal</w:t>
      </w:r>
    </w:p>
    <w:p w:rsidR="00570F17" w:rsidRPr="00011FCD" w:rsidRDefault="00570F17" w:rsidP="006C0BF3">
      <w:pPr>
        <w:pStyle w:val="Elementos1"/>
      </w:pPr>
    </w:p>
    <w:p w:rsidR="00947557" w:rsidRPr="00011FCD" w:rsidRDefault="006C0BF3" w:rsidP="00DA14FD">
      <w:pPr>
        <w:pStyle w:val="Elementos1"/>
      </w:pPr>
      <w:r w:rsidRPr="00011FCD">
        <w:t>Orientado</w:t>
      </w:r>
      <w:r w:rsidR="00503186" w:rsidRPr="00011FCD">
        <w:t>r: Prof:</w:t>
      </w:r>
      <w:r w:rsidR="00570F17" w:rsidRPr="00011FCD">
        <w:t xml:space="preserve"> Ms. </w:t>
      </w:r>
      <w:r w:rsidR="009E1856" w:rsidRPr="00011FCD">
        <w:rPr>
          <w:rStyle w:val="nfase"/>
          <w:bCs/>
          <w:i w:val="0"/>
          <w:iCs w:val="0"/>
          <w:shd w:val="clear" w:color="auto" w:fill="FFFFFF"/>
        </w:rPr>
        <w:t>Breno Wanderley César Segundo</w:t>
      </w:r>
      <w:r w:rsidR="009E1856" w:rsidRPr="00011FCD">
        <w:rPr>
          <w:shd w:val="clear" w:color="auto" w:fill="FFFFFF"/>
        </w:rPr>
        <w:t> </w:t>
      </w:r>
    </w:p>
    <w:p w:rsidR="00947557" w:rsidRPr="00011FCD" w:rsidRDefault="00947557" w:rsidP="00947557">
      <w:pPr>
        <w:spacing w:after="0" w:line="360" w:lineRule="auto"/>
        <w:ind w:left="4536"/>
        <w:jc w:val="both"/>
        <w:rPr>
          <w:rFonts w:ascii="Arial" w:hAnsi="Arial" w:cs="Arial"/>
          <w:sz w:val="24"/>
          <w:szCs w:val="24"/>
        </w:rPr>
      </w:pPr>
    </w:p>
    <w:p w:rsidR="00947557" w:rsidRPr="00011FCD" w:rsidRDefault="00947557" w:rsidP="00947557">
      <w:pPr>
        <w:spacing w:after="0" w:line="360" w:lineRule="auto"/>
        <w:ind w:left="4536"/>
        <w:jc w:val="both"/>
        <w:rPr>
          <w:rFonts w:ascii="Arial" w:hAnsi="Arial" w:cs="Arial"/>
          <w:sz w:val="24"/>
          <w:szCs w:val="24"/>
        </w:rPr>
      </w:pPr>
    </w:p>
    <w:p w:rsidR="00947557" w:rsidRPr="00011FCD" w:rsidRDefault="00947557" w:rsidP="00947557">
      <w:pPr>
        <w:spacing w:after="0" w:line="360" w:lineRule="auto"/>
        <w:jc w:val="center"/>
        <w:rPr>
          <w:rFonts w:ascii="Arial" w:hAnsi="Arial" w:cs="Arial"/>
          <w:sz w:val="24"/>
          <w:szCs w:val="24"/>
        </w:rPr>
      </w:pPr>
    </w:p>
    <w:p w:rsidR="00C00379" w:rsidRPr="00011FCD" w:rsidRDefault="00C00379" w:rsidP="00947557">
      <w:pPr>
        <w:spacing w:after="0" w:line="360" w:lineRule="auto"/>
        <w:jc w:val="center"/>
        <w:rPr>
          <w:rFonts w:ascii="Arial" w:hAnsi="Arial" w:cs="Arial"/>
          <w:sz w:val="24"/>
          <w:szCs w:val="24"/>
        </w:rPr>
      </w:pPr>
    </w:p>
    <w:p w:rsidR="00C00379" w:rsidRPr="00011FCD" w:rsidRDefault="00C00379" w:rsidP="00947557">
      <w:pPr>
        <w:spacing w:after="0" w:line="360" w:lineRule="auto"/>
        <w:jc w:val="center"/>
        <w:rPr>
          <w:rFonts w:ascii="Arial" w:hAnsi="Arial" w:cs="Arial"/>
          <w:sz w:val="24"/>
          <w:szCs w:val="24"/>
        </w:rPr>
      </w:pPr>
    </w:p>
    <w:p w:rsidR="00EE3F3D" w:rsidRPr="00011FCD" w:rsidRDefault="00EE3F3D" w:rsidP="00CD2C56">
      <w:pPr>
        <w:spacing w:after="0" w:line="360" w:lineRule="auto"/>
        <w:rPr>
          <w:rFonts w:ascii="Arial" w:hAnsi="Arial" w:cs="Arial"/>
          <w:sz w:val="24"/>
          <w:szCs w:val="24"/>
        </w:rPr>
      </w:pPr>
    </w:p>
    <w:p w:rsidR="00947557" w:rsidRPr="00011FCD" w:rsidRDefault="00947557" w:rsidP="00D07FC5">
      <w:pPr>
        <w:pStyle w:val="Cap3"/>
        <w:rPr>
          <w:b w:val="0"/>
        </w:rPr>
      </w:pPr>
      <w:r w:rsidRPr="00011FCD">
        <w:rPr>
          <w:b w:val="0"/>
        </w:rPr>
        <w:t>Campina Grande – PB</w:t>
      </w:r>
    </w:p>
    <w:p w:rsidR="00947557" w:rsidRPr="00011FCD" w:rsidRDefault="00947557" w:rsidP="00D07FC5">
      <w:pPr>
        <w:pStyle w:val="Cap3"/>
      </w:pPr>
      <w:r w:rsidRPr="00011FCD">
        <w:rPr>
          <w:b w:val="0"/>
        </w:rPr>
        <w:t>201</w:t>
      </w:r>
      <w:r w:rsidR="00570F17" w:rsidRPr="00011FCD">
        <w:rPr>
          <w:b w:val="0"/>
        </w:rPr>
        <w:t>9</w:t>
      </w:r>
      <w:r w:rsidRPr="00011FCD">
        <w:br w:type="page"/>
      </w:r>
    </w:p>
    <w:p w:rsidR="00947557" w:rsidRPr="00011FCD" w:rsidRDefault="00947557" w:rsidP="00947557">
      <w:pPr>
        <w:spacing w:after="0" w:line="360" w:lineRule="auto"/>
        <w:jc w:val="both"/>
        <w:rPr>
          <w:rFonts w:ascii="Arial" w:hAnsi="Arial" w:cs="Arial"/>
          <w:b/>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6172F7" w:rsidP="00947557">
      <w:pPr>
        <w:spacing w:after="0" w:line="360" w:lineRule="auto"/>
        <w:jc w:val="both"/>
        <w:rPr>
          <w:rFonts w:ascii="Arial" w:hAnsi="Arial" w:cs="Arial"/>
          <w:b/>
          <w:sz w:val="24"/>
          <w:szCs w:val="24"/>
        </w:rPr>
      </w:pPr>
      <w:r w:rsidRPr="00011FCD">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168910</wp:posOffset>
                </wp:positionV>
                <wp:extent cx="4086225" cy="2714625"/>
                <wp:effectExtent l="0" t="0" r="28575" b="2857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2714625"/>
                        </a:xfrm>
                        <a:prstGeom prst="rect">
                          <a:avLst/>
                        </a:prstGeom>
                        <a:solidFill>
                          <a:schemeClr val="lt1"/>
                        </a:solidFill>
                        <a:ln w="6350">
                          <a:solidFill>
                            <a:prstClr val="black"/>
                          </a:solidFill>
                        </a:ln>
                      </wps:spPr>
                      <wps:txbx>
                        <w:txbxContent>
                          <w:p w:rsidR="00DC339E" w:rsidRDefault="00DC3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1" o:spid="_x0000_s1026" type="#_x0000_t202" style="position:absolute;left:0;text-align:left;margin-left:50.7pt;margin-top:13.3pt;width:321.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" fillcolor="white [3201]" strokeweight=".5pt">
                <v:path arrowok="t"/>
                <v:textbox>
                  <w:txbxContent>
                    <w:p w:rsidR="00DC339E" w:rsidRDefault="00DC339E"/>
                  </w:txbxContent>
                </v:textbox>
              </v:shape>
            </w:pict>
          </mc:Fallback>
        </mc:AlternateContent>
      </w: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947557" w:rsidRPr="00011FCD" w:rsidRDefault="00947557" w:rsidP="00947557">
      <w:pPr>
        <w:spacing w:after="0" w:line="360" w:lineRule="auto"/>
        <w:jc w:val="both"/>
        <w:rPr>
          <w:rFonts w:ascii="Arial" w:hAnsi="Arial" w:cs="Arial"/>
          <w:b/>
          <w:sz w:val="24"/>
          <w:szCs w:val="24"/>
        </w:rPr>
      </w:pPr>
    </w:p>
    <w:p w:rsidR="007730E4" w:rsidRPr="00011FCD" w:rsidRDefault="007730E4" w:rsidP="00947557">
      <w:pPr>
        <w:spacing w:after="0" w:line="360" w:lineRule="auto"/>
        <w:jc w:val="center"/>
        <w:rPr>
          <w:rFonts w:ascii="Arial" w:hAnsi="Arial" w:cs="Arial"/>
          <w:sz w:val="24"/>
          <w:szCs w:val="24"/>
        </w:rPr>
      </w:pPr>
    </w:p>
    <w:p w:rsidR="00947557" w:rsidRPr="00011FCD" w:rsidRDefault="00947557" w:rsidP="00947557">
      <w:pPr>
        <w:spacing w:after="0" w:line="360" w:lineRule="auto"/>
        <w:jc w:val="right"/>
        <w:rPr>
          <w:rFonts w:ascii="Arial" w:hAnsi="Arial" w:cs="Arial"/>
        </w:rPr>
      </w:pPr>
    </w:p>
    <w:p w:rsidR="00947557" w:rsidRPr="00011FCD" w:rsidRDefault="00947557" w:rsidP="00947557">
      <w:pPr>
        <w:spacing w:after="0" w:line="360" w:lineRule="auto"/>
        <w:jc w:val="right"/>
        <w:rPr>
          <w:rFonts w:ascii="Arial" w:hAnsi="Arial" w:cs="Arial"/>
          <w:sz w:val="24"/>
          <w:szCs w:val="24"/>
        </w:rPr>
      </w:pPr>
    </w:p>
    <w:p w:rsidR="00947557" w:rsidRPr="00011FCD" w:rsidRDefault="00947557" w:rsidP="00947557">
      <w:pPr>
        <w:spacing w:after="0" w:line="360" w:lineRule="auto"/>
        <w:jc w:val="right"/>
        <w:rPr>
          <w:rFonts w:ascii="Arial" w:hAnsi="Arial" w:cs="Arial"/>
          <w:sz w:val="24"/>
          <w:szCs w:val="24"/>
        </w:rPr>
      </w:pPr>
    </w:p>
    <w:p w:rsidR="00947557" w:rsidRPr="00011FCD" w:rsidRDefault="00947557" w:rsidP="00947557">
      <w:pPr>
        <w:spacing w:after="0" w:line="360" w:lineRule="auto"/>
        <w:jc w:val="right"/>
        <w:rPr>
          <w:rFonts w:ascii="Arial" w:hAnsi="Arial" w:cs="Arial"/>
          <w:sz w:val="24"/>
          <w:szCs w:val="24"/>
        </w:rPr>
      </w:pPr>
    </w:p>
    <w:p w:rsidR="00947557" w:rsidRPr="00011FCD" w:rsidRDefault="00947557" w:rsidP="00947557">
      <w:pPr>
        <w:spacing w:after="0" w:line="360" w:lineRule="auto"/>
        <w:jc w:val="right"/>
        <w:rPr>
          <w:rFonts w:ascii="Arial" w:hAnsi="Arial" w:cs="Arial"/>
          <w:sz w:val="24"/>
          <w:szCs w:val="24"/>
        </w:rPr>
      </w:pPr>
    </w:p>
    <w:p w:rsidR="004317B5" w:rsidRPr="00011FCD" w:rsidRDefault="004317B5" w:rsidP="00947557">
      <w:pPr>
        <w:spacing w:after="0" w:line="360" w:lineRule="auto"/>
        <w:jc w:val="right"/>
        <w:rPr>
          <w:rFonts w:ascii="Arial" w:hAnsi="Arial" w:cs="Arial"/>
          <w:sz w:val="24"/>
          <w:szCs w:val="24"/>
        </w:rPr>
      </w:pPr>
    </w:p>
    <w:p w:rsidR="004317B5" w:rsidRPr="00011FCD" w:rsidRDefault="004317B5"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132ADB" w:rsidRPr="00011FCD" w:rsidRDefault="00132ADB" w:rsidP="00947557">
      <w:pPr>
        <w:spacing w:after="0" w:line="360" w:lineRule="auto"/>
        <w:jc w:val="right"/>
        <w:rPr>
          <w:rFonts w:ascii="Arial" w:hAnsi="Arial" w:cs="Arial"/>
          <w:sz w:val="24"/>
          <w:szCs w:val="24"/>
        </w:rPr>
      </w:pPr>
    </w:p>
    <w:p w:rsidR="00802FE7" w:rsidRPr="00011FCD" w:rsidRDefault="00802FE7" w:rsidP="00802FE7">
      <w:pPr>
        <w:spacing w:after="0" w:line="360" w:lineRule="auto"/>
        <w:rPr>
          <w:rFonts w:ascii="Arial" w:hAnsi="Arial" w:cs="Arial"/>
          <w:sz w:val="24"/>
          <w:szCs w:val="24"/>
        </w:rPr>
      </w:pPr>
    </w:p>
    <w:p w:rsidR="009E1856" w:rsidRPr="00011FCD" w:rsidRDefault="009E1856" w:rsidP="00E92B81">
      <w:pPr>
        <w:spacing w:after="0" w:line="240" w:lineRule="auto"/>
        <w:ind w:left="4536"/>
        <w:jc w:val="both"/>
        <w:rPr>
          <w:rFonts w:ascii="Arial" w:hAnsi="Arial" w:cs="Arial"/>
          <w:sz w:val="24"/>
          <w:szCs w:val="24"/>
        </w:rPr>
      </w:pPr>
    </w:p>
    <w:p w:rsidR="009E1856" w:rsidRPr="00011FCD" w:rsidRDefault="009E1856" w:rsidP="00E92B81">
      <w:pPr>
        <w:spacing w:after="0" w:line="240" w:lineRule="auto"/>
        <w:ind w:left="4536"/>
        <w:jc w:val="both"/>
        <w:rPr>
          <w:rFonts w:ascii="Arial" w:hAnsi="Arial" w:cs="Arial"/>
          <w:sz w:val="24"/>
          <w:szCs w:val="24"/>
        </w:rPr>
      </w:pPr>
    </w:p>
    <w:p w:rsidR="009E1856" w:rsidRPr="00011FCD" w:rsidRDefault="009E1856" w:rsidP="00E92B81">
      <w:pPr>
        <w:spacing w:after="0" w:line="240" w:lineRule="auto"/>
        <w:ind w:left="4536"/>
        <w:jc w:val="both"/>
        <w:rPr>
          <w:rFonts w:ascii="Arial" w:hAnsi="Arial" w:cs="Arial"/>
          <w:sz w:val="24"/>
          <w:szCs w:val="24"/>
        </w:rPr>
      </w:pPr>
    </w:p>
    <w:p w:rsidR="00947557" w:rsidRPr="00011FCD" w:rsidRDefault="007730E4" w:rsidP="00E92B81">
      <w:pPr>
        <w:spacing w:after="0" w:line="240" w:lineRule="auto"/>
        <w:ind w:left="4536"/>
        <w:jc w:val="both"/>
        <w:rPr>
          <w:rFonts w:ascii="Arial" w:hAnsi="Arial" w:cs="Arial"/>
          <w:sz w:val="24"/>
          <w:szCs w:val="24"/>
        </w:rPr>
      </w:pPr>
      <w:r w:rsidRPr="00011FCD">
        <w:rPr>
          <w:rFonts w:ascii="Arial" w:hAnsi="Arial" w:cs="Arial"/>
          <w:sz w:val="24"/>
          <w:szCs w:val="24"/>
        </w:rPr>
        <w:t>Trabalho de Conclusão de Curso - Artigo Científico - apresentado como pré-requisito para a obtenção do título de Bacharel em Direito</w:t>
      </w:r>
      <w:r w:rsidR="00E92B81" w:rsidRPr="00011FCD">
        <w:rPr>
          <w:rFonts w:ascii="Arial" w:hAnsi="Arial" w:cs="Arial"/>
          <w:sz w:val="24"/>
          <w:szCs w:val="24"/>
        </w:rPr>
        <w:t>, outorgado pela UniFacisa – Centro Universitário</w:t>
      </w:r>
    </w:p>
    <w:p w:rsidR="003470CF" w:rsidRPr="00011FCD" w:rsidRDefault="003470CF" w:rsidP="00D07FC5">
      <w:pPr>
        <w:pStyle w:val="Elementos1"/>
      </w:pPr>
    </w:p>
    <w:p w:rsidR="00947557" w:rsidRPr="00011FCD" w:rsidRDefault="00947557" w:rsidP="00D07FC5">
      <w:pPr>
        <w:pStyle w:val="Elementos1"/>
      </w:pPr>
      <w:r w:rsidRPr="00011FCD">
        <w:t>BANCA EXAMINADORA:</w:t>
      </w:r>
    </w:p>
    <w:p w:rsidR="00947557" w:rsidRPr="00011FCD" w:rsidRDefault="00947557" w:rsidP="00947557">
      <w:pPr>
        <w:spacing w:after="0" w:line="240" w:lineRule="auto"/>
        <w:ind w:left="4536"/>
        <w:jc w:val="center"/>
        <w:rPr>
          <w:rFonts w:ascii="Arial" w:hAnsi="Arial" w:cs="Arial"/>
          <w:sz w:val="26"/>
          <w:szCs w:val="26"/>
        </w:rPr>
      </w:pPr>
    </w:p>
    <w:p w:rsidR="00947557" w:rsidRPr="00011FCD" w:rsidRDefault="00947557" w:rsidP="00947557">
      <w:pPr>
        <w:spacing w:after="0" w:line="240" w:lineRule="auto"/>
        <w:ind w:left="4536"/>
        <w:jc w:val="center"/>
        <w:rPr>
          <w:rFonts w:ascii="Arial" w:hAnsi="Arial" w:cs="Arial"/>
          <w:sz w:val="26"/>
          <w:szCs w:val="26"/>
        </w:rPr>
      </w:pPr>
    </w:p>
    <w:p w:rsidR="00947557" w:rsidRPr="00011FCD" w:rsidRDefault="00947557" w:rsidP="00D07FC5">
      <w:pPr>
        <w:pStyle w:val="Elementos2"/>
        <w:rPr>
          <w:color w:val="auto"/>
        </w:rPr>
      </w:pPr>
      <w:r w:rsidRPr="00011FCD">
        <w:rPr>
          <w:color w:val="auto"/>
        </w:rPr>
        <w:t>_____________________________</w:t>
      </w:r>
    </w:p>
    <w:p w:rsidR="009E1856" w:rsidRPr="00011FCD" w:rsidRDefault="00947557" w:rsidP="009E1856">
      <w:pPr>
        <w:pStyle w:val="Elementos1"/>
      </w:pPr>
      <w:r w:rsidRPr="00011FCD">
        <w:t xml:space="preserve">Prof. </w:t>
      </w:r>
      <w:r w:rsidR="009E1856" w:rsidRPr="00011FCD">
        <w:t>D</w:t>
      </w:r>
      <w:r w:rsidRPr="00011FCD">
        <w:t>a</w:t>
      </w:r>
      <w:r w:rsidR="009E1856" w:rsidRPr="00011FCD">
        <w:t xml:space="preserve"> </w:t>
      </w:r>
      <w:r w:rsidR="000E0B58" w:rsidRPr="00011FCD">
        <w:t>Uni</w:t>
      </w:r>
      <w:r w:rsidR="00ED7AF2" w:rsidRPr="00011FCD">
        <w:t>Facisa</w:t>
      </w:r>
      <w:r w:rsidR="000426FA" w:rsidRPr="00011FCD">
        <w:t xml:space="preserve"> </w:t>
      </w:r>
      <w:r w:rsidR="009E1856" w:rsidRPr="00011FCD">
        <w:rPr>
          <w:rStyle w:val="nfase"/>
          <w:bCs/>
          <w:i w:val="0"/>
          <w:iCs w:val="0"/>
          <w:shd w:val="clear" w:color="auto" w:fill="FFFFFF"/>
        </w:rPr>
        <w:t>Breno Wanderley César Segundo</w:t>
      </w:r>
      <w:r w:rsidR="009E1856" w:rsidRPr="00011FCD">
        <w:rPr>
          <w:shd w:val="clear" w:color="auto" w:fill="FFFFFF"/>
        </w:rPr>
        <w:t> </w:t>
      </w:r>
      <w:r w:rsidR="000426FA" w:rsidRPr="00011FCD">
        <w:t>, Ms</w:t>
      </w:r>
      <w:r w:rsidR="000E0B58" w:rsidRPr="00011FCD">
        <w:t>.</w:t>
      </w:r>
    </w:p>
    <w:p w:rsidR="00947557" w:rsidRPr="00011FCD" w:rsidRDefault="00ED7AF2" w:rsidP="009E1856">
      <w:pPr>
        <w:pStyle w:val="Elementos1"/>
        <w:jc w:val="center"/>
      </w:pPr>
      <w:r w:rsidRPr="00011FCD">
        <w:t>Orientador</w:t>
      </w:r>
    </w:p>
    <w:p w:rsidR="00947557" w:rsidRPr="00011FCD" w:rsidRDefault="00947557" w:rsidP="00D07FC5">
      <w:pPr>
        <w:pStyle w:val="Elementos2"/>
        <w:rPr>
          <w:color w:val="auto"/>
        </w:rPr>
      </w:pPr>
    </w:p>
    <w:p w:rsidR="00595B89" w:rsidRPr="00011FCD" w:rsidRDefault="00595B89" w:rsidP="00D07FC5">
      <w:pPr>
        <w:pStyle w:val="Elementos2"/>
        <w:rPr>
          <w:color w:val="auto"/>
        </w:rPr>
      </w:pPr>
    </w:p>
    <w:p w:rsidR="00947557" w:rsidRPr="00011FCD" w:rsidRDefault="00947557" w:rsidP="00D07FC5">
      <w:pPr>
        <w:pStyle w:val="Elementos2"/>
        <w:rPr>
          <w:color w:val="auto"/>
        </w:rPr>
      </w:pPr>
      <w:r w:rsidRPr="00011FCD">
        <w:rPr>
          <w:color w:val="auto"/>
        </w:rPr>
        <w:t>______________________________</w:t>
      </w:r>
    </w:p>
    <w:p w:rsidR="00947557" w:rsidRPr="00011FCD" w:rsidRDefault="00947557" w:rsidP="00D07FC5">
      <w:pPr>
        <w:pStyle w:val="Elementos2"/>
        <w:rPr>
          <w:color w:val="auto"/>
        </w:rPr>
      </w:pPr>
      <w:r w:rsidRPr="00011FCD">
        <w:rPr>
          <w:color w:val="auto"/>
        </w:rPr>
        <w:t xml:space="preserve">Prof.ª da </w:t>
      </w:r>
      <w:r w:rsidR="000E0B58" w:rsidRPr="00011FCD">
        <w:rPr>
          <w:color w:val="auto"/>
        </w:rPr>
        <w:t>Uni</w:t>
      </w:r>
      <w:r w:rsidRPr="00011FCD">
        <w:rPr>
          <w:color w:val="auto"/>
        </w:rPr>
        <w:t>Facisa, Dra.</w:t>
      </w:r>
    </w:p>
    <w:p w:rsidR="00947557" w:rsidRPr="00011FCD" w:rsidRDefault="00947557" w:rsidP="00D07FC5">
      <w:pPr>
        <w:pStyle w:val="Elementos2"/>
        <w:rPr>
          <w:color w:val="auto"/>
        </w:rPr>
      </w:pPr>
    </w:p>
    <w:p w:rsidR="007730E4" w:rsidRPr="00011FCD" w:rsidRDefault="007730E4" w:rsidP="00D07FC5">
      <w:pPr>
        <w:pStyle w:val="Elementos2"/>
        <w:rPr>
          <w:color w:val="auto"/>
        </w:rPr>
      </w:pPr>
    </w:p>
    <w:p w:rsidR="00947557" w:rsidRPr="00011FCD" w:rsidRDefault="00947557" w:rsidP="00D07FC5">
      <w:pPr>
        <w:pStyle w:val="Elementos2"/>
        <w:rPr>
          <w:color w:val="auto"/>
        </w:rPr>
      </w:pPr>
      <w:r w:rsidRPr="00011FCD">
        <w:rPr>
          <w:color w:val="auto"/>
        </w:rPr>
        <w:t>_____________________________</w:t>
      </w:r>
      <w:r w:rsidR="00161D30" w:rsidRPr="00011FCD">
        <w:rPr>
          <w:color w:val="auto"/>
        </w:rPr>
        <w:t xml:space="preserve"> </w:t>
      </w:r>
    </w:p>
    <w:p w:rsidR="002E5C24" w:rsidRPr="00011FCD" w:rsidRDefault="00947557" w:rsidP="00161D30">
      <w:pPr>
        <w:pStyle w:val="Elementos2"/>
        <w:rPr>
          <w:color w:val="auto"/>
        </w:rPr>
      </w:pPr>
      <w:r w:rsidRPr="00011FCD">
        <w:rPr>
          <w:color w:val="auto"/>
        </w:rPr>
        <w:t xml:space="preserve">Prof.ª da </w:t>
      </w:r>
      <w:r w:rsidR="000E0B58" w:rsidRPr="00011FCD">
        <w:rPr>
          <w:color w:val="auto"/>
        </w:rPr>
        <w:t>Uni</w:t>
      </w:r>
      <w:r w:rsidRPr="00011FCD">
        <w:rPr>
          <w:color w:val="auto"/>
        </w:rPr>
        <w:t>Facisa, Dra.</w:t>
      </w:r>
    </w:p>
    <w:p w:rsidR="00CD2C56" w:rsidRPr="00011FCD" w:rsidRDefault="00CD2C56" w:rsidP="00CD2C56">
      <w:pPr>
        <w:spacing w:line="360" w:lineRule="auto"/>
        <w:jc w:val="center"/>
        <w:rPr>
          <w:rFonts w:ascii="Arial" w:hAnsi="Arial" w:cs="Arial"/>
          <w:sz w:val="24"/>
          <w:szCs w:val="24"/>
        </w:rPr>
      </w:pPr>
    </w:p>
    <w:p w:rsidR="00CD2C56" w:rsidRPr="00011FCD" w:rsidRDefault="00CD2C56" w:rsidP="00CD2C56">
      <w:pPr>
        <w:spacing w:line="360" w:lineRule="auto"/>
        <w:jc w:val="center"/>
        <w:rPr>
          <w:rFonts w:ascii="Arial" w:hAnsi="Arial" w:cs="Arial"/>
          <w:sz w:val="24"/>
          <w:szCs w:val="24"/>
        </w:rPr>
      </w:pPr>
    </w:p>
    <w:p w:rsidR="00CD2C56" w:rsidRPr="00011FCD" w:rsidRDefault="00CD2C56" w:rsidP="00CD2C56">
      <w:pPr>
        <w:spacing w:line="360" w:lineRule="auto"/>
        <w:jc w:val="center"/>
        <w:rPr>
          <w:rFonts w:ascii="Arial" w:hAnsi="Arial" w:cs="Arial"/>
          <w:sz w:val="24"/>
          <w:szCs w:val="24"/>
        </w:rPr>
      </w:pPr>
    </w:p>
    <w:p w:rsidR="00CD2C56" w:rsidRPr="00011FCD" w:rsidRDefault="00CD2C56" w:rsidP="00CD2C56">
      <w:pPr>
        <w:spacing w:line="360" w:lineRule="auto"/>
        <w:jc w:val="center"/>
        <w:rPr>
          <w:rFonts w:ascii="Arial" w:hAnsi="Arial" w:cs="Arial"/>
          <w:sz w:val="24"/>
          <w:szCs w:val="24"/>
        </w:rPr>
      </w:pPr>
    </w:p>
    <w:p w:rsidR="00CD2C56" w:rsidRPr="00011FCD" w:rsidRDefault="00CD2C56" w:rsidP="00CD2C56">
      <w:pPr>
        <w:spacing w:line="360" w:lineRule="auto"/>
        <w:jc w:val="center"/>
        <w:rPr>
          <w:rFonts w:ascii="Arial" w:hAnsi="Arial" w:cs="Arial"/>
          <w:sz w:val="24"/>
          <w:szCs w:val="24"/>
        </w:rPr>
      </w:pPr>
    </w:p>
    <w:p w:rsidR="00CD2C56" w:rsidRPr="00011FCD" w:rsidRDefault="00CD2C56" w:rsidP="00CD2C56">
      <w:pPr>
        <w:spacing w:line="360" w:lineRule="auto"/>
        <w:jc w:val="center"/>
        <w:rPr>
          <w:rFonts w:ascii="Arial" w:hAnsi="Arial" w:cs="Arial"/>
          <w:sz w:val="24"/>
          <w:szCs w:val="24"/>
        </w:rPr>
      </w:pPr>
    </w:p>
    <w:p w:rsidR="006C7C03" w:rsidRPr="00011FCD" w:rsidRDefault="00CD2C56" w:rsidP="00CD2C56">
      <w:pPr>
        <w:spacing w:line="360" w:lineRule="auto"/>
        <w:jc w:val="center"/>
        <w:rPr>
          <w:rFonts w:ascii="Arial" w:hAnsi="Arial" w:cs="Arial"/>
          <w:sz w:val="24"/>
          <w:szCs w:val="24"/>
        </w:rPr>
      </w:pPr>
      <w:r w:rsidRPr="00011FCD">
        <w:rPr>
          <w:rFonts w:ascii="Arial" w:hAnsi="Arial" w:cs="Arial"/>
          <w:sz w:val="24"/>
          <w:szCs w:val="24"/>
        </w:rPr>
        <w:lastRenderedPageBreak/>
        <w:t>CRIMES DE COLARINHO BRANCO: UMA ANÁLISE SOBRE A EFICÁCIA NORMATIVA DA LEI 7.492/86</w:t>
      </w:r>
      <w:r w:rsidR="006C7C03" w:rsidRPr="00011FCD">
        <w:rPr>
          <w:lang w:eastAsia="en-US"/>
        </w:rPr>
        <w:t>.</w:t>
      </w:r>
    </w:p>
    <w:p w:rsidR="00503186" w:rsidRPr="00011FCD" w:rsidRDefault="00503186" w:rsidP="007178CE">
      <w:pPr>
        <w:tabs>
          <w:tab w:val="left" w:pos="708"/>
        </w:tabs>
        <w:suppressAutoHyphens/>
        <w:spacing w:after="0" w:line="360" w:lineRule="auto"/>
        <w:jc w:val="center"/>
        <w:rPr>
          <w:rFonts w:ascii="Arial" w:eastAsia="Calibri" w:hAnsi="Arial" w:cs="Arial"/>
          <w:sz w:val="24"/>
          <w:szCs w:val="24"/>
        </w:rPr>
      </w:pPr>
    </w:p>
    <w:p w:rsidR="00460B8F" w:rsidRPr="00011FCD" w:rsidRDefault="00CD2C56" w:rsidP="002B1670">
      <w:pPr>
        <w:pStyle w:val="Texto"/>
        <w:jc w:val="right"/>
      </w:pPr>
      <w:r w:rsidRPr="00011FCD">
        <w:rPr>
          <w:rStyle w:val="nfase"/>
          <w:i w:val="0"/>
          <w:iCs w:val="0"/>
        </w:rPr>
        <w:t>Alexandra Maria Lima Carvalho</w:t>
      </w:r>
      <w:r w:rsidR="0005784B" w:rsidRPr="00011FCD">
        <w:rPr>
          <w:rStyle w:val="Refdenotaderodap"/>
        </w:rPr>
        <w:footnoteReference w:id="1"/>
      </w:r>
    </w:p>
    <w:p w:rsidR="00460B8F" w:rsidRPr="00011FCD" w:rsidRDefault="002B1670" w:rsidP="002B1670">
      <w:pPr>
        <w:pStyle w:val="Texto"/>
        <w:jc w:val="right"/>
      </w:pPr>
      <w:r w:rsidRPr="00011FCD">
        <w:rPr>
          <w:rStyle w:val="nfase"/>
          <w:i w:val="0"/>
          <w:iCs w:val="0"/>
        </w:rPr>
        <w:t>Breno Wanderley César Segundo</w:t>
      </w:r>
      <w:r w:rsidR="006863AC" w:rsidRPr="00011FCD">
        <w:rPr>
          <w:rStyle w:val="nfase"/>
          <w:i w:val="0"/>
          <w:iCs w:val="0"/>
          <w:vertAlign w:val="superscript"/>
        </w:rPr>
        <w:t>**</w:t>
      </w:r>
    </w:p>
    <w:p w:rsidR="00947557" w:rsidRPr="00011FCD" w:rsidRDefault="00947557" w:rsidP="00947557">
      <w:pPr>
        <w:tabs>
          <w:tab w:val="left" w:pos="708"/>
        </w:tabs>
        <w:suppressAutoHyphens/>
        <w:spacing w:after="0" w:line="360" w:lineRule="auto"/>
        <w:jc w:val="right"/>
        <w:rPr>
          <w:rFonts w:ascii="Arial" w:eastAsia="Calibri" w:hAnsi="Arial" w:cs="Arial"/>
          <w:sz w:val="24"/>
          <w:szCs w:val="24"/>
        </w:rPr>
      </w:pPr>
    </w:p>
    <w:p w:rsidR="00947557" w:rsidRPr="00011FCD" w:rsidRDefault="00947557" w:rsidP="00E0510D">
      <w:pPr>
        <w:tabs>
          <w:tab w:val="left" w:pos="708"/>
        </w:tabs>
        <w:suppressAutoHyphens/>
        <w:spacing w:after="0" w:line="360" w:lineRule="auto"/>
        <w:rPr>
          <w:rFonts w:ascii="Arial" w:eastAsia="Calibri" w:hAnsi="Arial" w:cs="Arial"/>
        </w:rPr>
      </w:pPr>
    </w:p>
    <w:p w:rsidR="00947557" w:rsidRPr="00011FCD" w:rsidRDefault="00802FE7" w:rsidP="00B27799">
      <w:pPr>
        <w:tabs>
          <w:tab w:val="left" w:pos="708"/>
        </w:tabs>
        <w:suppressAutoHyphens/>
        <w:spacing w:after="0"/>
        <w:jc w:val="center"/>
        <w:rPr>
          <w:rFonts w:ascii="Arial" w:eastAsia="Calibri" w:hAnsi="Arial" w:cs="Arial"/>
          <w:b/>
          <w:bCs/>
          <w:sz w:val="24"/>
          <w:szCs w:val="24"/>
        </w:rPr>
      </w:pPr>
      <w:r w:rsidRPr="00011FCD">
        <w:rPr>
          <w:rFonts w:ascii="Arial" w:eastAsia="Calibri" w:hAnsi="Arial" w:cs="Arial"/>
          <w:b/>
          <w:bCs/>
          <w:sz w:val="24"/>
          <w:szCs w:val="24"/>
        </w:rPr>
        <w:t>RESUM</w:t>
      </w:r>
      <w:r w:rsidR="00B27799" w:rsidRPr="00011FCD">
        <w:rPr>
          <w:rFonts w:ascii="Arial" w:eastAsia="Calibri" w:hAnsi="Arial" w:cs="Arial"/>
          <w:b/>
          <w:bCs/>
          <w:sz w:val="24"/>
          <w:szCs w:val="24"/>
        </w:rPr>
        <w:t>O</w:t>
      </w:r>
    </w:p>
    <w:p w:rsidR="00B27799" w:rsidRPr="00011FCD" w:rsidRDefault="00B27799" w:rsidP="00E0510D">
      <w:pPr>
        <w:pStyle w:val="Resumo"/>
      </w:pPr>
    </w:p>
    <w:p w:rsidR="007376E9" w:rsidRPr="00011FCD" w:rsidRDefault="00B27799" w:rsidP="00E0510D">
      <w:pPr>
        <w:pStyle w:val="Resumo"/>
        <w:rPr>
          <w:rStyle w:val="TextodeRefChar0"/>
          <w:rFonts w:eastAsia="Calibri"/>
        </w:rPr>
      </w:pPr>
      <w:r w:rsidRPr="00011FCD">
        <w:rPr>
          <w:rStyle w:val="textoChar0"/>
          <w:rFonts w:eastAsia="Calibri" w:cs="Arial"/>
        </w:rPr>
        <w:t xml:space="preserve">o Brasil é reconhecido, no cenário mundial, pelos os inúmeros escândalos de corrupção e fraudes contra a coisa pública. Dentre tais tipos penais, o crime do colarinho branco é caracterizado por não ser violento, com motivação financeira e que pode ser praticado por agentes estatais ou que possuam direta relação com a coisa pública. Na prática, negócios jurídicos, aproveitando-se das peculiaridades específicas inerentes à administração pública, são fraudados objetivando a obtenção de vantagens pessoais.  Diante do exposto, o objetivo geral desse artigo é </w:t>
      </w:r>
      <w:r w:rsidRPr="00011FCD">
        <w:t xml:space="preserve">apresentar aspectos da Lei 7.492/86 (Lei do Colarinho Branco) como instrumento de prevenção e punição aos crimes cometidos contra o sistema financeiro nacional. </w:t>
      </w:r>
      <w:r w:rsidRPr="00011FCD">
        <w:rPr>
          <w:rStyle w:val="TextodeRefChar0"/>
          <w:rFonts w:eastAsia="Calibri"/>
        </w:rPr>
        <w:t>quais os limites normativos do Decreto-Lei nº 7.492/86 que contribuem para a ineficácia da norma quando da prática do crime do colarinho branco?</w:t>
      </w:r>
      <w:r w:rsidR="004C1092" w:rsidRPr="00011FCD">
        <w:rPr>
          <w:rStyle w:val="TextodeRefChar0"/>
          <w:rFonts w:eastAsia="Calibri"/>
        </w:rPr>
        <w:t>. A</w:t>
      </w:r>
      <w:r w:rsidRPr="00011FCD">
        <w:rPr>
          <w:rStyle w:val="TextodeRefChar0"/>
          <w:rFonts w:eastAsia="Calibri"/>
        </w:rPr>
        <w:t>ssume como pressuposto que os crimes do colarinho branco são práticas vedadas pelo direito penal em função do dano que causam ao interesse público e a tutela do bem coletivo.</w:t>
      </w:r>
      <w:r w:rsidR="007376E9" w:rsidRPr="00011FCD">
        <w:rPr>
          <w:rStyle w:val="TextodeRefChar0"/>
          <w:rFonts w:eastAsia="Calibri"/>
        </w:rPr>
        <w:t xml:space="preserve"> </w:t>
      </w:r>
      <w:r w:rsidR="004C1092" w:rsidRPr="00011FCD">
        <w:rPr>
          <w:rStyle w:val="TextodeRefChar0"/>
          <w:rFonts w:eastAsia="Calibri"/>
        </w:rPr>
        <w:t xml:space="preserve">A </w:t>
      </w:r>
      <w:r w:rsidR="007376E9" w:rsidRPr="00011FCD">
        <w:rPr>
          <w:rStyle w:val="TextodeRefChar0"/>
          <w:rFonts w:eastAsia="Calibri"/>
        </w:rPr>
        <w:t xml:space="preserve">metodologia </w:t>
      </w:r>
      <w:r w:rsidR="004C1092" w:rsidRPr="00011FCD">
        <w:rPr>
          <w:rStyle w:val="TextodeRefChar0"/>
          <w:rFonts w:eastAsia="Calibri"/>
        </w:rPr>
        <w:t>é classificada como uma revisão</w:t>
      </w:r>
      <w:r w:rsidR="007376E9" w:rsidRPr="00011FCD">
        <w:rPr>
          <w:rStyle w:val="TextodeRefChar0"/>
          <w:rFonts w:eastAsia="Calibri"/>
        </w:rPr>
        <w:t xml:space="preserve"> bibliográfica exploratória do tipo qualitativa desenvolvida a partir do método dedutivo</w:t>
      </w:r>
      <w:r w:rsidR="004C1092" w:rsidRPr="00011FCD">
        <w:rPr>
          <w:rStyle w:val="TextodeRefChar0"/>
          <w:rFonts w:eastAsia="Calibri"/>
        </w:rPr>
        <w:t xml:space="preserve">. </w:t>
      </w:r>
      <w:r w:rsidR="007376E9" w:rsidRPr="00011FCD">
        <w:rPr>
          <w:rStyle w:val="TextodeRefChar0"/>
          <w:rFonts w:eastAsia="Calibri"/>
        </w:rPr>
        <w:t>Em um cenário social marcado pelos inúmeros casos de corrupção e práticas desse tipo penal justificam os constantes estudos científicos sobre essa temática. É com todos esses argumentos que se justificável a construção dessa pesquisa.</w:t>
      </w:r>
    </w:p>
    <w:p w:rsidR="00495F56" w:rsidRPr="00011FCD" w:rsidRDefault="00495F56" w:rsidP="00947557">
      <w:pPr>
        <w:tabs>
          <w:tab w:val="left" w:pos="708"/>
        </w:tabs>
        <w:suppressAutoHyphens/>
        <w:spacing w:after="0"/>
        <w:rPr>
          <w:rFonts w:ascii="Arial" w:eastAsia="Calibri" w:hAnsi="Arial" w:cs="Arial"/>
          <w:b/>
          <w:bCs/>
          <w:sz w:val="24"/>
          <w:szCs w:val="24"/>
        </w:rPr>
      </w:pPr>
    </w:p>
    <w:p w:rsidR="00B36E52" w:rsidRPr="00011FCD" w:rsidRDefault="00BC37AD" w:rsidP="00947557">
      <w:pPr>
        <w:tabs>
          <w:tab w:val="left" w:pos="708"/>
        </w:tabs>
        <w:suppressAutoHyphens/>
        <w:spacing w:after="0" w:line="360" w:lineRule="auto"/>
        <w:jc w:val="both"/>
        <w:rPr>
          <w:rFonts w:ascii="Arial" w:eastAsia="Calibri" w:hAnsi="Arial" w:cs="Arial"/>
          <w:sz w:val="24"/>
          <w:szCs w:val="24"/>
        </w:rPr>
      </w:pPr>
      <w:r w:rsidRPr="00011FCD">
        <w:rPr>
          <w:rFonts w:ascii="Arial" w:eastAsia="Calibri" w:hAnsi="Arial" w:cs="Arial"/>
          <w:b/>
          <w:sz w:val="24"/>
          <w:szCs w:val="24"/>
        </w:rPr>
        <w:t>Palavras-chaves:</w:t>
      </w:r>
      <w:r w:rsidRPr="00011FCD">
        <w:rPr>
          <w:rFonts w:ascii="Arial" w:eastAsia="Calibri" w:hAnsi="Arial" w:cs="Arial"/>
          <w:sz w:val="24"/>
          <w:szCs w:val="24"/>
        </w:rPr>
        <w:t xml:space="preserve"> </w:t>
      </w:r>
      <w:r w:rsidR="004C1092" w:rsidRPr="00011FCD">
        <w:rPr>
          <w:rFonts w:ascii="Arial" w:eastAsia="Calibri" w:hAnsi="Arial" w:cs="Arial"/>
          <w:sz w:val="24"/>
          <w:szCs w:val="24"/>
        </w:rPr>
        <w:t xml:space="preserve">Crimes financeiros. </w:t>
      </w:r>
      <w:r w:rsidR="00E0510D" w:rsidRPr="00011FCD">
        <w:rPr>
          <w:rFonts w:ascii="Arial" w:eastAsia="Calibri" w:hAnsi="Arial" w:cs="Arial"/>
          <w:sz w:val="24"/>
          <w:szCs w:val="24"/>
        </w:rPr>
        <w:t xml:space="preserve">Cofre público. Limites normativos. </w:t>
      </w:r>
    </w:p>
    <w:p w:rsidR="000A6A2F" w:rsidRPr="00011FCD" w:rsidRDefault="000A6A2F" w:rsidP="00947557">
      <w:pPr>
        <w:tabs>
          <w:tab w:val="left" w:pos="708"/>
        </w:tabs>
        <w:suppressAutoHyphens/>
        <w:spacing w:after="0" w:line="360" w:lineRule="auto"/>
        <w:jc w:val="both"/>
        <w:rPr>
          <w:rFonts w:ascii="Arial" w:eastAsia="Calibri" w:hAnsi="Arial" w:cs="Arial"/>
          <w:sz w:val="24"/>
          <w:szCs w:val="24"/>
        </w:rPr>
      </w:pPr>
    </w:p>
    <w:p w:rsidR="00E0510D" w:rsidRPr="00011FCD" w:rsidRDefault="00E0510D" w:rsidP="00E0510D">
      <w:pPr>
        <w:pStyle w:val="Resumo"/>
        <w:jc w:val="center"/>
        <w:rPr>
          <w:b/>
          <w:bCs/>
          <w:lang w:val="es-ES"/>
        </w:rPr>
      </w:pPr>
      <w:r w:rsidRPr="00011FCD">
        <w:rPr>
          <w:b/>
          <w:bCs/>
          <w:lang w:val="es-ES"/>
        </w:rPr>
        <w:t>RESUMEN</w:t>
      </w:r>
    </w:p>
    <w:p w:rsidR="00E0510D" w:rsidRPr="00011FCD" w:rsidRDefault="00E0510D" w:rsidP="00E0510D">
      <w:pPr>
        <w:pStyle w:val="Resumo"/>
        <w:rPr>
          <w:lang w:val="es-ES"/>
        </w:rPr>
      </w:pPr>
    </w:p>
    <w:p w:rsidR="00E0510D" w:rsidRPr="00011FCD" w:rsidRDefault="00E0510D" w:rsidP="00E0510D">
      <w:pPr>
        <w:pStyle w:val="Texto"/>
        <w:ind w:firstLine="0"/>
        <w:rPr>
          <w:lang w:val="es-ES"/>
        </w:rPr>
      </w:pPr>
      <w:r w:rsidRPr="00011FCD">
        <w:rPr>
          <w:lang w:val="es-ES"/>
        </w:rPr>
        <w:t xml:space="preserve">El Brasil es reconocido en el escenario mundial por sus numerosos escándalos de corrupción y fraude contra los asuntos públicos. Entre estos tipos criminales, el delito </w:t>
      </w:r>
      <w:r w:rsidRPr="00011FCD">
        <w:rPr>
          <w:lang w:val="es-ES"/>
        </w:rPr>
        <w:lastRenderedPageBreak/>
        <w:t>de cuello blanco se caracteriza por un delito no violento, motivado financieramente, que puede ser practicado por agentes estatales o aquellos directamente relacionados con los asuntos públicos. En la práctica, las empresas jurídicas, aprovechando las peculiaridades específicas inherentes a la administración pública, son fraudulentas para obtener ventajas personales. Dado lo anterior, el objetivo general de este artículo es presentar aspectos de la Ley 7.492 / 86 (Ley de Cuello Blanco) como instrumento de prevención y castigo de los delitos cometidos contra el sistema financiero nacional. ¿Cuáles son los límites normativos del Decreto-Ley 7,492 / 86 que contribuyen a la ineficacia de la norma cuando se comete el delito de cuello blanco? Se supone que los delitos de cuello blanco son prácticas prohibidas por el derecho penal debido al daño que causan al interés público y la protección del bien colectivo. La metodología se clasifica como una revisión exploratoria de la literatura del tipo cualitativo desarrollado a partir del método deductivo. En un escenario social marcado por numerosos casos de corrupción y prácticas de este tipo criminal, se justifican los constantes estudios científicos sobre este tema. Es con todos estos argumentos que la construcción de esta investigación está justificada.</w:t>
      </w:r>
    </w:p>
    <w:p w:rsidR="00E0510D" w:rsidRPr="00011FCD" w:rsidRDefault="00E0510D" w:rsidP="006863AC">
      <w:pPr>
        <w:pStyle w:val="Texto"/>
        <w:ind w:firstLine="0"/>
        <w:rPr>
          <w:lang w:val="es-ES"/>
        </w:rPr>
      </w:pPr>
    </w:p>
    <w:p w:rsidR="00E0510D" w:rsidRPr="00011FCD" w:rsidRDefault="00E0510D" w:rsidP="006863AC">
      <w:pPr>
        <w:pStyle w:val="Texto"/>
        <w:ind w:firstLine="0"/>
      </w:pPr>
      <w:r w:rsidRPr="00011FCD">
        <w:rPr>
          <w:b/>
          <w:bCs/>
          <w:lang w:val="es-ES"/>
        </w:rPr>
        <w:t>Palabras clave:</w:t>
      </w:r>
      <w:r w:rsidRPr="00011FCD">
        <w:rPr>
          <w:lang w:val="es-ES"/>
        </w:rPr>
        <w:t xml:space="preserve"> Delitos financieros. Caja fuerte pública. Límites normativos.</w:t>
      </w:r>
    </w:p>
    <w:p w:rsidR="00E0510D" w:rsidRPr="00011FCD" w:rsidRDefault="00E0510D" w:rsidP="00E0510D">
      <w:pPr>
        <w:pStyle w:val="Texto"/>
      </w:pPr>
    </w:p>
    <w:p w:rsidR="00CB62DA" w:rsidRPr="00011FCD" w:rsidRDefault="00947557" w:rsidP="008C3722">
      <w:pPr>
        <w:pStyle w:val="T1"/>
        <w:rPr>
          <w:lang w:eastAsia="en-US"/>
        </w:rPr>
      </w:pPr>
      <w:r w:rsidRPr="00011FCD">
        <w:t>1 INTRODUÇÃO</w:t>
      </w:r>
      <w:r w:rsidR="00722129" w:rsidRPr="00011FCD">
        <w:rPr>
          <w:lang w:eastAsia="en-US"/>
        </w:rPr>
        <w:tab/>
      </w:r>
    </w:p>
    <w:p w:rsidR="00706D59" w:rsidRPr="00011FCD" w:rsidRDefault="00802FE7" w:rsidP="00706D59">
      <w:pPr>
        <w:pStyle w:val="T1"/>
        <w:rPr>
          <w:lang w:eastAsia="en-US"/>
        </w:rPr>
      </w:pPr>
      <w:r w:rsidRPr="00011FCD">
        <w:rPr>
          <w:lang w:eastAsia="en-US"/>
        </w:rPr>
        <w:tab/>
      </w:r>
    </w:p>
    <w:p w:rsidR="007D6564" w:rsidRPr="00011FCD" w:rsidRDefault="00F7674E" w:rsidP="00F7674E">
      <w:pPr>
        <w:pStyle w:val="texto0"/>
        <w:rPr>
          <w:rFonts w:eastAsiaTheme="minorEastAsia"/>
        </w:rPr>
      </w:pPr>
      <w:r w:rsidRPr="00011FCD">
        <w:rPr>
          <w:rFonts w:eastAsiaTheme="minorEastAsia"/>
        </w:rPr>
        <w:t xml:space="preserve">O ordenamento jurídico brasileiro possui um rol de normas que visam prevenir e punir os crimes contra a ordem financeira. Trata-se de </w:t>
      </w:r>
      <w:r w:rsidR="00706D59" w:rsidRPr="00011FCD">
        <w:rPr>
          <w:rFonts w:eastAsiaTheme="minorEastAsia"/>
        </w:rPr>
        <w:t>regras que, para além de tutelares patrimônios individuais, visa proteger o bem público, uma vez que, as maiores partes das fraudes lesam diretamente o patrimônio coletivo.</w:t>
      </w:r>
    </w:p>
    <w:p w:rsidR="00706D59" w:rsidRPr="00011FCD" w:rsidRDefault="00FA5759" w:rsidP="00F7674E">
      <w:pPr>
        <w:pStyle w:val="texto0"/>
        <w:rPr>
          <w:rStyle w:val="textoChar0"/>
          <w:rFonts w:eastAsiaTheme="minorEastAsia" w:cs="Arial"/>
        </w:rPr>
      </w:pPr>
      <w:r w:rsidRPr="00011FCD">
        <w:rPr>
          <w:rStyle w:val="textoChar0"/>
          <w:rFonts w:eastAsiaTheme="minorEastAsia" w:cs="Arial"/>
        </w:rPr>
        <w:t xml:space="preserve">De forma contraditória ao posto pela norma jurídica, o Brasil é reconhecido, no cenário mundial, pelos os inúmeros escândalos </w:t>
      </w:r>
      <w:r w:rsidR="00D26D5B" w:rsidRPr="00011FCD">
        <w:rPr>
          <w:rStyle w:val="textoChar0"/>
          <w:rFonts w:eastAsiaTheme="minorEastAsia" w:cs="Arial"/>
        </w:rPr>
        <w:t xml:space="preserve">de corrupção e fraudes contra </w:t>
      </w:r>
      <w:r w:rsidRPr="00011FCD">
        <w:rPr>
          <w:rStyle w:val="textoChar0"/>
          <w:rFonts w:eastAsiaTheme="minorEastAsia" w:cs="Arial"/>
        </w:rPr>
        <w:t xml:space="preserve">a coisa pública. Tais práticas, além de prejuízos financeiros, limita o desenvolvimento social do país, posto que, as partes dos valores que são desviados deveriam fomentar a construção de inúmeras políticas públicas. </w:t>
      </w:r>
    </w:p>
    <w:p w:rsidR="00FA5759" w:rsidRPr="00011FCD" w:rsidRDefault="00F61A7D" w:rsidP="00F7674E">
      <w:pPr>
        <w:pStyle w:val="texto0"/>
        <w:rPr>
          <w:rStyle w:val="textoChar0"/>
          <w:rFonts w:eastAsiaTheme="minorEastAsia" w:cs="Arial"/>
        </w:rPr>
      </w:pPr>
      <w:r w:rsidRPr="00011FCD">
        <w:rPr>
          <w:rStyle w:val="textoChar0"/>
          <w:rFonts w:eastAsiaTheme="minorEastAsia" w:cs="Arial"/>
        </w:rPr>
        <w:t xml:space="preserve">Dentre tais tipos penais, o crime do colarinho branco é caracterizado por não ser violento, com motivação financeira e que pode ser praticado por agentes estatais ou que possuam direta relação com a coisa pública. </w:t>
      </w:r>
      <w:r w:rsidR="00D065E9" w:rsidRPr="00011FCD">
        <w:rPr>
          <w:rStyle w:val="textoChar0"/>
          <w:rFonts w:eastAsiaTheme="minorEastAsia" w:cs="Arial"/>
        </w:rPr>
        <w:t xml:space="preserve">Na prática, negócios jurídicos, </w:t>
      </w:r>
      <w:r w:rsidR="00D065E9" w:rsidRPr="00011FCD">
        <w:rPr>
          <w:rStyle w:val="textoChar0"/>
          <w:rFonts w:eastAsiaTheme="minorEastAsia" w:cs="Arial"/>
        </w:rPr>
        <w:lastRenderedPageBreak/>
        <w:t xml:space="preserve">aproveitando-se das peculiaridades específicas inerentes </w:t>
      </w:r>
      <w:r w:rsidR="001744BC" w:rsidRPr="00011FCD">
        <w:rPr>
          <w:rStyle w:val="textoChar0"/>
          <w:rFonts w:eastAsiaTheme="minorEastAsia" w:cs="Arial"/>
        </w:rPr>
        <w:t>à</w:t>
      </w:r>
      <w:r w:rsidR="00D065E9" w:rsidRPr="00011FCD">
        <w:rPr>
          <w:rStyle w:val="textoChar0"/>
          <w:rFonts w:eastAsiaTheme="minorEastAsia" w:cs="Arial"/>
        </w:rPr>
        <w:t xml:space="preserve"> administração pública, são fraudados objetivando </w:t>
      </w:r>
      <w:r w:rsidR="001744BC" w:rsidRPr="00011FCD">
        <w:rPr>
          <w:rStyle w:val="textoChar0"/>
          <w:rFonts w:eastAsiaTheme="minorEastAsia" w:cs="Arial"/>
        </w:rPr>
        <w:t xml:space="preserve">a obtenção de vantagens pessoais. </w:t>
      </w:r>
    </w:p>
    <w:p w:rsidR="001744BC" w:rsidRPr="00011FCD" w:rsidRDefault="001744BC" w:rsidP="00F7674E">
      <w:pPr>
        <w:pStyle w:val="texto0"/>
        <w:rPr>
          <w:rStyle w:val="textoChar0"/>
          <w:rFonts w:eastAsiaTheme="minorEastAsia" w:cs="Arial"/>
        </w:rPr>
      </w:pPr>
      <w:r w:rsidRPr="00011FCD">
        <w:rPr>
          <w:rStyle w:val="textoChar0"/>
          <w:rFonts w:eastAsiaTheme="minorEastAsia" w:cs="Arial"/>
        </w:rPr>
        <w:t xml:space="preserve">O atual cenário político brasileiro é marcado por inúmeros escândalos de corrupção que foram concretizados através dessa prática. Tais ações geraram, para além de perda patrimonial, um sentimento de descredibilidade da população para com as instituições administrativas e, até mesmo, com a eficácia das normas jurídicas que objetivam punir e prevenir tais ações. </w:t>
      </w:r>
    </w:p>
    <w:p w:rsidR="001744BC" w:rsidRPr="00011FCD" w:rsidRDefault="001744BC" w:rsidP="00E64E59">
      <w:pPr>
        <w:pStyle w:val="texto0"/>
        <w:rPr>
          <w:rStyle w:val="TextodeRefChar0"/>
          <w:rFonts w:eastAsia="Times New Roman" w:cs="Times New Roman"/>
        </w:rPr>
      </w:pPr>
      <w:r w:rsidRPr="00011FCD">
        <w:rPr>
          <w:rStyle w:val="textoChar0"/>
          <w:rFonts w:eastAsiaTheme="minorEastAsia" w:cs="Arial"/>
        </w:rPr>
        <w:t xml:space="preserve">Diante do exposto, o objetivo geral desse artigo é </w:t>
      </w:r>
      <w:r w:rsidR="000853A6" w:rsidRPr="00011FCD">
        <w:t>apresentar aspectos da Lei 7.492/86 (Lei do Colarinho Branco) como instrumento de prevenção e punição aos crimes cometidos contra o sistema financeiro nacional. De forma específica, situar historicamente a Lei do Colarinho Branco na legislação brasileira e suas principais finalidades como mecanismo de prevenção e punição de crimes contra o sistema financeiro nacional; identificar na Lei 7.492/86 os principais tipos penais no que tange aqueles de maior ocorrência na atualidade de acordo com teóricos e pesquisadores do tema; e pesquisar o entendimento dos Tribunais quanto a configuração dos crimes cometidos contra o sistema financeiro nacional.</w:t>
      </w:r>
    </w:p>
    <w:p w:rsidR="00E554BE" w:rsidRPr="00011FCD" w:rsidRDefault="001744BC" w:rsidP="00655954">
      <w:pPr>
        <w:pStyle w:val="texto0"/>
        <w:rPr>
          <w:rStyle w:val="TextodeRefChar0"/>
        </w:rPr>
      </w:pPr>
      <w:r w:rsidRPr="00011FCD">
        <w:rPr>
          <w:rStyle w:val="TextodeRefChar0"/>
        </w:rPr>
        <w:t>Para concretizar esse estudo, foi realizada uma pesquisa bibliográfica através do procedimento exploratório. Em relação ao método, foi utilizado o comparativo-analítico</w:t>
      </w:r>
      <w:r w:rsidR="00655954" w:rsidRPr="00011FCD">
        <w:rPr>
          <w:rStyle w:val="TextodeRefChar0"/>
        </w:rPr>
        <w:t xml:space="preserve"> </w:t>
      </w:r>
      <w:r w:rsidR="00E554BE" w:rsidRPr="00011FCD">
        <w:rPr>
          <w:rStyle w:val="TextodeRefChar0"/>
        </w:rPr>
        <w:t>e, de forma secundária, o hipotético-dedutivo.</w:t>
      </w:r>
    </w:p>
    <w:p w:rsidR="00FD4C81" w:rsidRPr="00011FCD" w:rsidRDefault="00E554BE" w:rsidP="00655954">
      <w:pPr>
        <w:pStyle w:val="texto0"/>
        <w:rPr>
          <w:rStyle w:val="TextodeRefChar0"/>
        </w:rPr>
      </w:pPr>
      <w:r w:rsidRPr="00011FCD">
        <w:rPr>
          <w:rStyle w:val="TextodeRefChar0"/>
        </w:rPr>
        <w:t>Assim, assume-se</w:t>
      </w:r>
      <w:r w:rsidR="00655954" w:rsidRPr="00011FCD">
        <w:rPr>
          <w:rStyle w:val="TextodeRefChar0"/>
        </w:rPr>
        <w:t xml:space="preserve"> a seguinte problemática: quais os limites normativos do Decreto-Lei nº 7.492/86 que contribuem para a ineficácia da norma quando da prática do crime do colarinho branco?</w:t>
      </w:r>
    </w:p>
    <w:p w:rsidR="00655954" w:rsidRPr="00011FCD" w:rsidRDefault="00655954" w:rsidP="00655954">
      <w:pPr>
        <w:pStyle w:val="texto0"/>
        <w:rPr>
          <w:rStyle w:val="TextodeRefChar0"/>
        </w:rPr>
      </w:pPr>
      <w:r w:rsidRPr="00011FCD">
        <w:rPr>
          <w:rStyle w:val="TextodeRefChar0"/>
        </w:rPr>
        <w:t>Para resolver tal questionamento, esse estudo assume como pressuposto que os crimes do colarinho branco são práticas vedadas pelo direito penal em função do dano que causam ao interesse público e a tutela do bem coletivo. Ademais, a sensação de ineficácia normativa leva a construção de sentimento de descredibilidade, por parte da população, do sistema jurídico como um todo.</w:t>
      </w:r>
    </w:p>
    <w:p w:rsidR="00655954" w:rsidRPr="00011FCD" w:rsidRDefault="00655954" w:rsidP="00655954">
      <w:pPr>
        <w:pStyle w:val="texto0"/>
        <w:rPr>
          <w:rStyle w:val="TextodeRefChar0"/>
        </w:rPr>
      </w:pPr>
      <w:r w:rsidRPr="00011FCD">
        <w:rPr>
          <w:rStyle w:val="TextodeRefChar0"/>
        </w:rPr>
        <w:t xml:space="preserve">A ocorrência dos chamados crimes coorporativos não são práticas exclusivas da realidade brasileira. Muitas nações buscam formas de enfrentar a problemática e minimizar as consequências dessa ação. Todavia, diante de uma realidade marcada por forte processo e exclusão social, os crimes que lesam o patrimônio público prejudicam diretamente a construção e o desenvolvimento de políticas públicas e sociais. </w:t>
      </w:r>
    </w:p>
    <w:p w:rsidR="007458AD" w:rsidRPr="00011FCD" w:rsidRDefault="007458AD" w:rsidP="00655954">
      <w:pPr>
        <w:pStyle w:val="texto0"/>
        <w:rPr>
          <w:rStyle w:val="TextodeRefChar0"/>
        </w:rPr>
      </w:pPr>
      <w:r w:rsidRPr="00011FCD">
        <w:rPr>
          <w:rStyle w:val="TextodeRefChar0"/>
        </w:rPr>
        <w:lastRenderedPageBreak/>
        <w:t>Enquanto metodologia, optou-se por uma revisão bibliográfica com abordagem exploratória do tipo qualitativa desenvolvida a partir do método dedutivo quando do exame do tipo penal e de do hipotético quando da análise das consequências do tipo penal na sociedade.</w:t>
      </w:r>
    </w:p>
    <w:p w:rsidR="00655954" w:rsidRPr="00011FCD" w:rsidRDefault="00655954" w:rsidP="00655954">
      <w:pPr>
        <w:pStyle w:val="texto0"/>
        <w:rPr>
          <w:rStyle w:val="TextodeRefChar0"/>
        </w:rPr>
      </w:pPr>
      <w:r w:rsidRPr="00011FCD">
        <w:rPr>
          <w:rStyle w:val="TextodeRefChar0"/>
        </w:rPr>
        <w:t>O objeto dessa pesquisa não é considerado inovador frente a outros estudos científicos que versam sobre a matéria. Entretanto em um cenário social marcado pelos inúmeros casos de corrupção e práticas desse tipo penal justificam os constantes estudos científicos sobre essa temática. É com todos esses argumentos que se justificável a construção dessa pesquisa.</w:t>
      </w:r>
    </w:p>
    <w:p w:rsidR="00655954" w:rsidRPr="00011FCD" w:rsidRDefault="00655954" w:rsidP="00655954">
      <w:pPr>
        <w:pStyle w:val="texto0"/>
        <w:rPr>
          <w:rStyle w:val="textoChar0"/>
          <w:rFonts w:eastAsiaTheme="minorEastAsia" w:cs="Arial"/>
        </w:rPr>
      </w:pPr>
    </w:p>
    <w:p w:rsidR="007D6564" w:rsidRPr="00011FCD" w:rsidRDefault="00655954" w:rsidP="007D6564">
      <w:pPr>
        <w:pStyle w:val="T1"/>
      </w:pPr>
      <w:r w:rsidRPr="00011FCD">
        <w:t>2</w:t>
      </w:r>
      <w:r w:rsidR="00802FE7" w:rsidRPr="00011FCD">
        <w:t xml:space="preserve"> </w:t>
      </w:r>
      <w:r w:rsidRPr="00011FCD">
        <w:t>CRIMES DO COLARINHO BRANCO</w:t>
      </w:r>
    </w:p>
    <w:p w:rsidR="00E64E59" w:rsidRPr="00011FCD" w:rsidRDefault="00E64E59" w:rsidP="00E64E59">
      <w:pPr>
        <w:spacing w:after="0" w:line="360" w:lineRule="auto"/>
        <w:rPr>
          <w:rFonts w:ascii="Arial" w:hAnsi="Arial" w:cs="Times New Roman"/>
          <w:b/>
          <w:sz w:val="24"/>
          <w:szCs w:val="24"/>
        </w:rPr>
      </w:pPr>
      <w:r w:rsidRPr="00011FCD">
        <w:rPr>
          <w:rFonts w:ascii="Arial" w:hAnsi="Arial" w:cs="Times New Roman"/>
          <w:b/>
          <w:sz w:val="24"/>
          <w:szCs w:val="24"/>
        </w:rPr>
        <w:tab/>
      </w:r>
    </w:p>
    <w:p w:rsidR="00E64E59" w:rsidRPr="00011FCD" w:rsidRDefault="00E64E59" w:rsidP="00E64E59">
      <w:pPr>
        <w:shd w:val="clear" w:color="auto" w:fill="FFFFFF"/>
        <w:spacing w:after="0" w:line="360" w:lineRule="auto"/>
        <w:ind w:firstLine="708"/>
        <w:jc w:val="both"/>
        <w:rPr>
          <w:rFonts w:ascii="Arial" w:hAnsi="Arial" w:cs="Arial"/>
          <w:sz w:val="24"/>
          <w:szCs w:val="24"/>
          <w:shd w:val="clear" w:color="auto" w:fill="FFFFFF"/>
        </w:rPr>
      </w:pPr>
      <w:r w:rsidRPr="00011FCD">
        <w:rPr>
          <w:rFonts w:ascii="Arial" w:eastAsia="Times New Roman" w:hAnsi="Arial" w:cs="Arial"/>
          <w:sz w:val="24"/>
          <w:szCs w:val="24"/>
        </w:rPr>
        <w:t>O termo “White Collar Crimen” foi adotado pelo F</w:t>
      </w:r>
      <w:r w:rsidRPr="00011FCD">
        <w:rPr>
          <w:rFonts w:ascii="Arial" w:hAnsi="Arial" w:cs="Arial"/>
          <w:sz w:val="24"/>
          <w:szCs w:val="24"/>
          <w:shd w:val="clear" w:color="auto" w:fill="FFFFFF"/>
        </w:rPr>
        <w:t>ederal Bureau of Investigation (FBI),</w:t>
      </w:r>
      <w:r w:rsidRPr="00011FCD">
        <w:rPr>
          <w:rFonts w:ascii="Arial" w:eastAsia="Times New Roman" w:hAnsi="Arial" w:cs="Arial"/>
          <w:sz w:val="24"/>
          <w:szCs w:val="24"/>
        </w:rPr>
        <w:t xml:space="preserve"> </w:t>
      </w:r>
      <w:r w:rsidRPr="00011FCD">
        <w:rPr>
          <w:rFonts w:ascii="Arial" w:hAnsi="Arial" w:cs="Arial"/>
          <w:sz w:val="24"/>
          <w:szCs w:val="24"/>
          <w:shd w:val="clear" w:color="auto" w:fill="FFFFFF"/>
        </w:rPr>
        <w:t>em 1939, para designar a gama de fraudes cometidas por empresas e profissionais do governo. Estes crimes são caracterizados por engano, ocultação ou violação de confiança e não dependem da aplicação ou ameaça de força física ou violência (</w:t>
      </w:r>
      <w:r w:rsidRPr="00011FCD">
        <w:rPr>
          <w:rFonts w:ascii="Arial" w:hAnsi="Arial" w:cs="Arial"/>
          <w:iCs/>
          <w:sz w:val="24"/>
          <w:szCs w:val="24"/>
          <w:shd w:val="clear" w:color="auto" w:fill="FFFFFF"/>
        </w:rPr>
        <w:t>SUTHERLAND, 2017</w:t>
      </w:r>
      <w:r w:rsidRPr="00011FCD">
        <w:rPr>
          <w:rFonts w:ascii="Arial" w:hAnsi="Arial" w:cs="Arial"/>
          <w:i/>
          <w:sz w:val="24"/>
          <w:szCs w:val="24"/>
          <w:shd w:val="clear" w:color="auto" w:fill="FFFFFF"/>
        </w:rPr>
        <w:t>).</w:t>
      </w:r>
      <w:r w:rsidRPr="00011FCD">
        <w:rPr>
          <w:rFonts w:ascii="Arial" w:hAnsi="Arial" w:cs="Arial"/>
          <w:sz w:val="24"/>
          <w:szCs w:val="24"/>
          <w:shd w:val="clear" w:color="auto" w:fill="FFFFFF"/>
        </w:rPr>
        <w:t> </w:t>
      </w:r>
    </w:p>
    <w:p w:rsidR="00E64E59" w:rsidRPr="00011FCD" w:rsidRDefault="00E64E59" w:rsidP="00E64E59">
      <w:pPr>
        <w:shd w:val="clear" w:color="auto" w:fill="FFFFFF"/>
        <w:spacing w:after="0" w:line="360" w:lineRule="auto"/>
        <w:jc w:val="both"/>
        <w:rPr>
          <w:rFonts w:ascii="Arial" w:hAnsi="Arial" w:cs="Arial"/>
          <w:sz w:val="24"/>
          <w:szCs w:val="24"/>
          <w:shd w:val="clear" w:color="auto" w:fill="FFFFFF"/>
        </w:rPr>
      </w:pPr>
      <w:r w:rsidRPr="00011FCD">
        <w:rPr>
          <w:rFonts w:ascii="Arial" w:hAnsi="Arial" w:cs="Arial"/>
          <w:sz w:val="24"/>
          <w:szCs w:val="24"/>
          <w:shd w:val="clear" w:color="auto" w:fill="FFFFFF"/>
        </w:rPr>
        <w:tab/>
        <w:t>Para este tipo penal, motivação por trás desses crimes é financeira - obter ou evitar a perda de dinheiro, propriedade ou serviços ou para garantir uma vantagem pessoal ou comercial. Assim, EUA (2017), exemplifica os tipos penais:</w:t>
      </w:r>
    </w:p>
    <w:p w:rsidR="00E64E59" w:rsidRPr="00011FCD" w:rsidRDefault="00E64E59" w:rsidP="00DC0807">
      <w:pPr>
        <w:tabs>
          <w:tab w:val="left" w:pos="8789"/>
        </w:tabs>
        <w:autoSpaceDE w:val="0"/>
        <w:autoSpaceDN w:val="0"/>
        <w:spacing w:after="0" w:line="240" w:lineRule="auto"/>
        <w:ind w:left="2268"/>
        <w:jc w:val="both"/>
        <w:rPr>
          <w:rFonts w:ascii="Arial" w:eastAsia="Times New Roman" w:hAnsi="Arial" w:cs="Arial"/>
          <w:szCs w:val="24"/>
        </w:rPr>
      </w:pPr>
      <w:r w:rsidRPr="00011FCD">
        <w:rPr>
          <w:rFonts w:ascii="Arial" w:eastAsia="Times New Roman" w:hAnsi="Arial" w:cs="Arial"/>
          <w:szCs w:val="24"/>
        </w:rPr>
        <w:t>Falsificação de informações financeiras: Falso registro contábil e / ou falsas declarações de condição financeira; negociações fraudulentas destinadas a inflar lucros ou ocultar perdas; e transações ilícitas projetadas para evitar a supervisão regulamentar. Auto-negociação por insiders corporativos: Insider trading (negociação baseada em informações relevantes, não públicas); Kickbacks; Uso indevido da propriedade corporativa para ganhos pessoais; e Violações de impostos individuais relacionadas à auto-negociação. Fraude em conexão com um fundo de hedge mútuo legitimamente operado: Negociação tardia; Determinados esquemas de cronograma de mercado; e Falsificação de valores patrimoniais líquidos.  (EUA, 2018, p.01, tradução nossa).</w:t>
      </w:r>
    </w:p>
    <w:p w:rsidR="00E64E59" w:rsidRPr="00011FCD" w:rsidRDefault="00E64E59" w:rsidP="00E64E59">
      <w:pPr>
        <w:shd w:val="clear" w:color="auto" w:fill="FFFFFF"/>
        <w:spacing w:after="0" w:line="360" w:lineRule="auto"/>
        <w:jc w:val="both"/>
      </w:pPr>
      <w:r w:rsidRPr="00011FCD">
        <w:rPr>
          <w:rFonts w:ascii="Arial" w:eastAsia="Times New Roman" w:hAnsi="Arial" w:cs="Arial"/>
          <w:sz w:val="24"/>
          <w:szCs w:val="24"/>
        </w:rPr>
        <w:tab/>
        <w:t xml:space="preserve">Este tipo destaca-se pelo grande potencial de ofensividade ao sujeitos coletivos e lesividade aos bens públicos. Ao passo que cria um estado de insegurança e ineficiência da sanção penal. </w:t>
      </w:r>
      <w:r w:rsidR="006A33FD" w:rsidRPr="00011FCD">
        <w:rPr>
          <w:rFonts w:ascii="Arial" w:hAnsi="Arial" w:cs="Arial"/>
          <w:sz w:val="24"/>
          <w:szCs w:val="24"/>
        </w:rPr>
        <w:t>Crimes do colarinho branco</w:t>
      </w:r>
      <w:r w:rsidRPr="00011FCD">
        <w:rPr>
          <w:rFonts w:ascii="Arial" w:hAnsi="Arial" w:cs="Arial"/>
          <w:sz w:val="24"/>
          <w:szCs w:val="24"/>
        </w:rPr>
        <w:t xml:space="preserve"> segundo dados do Banco Mundial, ano 1 trilhão de dólares, o que faz dela a oitava economia do mundo e torna vestígios de um ilícito eventualmente cometido (EUA, 2017).</w:t>
      </w:r>
    </w:p>
    <w:p w:rsidR="00E64E59" w:rsidRPr="00011FCD" w:rsidRDefault="00E64E59" w:rsidP="00E64E59">
      <w:pPr>
        <w:shd w:val="clear" w:color="auto" w:fill="FFFFFF"/>
        <w:spacing w:after="0" w:line="360" w:lineRule="auto"/>
        <w:jc w:val="both"/>
        <w:rPr>
          <w:rFonts w:ascii="Arial" w:eastAsia="Times New Roman" w:hAnsi="Arial" w:cs="Arial"/>
          <w:sz w:val="24"/>
          <w:szCs w:val="24"/>
        </w:rPr>
      </w:pPr>
      <w:r w:rsidRPr="00011FCD">
        <w:rPr>
          <w:rFonts w:ascii="Arial" w:eastAsia="Times New Roman" w:hAnsi="Arial" w:cs="Arial"/>
          <w:sz w:val="24"/>
          <w:szCs w:val="24"/>
        </w:rPr>
        <w:lastRenderedPageBreak/>
        <w:tab/>
        <w:t>T</w:t>
      </w:r>
      <w:r w:rsidRPr="00011FCD">
        <w:rPr>
          <w:rFonts w:ascii="Arial" w:hAnsi="Arial" w:cs="Arial"/>
          <w:sz w:val="24"/>
          <w:szCs w:val="24"/>
        </w:rPr>
        <w:t>al problemática tem levado os operadores do Direito a repensar o conceito de pena, no sentido de quantidade de escarmento, de novas modalidades e alternativas de expiação. Recente projeto que tramita nas Casas Legislativas, objetivando minimizar o caos instaurado, prevê o aumento considerável de sanção pecuniária, como pena isolada, bem como a adoção de retribuição subsidiária e, sobretudo, procura repensar a quantificação da expiação, deixando claro que em determinados casos, cuja criminalidade do agente não exsurge exacerbada, a pena de 1 dia de cárcere,  por exemplo, se mostra suficiente para a prevenção e a repreensão do delito (AQUINO, 1998)</w:t>
      </w:r>
    </w:p>
    <w:p w:rsidR="00E64E59" w:rsidRPr="00011FCD" w:rsidRDefault="00E64E59" w:rsidP="00E64E59">
      <w:pPr>
        <w:shd w:val="clear" w:color="auto" w:fill="FFFFFF"/>
        <w:spacing w:after="0" w:line="360" w:lineRule="auto"/>
        <w:jc w:val="both"/>
        <w:rPr>
          <w:rFonts w:ascii="Arial" w:hAnsi="Arial" w:cs="Arial"/>
          <w:sz w:val="24"/>
          <w:szCs w:val="24"/>
        </w:rPr>
      </w:pPr>
      <w:r w:rsidRPr="00011FCD">
        <w:tab/>
      </w:r>
      <w:r w:rsidRPr="00011FCD">
        <w:rPr>
          <w:rFonts w:ascii="Arial" w:hAnsi="Arial" w:cs="Arial"/>
          <w:sz w:val="24"/>
          <w:szCs w:val="24"/>
        </w:rPr>
        <w:t>Ademais, trata-se de um tipo de pena que atinge uma parte considerável da sociedade e, devido à complexidade de investigação que envolve delitos dessa natureza, na maioria das vezes, 05 agentes logram êxito em suas empreitadas, de molde que este "sucesso", por assim dizer, conduz outros delinqüentes dessa estirpe a trilhar o mesmo caminho. Exemplo bem recente disso são os casos dos precatórios, onde se tem notícia de que o êxito da primeira operação desencadeou uma série de outras.</w:t>
      </w:r>
    </w:p>
    <w:p w:rsidR="00E64E59" w:rsidRPr="00011FCD" w:rsidRDefault="00E64E59" w:rsidP="00E64E59">
      <w:pPr>
        <w:shd w:val="clear" w:color="auto" w:fill="FFFFFF"/>
        <w:spacing w:after="0" w:line="360" w:lineRule="auto"/>
        <w:jc w:val="both"/>
        <w:rPr>
          <w:rFonts w:ascii="Arial" w:eastAsia="Calibri" w:hAnsi="Arial" w:cs="Arial"/>
          <w:sz w:val="24"/>
          <w:szCs w:val="24"/>
          <w:lang w:eastAsia="en-US"/>
        </w:rPr>
      </w:pPr>
      <w:r w:rsidRPr="00011FCD">
        <w:tab/>
      </w:r>
      <w:r w:rsidRPr="00011FCD">
        <w:rPr>
          <w:rFonts w:ascii="Arial" w:hAnsi="Arial" w:cs="Arial"/>
          <w:sz w:val="24"/>
          <w:szCs w:val="24"/>
        </w:rPr>
        <w:t xml:space="preserve">Desta feita, para </w:t>
      </w:r>
      <w:r w:rsidRPr="00011FCD">
        <w:rPr>
          <w:rFonts w:ascii="Arial" w:eastAsia="Calibri" w:hAnsi="Arial" w:cs="Arial"/>
          <w:sz w:val="24"/>
          <w:szCs w:val="24"/>
          <w:lang w:eastAsia="en-US"/>
        </w:rPr>
        <w:t>Sutherland (1940)</w:t>
      </w:r>
      <w:r w:rsidR="00DC0807" w:rsidRPr="00011FCD">
        <w:rPr>
          <w:rFonts w:ascii="Arial" w:eastAsia="Calibri" w:hAnsi="Arial" w:cs="Arial"/>
          <w:sz w:val="24"/>
          <w:szCs w:val="24"/>
          <w:lang w:eastAsia="en-US"/>
        </w:rPr>
        <w:t>:</w:t>
      </w:r>
    </w:p>
    <w:p w:rsidR="00E64E59" w:rsidRPr="00011FCD" w:rsidRDefault="00E64E59" w:rsidP="00DC0807">
      <w:pPr>
        <w:shd w:val="clear" w:color="auto" w:fill="FFFFFF"/>
        <w:spacing w:after="0" w:line="240" w:lineRule="auto"/>
        <w:ind w:left="2552"/>
        <w:jc w:val="both"/>
        <w:rPr>
          <w:rFonts w:ascii="Arial" w:hAnsi="Arial" w:cs="Arial"/>
        </w:rPr>
      </w:pPr>
      <w:r w:rsidRPr="00011FCD">
        <w:rPr>
          <w:rFonts w:ascii="Arial" w:hAnsi="Arial" w:cs="Arial"/>
          <w:szCs w:val="24"/>
        </w:rPr>
        <w:t>Os criminosos de colarinho branco dos dias atuais, mais sofisticados e manipuladores do que os “barões ladrões” são representados por Krueger, Stavisky, Whitney, Mitchell, Foshay, Insull, os irmãos Van Sweringen, Musica-Coster, Fall, Sinclair, muitos outros grandes comerciantes e líderes das finanças e da indústria e por um grupo de adeptos. A criminalidade deles foi demonstrada frequentemente nas investigações de cartórios públicos, ferrovias, seguros, munições, transações bancárias, serviços públicos, bolsas de valores, indústria petrolífera, negócios imobiliários, comitês de credores, recuperações judiciais, falências e política. Casos individuais de tal criminalidade são reportados com frequência e em várias épocas, as notícias de maior importância quanto a esses crimes podem ser encontradas mais nos cadernos de economia dos jornais do que nas primeiras páginas. A criminalidade de colarinho branco existe em todo ofício, e pode ser descoberta sem maiores esforços, como numa conversa casual com um representante, em um segmento qualquer ao perguntar “Quais práticas desonestas existem na sua atividade profissional</w:t>
      </w:r>
      <w:r w:rsidRPr="00011FCD">
        <w:rPr>
          <w:rFonts w:ascii="Arial" w:hAnsi="Arial" w:cs="Arial"/>
        </w:rPr>
        <w:t>?”</w:t>
      </w:r>
    </w:p>
    <w:p w:rsidR="00E64E59" w:rsidRPr="00011FCD" w:rsidRDefault="00E64E59" w:rsidP="00E64E59">
      <w:pPr>
        <w:shd w:val="clear" w:color="auto" w:fill="FFFFFF"/>
        <w:spacing w:after="0" w:line="360" w:lineRule="auto"/>
        <w:ind w:firstLine="709"/>
        <w:jc w:val="both"/>
        <w:rPr>
          <w:rFonts w:ascii="Arial" w:hAnsi="Arial" w:cs="Arial"/>
          <w:sz w:val="24"/>
          <w:szCs w:val="24"/>
        </w:rPr>
      </w:pPr>
      <w:r w:rsidRPr="00011FCD">
        <w:rPr>
          <w:rFonts w:ascii="Arial" w:hAnsi="Arial" w:cs="Arial"/>
          <w:sz w:val="24"/>
          <w:szCs w:val="24"/>
        </w:rPr>
        <w:t xml:space="preserve">Ainda que seja uma prática “comum” a realidade brasileira, esta modalidade de ilícito, entretanto, não é um fenômeno exclusivo das Terras Tupis. Sutherland (1940) afirma que 30% das maiores empresas americanas levavam a efeito negócios ilegais naquele país. </w:t>
      </w:r>
    </w:p>
    <w:p w:rsidR="00E64E59" w:rsidRPr="00011FCD" w:rsidRDefault="00E64E59" w:rsidP="00E64E59">
      <w:pPr>
        <w:spacing w:after="0" w:line="360" w:lineRule="auto"/>
        <w:ind w:firstLine="708"/>
        <w:jc w:val="both"/>
        <w:rPr>
          <w:rFonts w:ascii="Arial" w:hAnsi="Arial" w:cs="Arial"/>
          <w:sz w:val="24"/>
          <w:szCs w:val="24"/>
        </w:rPr>
      </w:pPr>
      <w:r w:rsidRPr="00011FCD">
        <w:rPr>
          <w:rFonts w:ascii="Arial" w:hAnsi="Arial" w:cs="Arial"/>
          <w:sz w:val="24"/>
          <w:szCs w:val="24"/>
        </w:rPr>
        <w:lastRenderedPageBreak/>
        <w:t>Prevenir e punir a prática do</w:t>
      </w:r>
      <w:r w:rsidR="00D44D43" w:rsidRPr="00011FCD">
        <w:rPr>
          <w:rFonts w:ascii="Arial" w:hAnsi="Arial" w:cs="Arial"/>
          <w:sz w:val="24"/>
          <w:szCs w:val="24"/>
        </w:rPr>
        <w:t>s</w:t>
      </w:r>
      <w:r w:rsidRPr="00011FCD">
        <w:rPr>
          <w:rFonts w:ascii="Arial" w:hAnsi="Arial" w:cs="Arial"/>
          <w:sz w:val="24"/>
          <w:szCs w:val="24"/>
        </w:rPr>
        <w:t xml:space="preserve"> crime</w:t>
      </w:r>
      <w:r w:rsidR="00DD4B36" w:rsidRPr="00011FCD">
        <w:rPr>
          <w:rFonts w:ascii="Arial" w:hAnsi="Arial" w:cs="Arial"/>
          <w:sz w:val="24"/>
          <w:szCs w:val="24"/>
        </w:rPr>
        <w:t xml:space="preserve">s contra a ordem financeira </w:t>
      </w:r>
      <w:r w:rsidRPr="00011FCD">
        <w:rPr>
          <w:rFonts w:ascii="Arial" w:hAnsi="Arial" w:cs="Arial"/>
          <w:sz w:val="24"/>
          <w:szCs w:val="24"/>
        </w:rPr>
        <w:t>vem sendo uma preocupação cada vez maior por parte das autoridades, tendo em vista que acarreta prejuízos enormes para a sociedade, facilitando a formação de cartéis, possibilitando o abuso do poder econômico. Desta forma, torna-se importante a identificação e o estabelecimento das principais dificuldades para se combater a prática destes tipos penais.</w:t>
      </w:r>
    </w:p>
    <w:p w:rsidR="00E64E59" w:rsidRPr="00011FCD" w:rsidRDefault="00E64E59" w:rsidP="00E64E59">
      <w:pPr>
        <w:spacing w:after="0" w:line="360" w:lineRule="auto"/>
        <w:ind w:firstLine="708"/>
        <w:jc w:val="both"/>
        <w:rPr>
          <w:rFonts w:ascii="Arial" w:hAnsi="Arial" w:cs="Arial"/>
          <w:sz w:val="24"/>
          <w:szCs w:val="24"/>
        </w:rPr>
      </w:pPr>
      <w:r w:rsidRPr="00011FCD">
        <w:rPr>
          <w:rFonts w:ascii="Arial" w:hAnsi="Arial" w:cs="Arial"/>
          <w:sz w:val="24"/>
          <w:szCs w:val="24"/>
        </w:rPr>
        <w:t>Por fim, há que se ressaltar que essa prática criminosa tende ser combatida e controlada por diversos mecanismos jurídicos, e é tipificada no Código Penal de 1940 (CP/40); em legislações esparsas e também em dispositivos cíveis. Entretanto, esse controle é ineficaz, tornando o crime de corrupção como de baixo risco, e com alta lucratividade a seus agentes, o que contribui para a sua prática e fortalecimento, e descontentamento e revolta por parte da população, que cada vez mais vota por penalidades mais severas a tais crimes.</w:t>
      </w:r>
    </w:p>
    <w:p w:rsidR="00E64E59" w:rsidRPr="00011FCD" w:rsidRDefault="00E64E59" w:rsidP="00DC0807">
      <w:pPr>
        <w:pStyle w:val="I"/>
      </w:pPr>
    </w:p>
    <w:p w:rsidR="00EA4C50" w:rsidRPr="00011FCD" w:rsidRDefault="00B517CC" w:rsidP="00DC0807">
      <w:pPr>
        <w:pStyle w:val="I"/>
      </w:pPr>
      <w:r w:rsidRPr="00011FCD">
        <w:t xml:space="preserve">2 </w:t>
      </w:r>
      <w:r w:rsidR="00EA4C50" w:rsidRPr="00011FCD">
        <w:t>NORMAS DE VEDAÇÃO A PRÁTICA DO CRIME DO COLARINHO BRANCO</w:t>
      </w:r>
    </w:p>
    <w:p w:rsidR="006863AC" w:rsidRPr="00011FCD" w:rsidRDefault="006863AC" w:rsidP="00EA4C50">
      <w:pPr>
        <w:pStyle w:val="Texto"/>
      </w:pPr>
    </w:p>
    <w:p w:rsidR="006863AC" w:rsidRPr="00011FCD" w:rsidRDefault="00EA4C50" w:rsidP="00B535B1">
      <w:pPr>
        <w:pStyle w:val="Texto"/>
      </w:pPr>
      <w:r w:rsidRPr="00011FCD">
        <w:t>Objetivando coibir a prática</w:t>
      </w:r>
      <w:r w:rsidR="006863AC" w:rsidRPr="00011FCD">
        <w:t>, o ordenamento jurídico brasileiro possui um conjunto de normas que estabelecem desde medidas preventivas a</w:t>
      </w:r>
      <w:r w:rsidR="00955716" w:rsidRPr="00011FCD">
        <w:t xml:space="preserve"> sensação punitiva. </w:t>
      </w:r>
      <w:r w:rsidR="00D76DD7" w:rsidRPr="00011FCD">
        <w:t xml:space="preserve">Ainda que a Constituição Federal de 1988 (CFRB/88) não possua a vedação a essa prática de forma expressa, o art. 170 disciplina as diretrizes que devem nortear o sistema econômico do país. </w:t>
      </w:r>
      <w:r w:rsidR="00B535B1" w:rsidRPr="00011FCD">
        <w:t xml:space="preserve"> Assim, o citado artigo dispõe que:</w:t>
      </w:r>
    </w:p>
    <w:p w:rsidR="00B535B1" w:rsidRPr="00011FCD" w:rsidRDefault="00B535B1" w:rsidP="00B535B1">
      <w:pPr>
        <w:pStyle w:val="Cit"/>
      </w:pPr>
      <w:r w:rsidRPr="00011FCD">
        <w:rPr>
          <w:shd w:val="clear" w:color="auto" w:fill="FFFFFF"/>
        </w:rPr>
        <w:t xml:space="preserve">A ordem econômica, fundada na valorização do trabalho humano e na livre iniciativa, tem por fim assegurar a todos existência digna, conforme os ditames da justiça social, observados os seguintes princípios: </w:t>
      </w:r>
      <w:r w:rsidRPr="00011FCD">
        <w:t> - soberania nacional;</w:t>
      </w:r>
      <w:bookmarkStart w:id="1" w:name="art170ii"/>
      <w:bookmarkEnd w:id="1"/>
      <w:r w:rsidRPr="00011FCD">
        <w:t xml:space="preserve"> II - propriedade privada;</w:t>
      </w:r>
      <w:bookmarkStart w:id="2" w:name="art170iii"/>
      <w:bookmarkEnd w:id="2"/>
      <w:r w:rsidRPr="00011FCD">
        <w:t xml:space="preserve"> III - função social da propriedade;</w:t>
      </w:r>
      <w:bookmarkStart w:id="3" w:name="art170iv"/>
      <w:bookmarkEnd w:id="3"/>
      <w:r w:rsidRPr="00011FCD">
        <w:t>IV - livre concorrência. (BRASIL, 1988, p. 01).</w:t>
      </w:r>
    </w:p>
    <w:p w:rsidR="00B535B1" w:rsidRPr="00011FCD" w:rsidRDefault="00EF2DE5" w:rsidP="00B535B1">
      <w:pPr>
        <w:pStyle w:val="Texto"/>
      </w:pPr>
      <w:r w:rsidRPr="00011FCD">
        <w:t xml:space="preserve">Diante disso, as atividades financeiras devem atender os princípios da soberania social, ou seja, não se pode praticar atos de comércio e financeiros que atentem contra a segurança patrimonial ou interesses privados da Nação. Tal vedação, além de proteger os interesses negócios econômicos do qual o Estado faz parte, também </w:t>
      </w:r>
      <w:r w:rsidR="00FA6BC6" w:rsidRPr="00011FCD">
        <w:t xml:space="preserve">corrobora para a vedação das chamadas práticas ilícitas e que poderiam levar a eventuais estados de </w:t>
      </w:r>
      <w:r w:rsidR="00B77801" w:rsidRPr="00011FCD">
        <w:t>insegurança</w:t>
      </w:r>
      <w:r w:rsidR="00FA6BC6" w:rsidRPr="00011FCD">
        <w:t>.</w:t>
      </w:r>
    </w:p>
    <w:p w:rsidR="00B535B1" w:rsidRPr="00011FCD" w:rsidRDefault="00B77801" w:rsidP="00514577">
      <w:pPr>
        <w:pStyle w:val="Texto"/>
      </w:pPr>
      <w:r w:rsidRPr="00011FCD">
        <w:t>No âmbito da função social da propriedade</w:t>
      </w:r>
      <w:r w:rsidR="00D6678F" w:rsidRPr="00011FCD">
        <w:t xml:space="preserve"> reconhece os reflexos da dignidade humana nas relações horizontais</w:t>
      </w:r>
      <w:r w:rsidR="00E152DA" w:rsidRPr="00011FCD">
        <w:t xml:space="preserve"> (FARIAS; ROSENVALD, 2018). Ainda que tal princípio tenha uma forte ligação nas atividades civil, no âmbito da legislação penal</w:t>
      </w:r>
      <w:r w:rsidR="00514577" w:rsidRPr="00011FCD">
        <w:t xml:space="preserve">, </w:t>
      </w:r>
      <w:r w:rsidR="00514577" w:rsidRPr="00011FCD">
        <w:lastRenderedPageBreak/>
        <w:t xml:space="preserve">também delimita o âmbito da ação humana, principalmente, quando desenvolvida com o objetivo de ganhos pessoais </w:t>
      </w:r>
    </w:p>
    <w:p w:rsidR="006863AC" w:rsidRPr="00011FCD" w:rsidRDefault="00CD2D4F" w:rsidP="008227DC">
      <w:pPr>
        <w:pStyle w:val="Texto"/>
      </w:pPr>
      <w:r w:rsidRPr="00011FCD">
        <w:t>O código Penal</w:t>
      </w:r>
      <w:r w:rsidR="00236A4F" w:rsidRPr="00011FCD">
        <w:t xml:space="preserve"> de 1940 (CP/40)</w:t>
      </w:r>
      <w:r w:rsidRPr="00011FCD">
        <w:t xml:space="preserve">, em sua redação original, não se dedicou a delimitação dos tipos penais contra a ordem financeira. Tais delimitações, foram sendo estabelecidas, de acordo com as necessidades sociais, em Leis Penais específicas. Entre essas, destaca-se </w:t>
      </w:r>
      <w:r w:rsidR="008227DC" w:rsidRPr="00011FCD">
        <w:t xml:space="preserve">o Decreto-Lei nº 7.492, de 16 de junho de 1986, que define os crimes contra o sistema financeiro nacional. Tal construção normativa é considerada um avanço no ordenamento jurídico brasileiro, uma vez que, </w:t>
      </w:r>
      <w:r w:rsidR="00236A4F" w:rsidRPr="00011FCD">
        <w:t>abrange os crimes cometidos por pessoas de direito público e privado. Assim, o art. 1º estabelece que:</w:t>
      </w:r>
    </w:p>
    <w:p w:rsidR="00236A4F" w:rsidRPr="00011FCD" w:rsidRDefault="00236A4F" w:rsidP="00236A4F">
      <w:pPr>
        <w:pStyle w:val="Cit"/>
      </w:pPr>
      <w:r w:rsidRPr="00011FCD">
        <w:rPr>
          <w:shd w:val="clear" w:color="auto" w:fill="FFFFFF"/>
        </w:rPr>
        <w:t> Considera-se instituição financeira, para efeito desta lei, a pessoa jurídica de direito público ou privado, que tenha como atividade principal ou acessória, cumulativamente ou não, a captação, intermediação ou aplicação de recursos financeiros (Vetado) de terceiros, em moeda nacional ou estrangeira, ou a custódia, emissão, distribuição, negociação, intermediação ou administração de valores mobiliários. (BRASIL, 1986, p. 01).</w:t>
      </w:r>
    </w:p>
    <w:p w:rsidR="008227DC" w:rsidRPr="00011FCD" w:rsidRDefault="00236A4F" w:rsidP="008227DC">
      <w:pPr>
        <w:pStyle w:val="Texto"/>
      </w:pPr>
      <w:r w:rsidRPr="00011FCD">
        <w:t xml:space="preserve">Apesar de se anterior ao CP/40 e a CFRB/88, essa norma foi recepcionada por </w:t>
      </w:r>
      <w:r w:rsidR="003777A2" w:rsidRPr="00011FCD">
        <w:t>esses documentos e continua com a aplicabilidade do sistema normativo nacional. Ainda que as práticas penais possam tomar novas formas de configuração, a Lei consegue abranger as principais ações que vão de encontro ao sistema financeiro.</w:t>
      </w:r>
    </w:p>
    <w:p w:rsidR="00966414" w:rsidRPr="00011FCD" w:rsidRDefault="003777A2" w:rsidP="00966414">
      <w:pPr>
        <w:pStyle w:val="Texto"/>
      </w:pPr>
      <w:r w:rsidRPr="00011FCD">
        <w:t>Outo ponto é que a norma, ainda em seu art. 1º, traz uma equiparação entre outras pessoas jurídicas</w:t>
      </w:r>
      <w:r w:rsidR="00966414" w:rsidRPr="00011FCD">
        <w:t>. Assim, equipara-se as instituições financeiras a pessoa jurídica que capte ou administre seguros, câmbio, consórcio, capitalização ou qualquer tipo de poupança, ou recursos de terceiros</w:t>
      </w:r>
      <w:bookmarkStart w:id="4" w:name="art1pii"/>
      <w:bookmarkEnd w:id="4"/>
      <w:r w:rsidR="00966414" w:rsidRPr="00011FCD">
        <w:t>. Tal como, a pessoa natural que exerça quaisquer das atividades referidas neste artigo, ainda que de forma eventual (BRASIL, 1986).</w:t>
      </w:r>
    </w:p>
    <w:p w:rsidR="00966414" w:rsidRPr="00011FCD" w:rsidRDefault="00292F3E" w:rsidP="00966414">
      <w:pPr>
        <w:pStyle w:val="Texto"/>
      </w:pPr>
      <w:r w:rsidRPr="00011FCD">
        <w:t xml:space="preserve">Outra opção do legislador infraconstitucional, foi criar uma gradação entre as sanções penais de acordo com a lesão </w:t>
      </w:r>
      <w:r w:rsidR="00F769AD" w:rsidRPr="00011FCD">
        <w:t>ocasionada pelo tipo penal. Nesse sentido, visando coibir a vendas fraudulentas de imóveis, o art. 2º delimita as ações que podem prejudicar diretamente as transações imobiliárias, assim, estabelece que:</w:t>
      </w:r>
    </w:p>
    <w:p w:rsidR="00F769AD" w:rsidRPr="00011FCD" w:rsidRDefault="00F769AD" w:rsidP="00E75075">
      <w:pPr>
        <w:pStyle w:val="Cit"/>
      </w:pPr>
      <w:r w:rsidRPr="00011FCD">
        <w:t>Imprimir, reproduzir ou, de qualquer modo, fabricar ou pôr em circulação, sem autorização escrita da sociedade emissora, certificado, cautela ou outro documento representativo de título ou valor mobiliário:</w:t>
      </w:r>
      <w:r w:rsidR="00E75075" w:rsidRPr="00011FCD">
        <w:t xml:space="preserve"> </w:t>
      </w:r>
      <w:r w:rsidRPr="00011FCD">
        <w:t>Pena - Reclusão, de 2 (dois) a 8 (oito) anos, e multa.</w:t>
      </w:r>
      <w:r w:rsidR="00E75075" w:rsidRPr="00011FCD">
        <w:rPr>
          <w:shd w:val="clear" w:color="auto" w:fill="FFFFFF"/>
        </w:rPr>
        <w:t xml:space="preserve"> (BRASIL, 1986, p. 01).</w:t>
      </w:r>
    </w:p>
    <w:p w:rsidR="00F769AD" w:rsidRPr="00011FCD" w:rsidRDefault="00F769AD" w:rsidP="00573099">
      <w:pPr>
        <w:pStyle w:val="Texto"/>
      </w:pPr>
      <w:r w:rsidRPr="00011FCD">
        <w:t> </w:t>
      </w:r>
      <w:r w:rsidR="00E75075" w:rsidRPr="00011FCD">
        <w:t>O citado artigo tem como</w:t>
      </w:r>
      <w:r w:rsidR="005A5AC6" w:rsidRPr="00011FCD">
        <w:t xml:space="preserve">, uma das principais funções, evitar que um imóvel seja comercializado mais de uma vez ou ainda que haja imóveis inexistentes sejam </w:t>
      </w:r>
      <w:r w:rsidR="005A5AC6" w:rsidRPr="00011FCD">
        <w:lastRenderedPageBreak/>
        <w:t xml:space="preserve">objetos de transação econômica. Ademais, </w:t>
      </w:r>
      <w:r w:rsidR="00573099" w:rsidRPr="00011FCD">
        <w:t>ainda há a responsabilização para terceiros que eventualmente participem da prática, posto que, o paragrafo único do citado artigo ainda dispõe que</w:t>
      </w:r>
      <w:bookmarkStart w:id="5" w:name="art2p"/>
      <w:bookmarkEnd w:id="5"/>
      <w:r w:rsidR="00573099" w:rsidRPr="00011FCD">
        <w:t xml:space="preserve"> i</w:t>
      </w:r>
      <w:r w:rsidRPr="00011FCD">
        <w:t>ncorre na mesma pena quem imprime, fabrica, divulga, distribui ou faz distribuir prospecto ou material de propaganda relativo aos papéis referidos neste artigo</w:t>
      </w:r>
      <w:r w:rsidR="00573099" w:rsidRPr="00011FCD">
        <w:t xml:space="preserve"> (BRASIL, 1986).</w:t>
      </w:r>
    </w:p>
    <w:p w:rsidR="00062AE6" w:rsidRPr="00011FCD" w:rsidRDefault="00062AE6" w:rsidP="00062AE6">
      <w:pPr>
        <w:pStyle w:val="Texto"/>
      </w:pPr>
      <w:r w:rsidRPr="00011FCD">
        <w:t>No mesmo sentido de responsabilizar terceiros pela divulgação de informações falsas que prejudicam os negócios jurídicos, o art. 3º dispõe que divulgar informação falsa ou prejudicialmente incompleta sobre instituição financeira é passível a uma pena de reclusão, de 2 (dois) a 6 (seis) anos. Tal como, cumulativamente, a incidência de multa.</w:t>
      </w:r>
    </w:p>
    <w:p w:rsidR="00E06BB6" w:rsidRPr="00011FCD" w:rsidRDefault="00E06BB6" w:rsidP="00E06BB6">
      <w:pPr>
        <w:pStyle w:val="Texto"/>
      </w:pPr>
      <w:r w:rsidRPr="00011FCD">
        <w:t>Bem é verdade que muitas pessoas que estão diretamente ligadas a um determinado negócio podem incorrer em práticas criminosas contra o sistema financeiro. Todavia, na prática, é mais comum que àqueles que ocupem os chamados cargos de gerência, devido ao rol de suas competências funcionais, possam estar ligados a prática.</w:t>
      </w:r>
    </w:p>
    <w:p w:rsidR="00E06BB6" w:rsidRPr="00011FCD" w:rsidRDefault="00E06BB6" w:rsidP="00E06BB6">
      <w:pPr>
        <w:pStyle w:val="Texto"/>
        <w:rPr>
          <w:rFonts w:eastAsia="Times New Roman"/>
          <w:color w:val="000000"/>
        </w:rPr>
      </w:pPr>
      <w:r w:rsidRPr="00011FCD">
        <w:t xml:space="preserve">Apesar de não ser um critério subjetivo único, ou seja, não apenas aqueles que ocupam posição de liderança podem ou vão cometer crimes contra a atividade financeira, o limite do seu poder é objeto de tratamento específico pela norma citada. Dentre outras vedações, o art. 3º estabelece que </w:t>
      </w:r>
      <w:r w:rsidRPr="00011FCD">
        <w:rPr>
          <w:color w:val="000000"/>
        </w:rPr>
        <w:t>para aquele que divulgar informação falsa ou prejudicialmente incompleta sobre instituição financeira é aplicada uma pena de r</w:t>
      </w:r>
      <w:r w:rsidRPr="00011FCD">
        <w:rPr>
          <w:rFonts w:eastAsia="Times New Roman"/>
          <w:color w:val="000000"/>
        </w:rPr>
        <w:t>eclusão, de 2 (dois) a 6 (seis) anos</w:t>
      </w:r>
      <w:r w:rsidRPr="00011FCD">
        <w:rPr>
          <w:color w:val="000000"/>
        </w:rPr>
        <w:t xml:space="preserve"> cominado com </w:t>
      </w:r>
      <w:r w:rsidRPr="00011FCD">
        <w:rPr>
          <w:rFonts w:eastAsia="Times New Roman"/>
          <w:color w:val="000000"/>
        </w:rPr>
        <w:t>multa.</w:t>
      </w:r>
    </w:p>
    <w:p w:rsidR="00E06BB6" w:rsidRPr="00011FCD" w:rsidRDefault="00E06BB6" w:rsidP="00062AE6">
      <w:pPr>
        <w:pStyle w:val="Texto"/>
      </w:pPr>
    </w:p>
    <w:p w:rsidR="007435C1" w:rsidRPr="00011FCD" w:rsidRDefault="007435C1" w:rsidP="007435C1">
      <w:pPr>
        <w:pStyle w:val="Texto"/>
        <w:rPr>
          <w:rFonts w:eastAsia="Times New Roman"/>
          <w:color w:val="000000"/>
        </w:rPr>
      </w:pPr>
      <w:r w:rsidRPr="00011FCD">
        <w:rPr>
          <w:rFonts w:eastAsia="Times New Roman"/>
          <w:color w:val="000000"/>
        </w:rPr>
        <w:t xml:space="preserve">A vedação acima, dentre outras </w:t>
      </w:r>
      <w:r w:rsidR="00696605" w:rsidRPr="00011FCD">
        <w:rPr>
          <w:rFonts w:eastAsia="Times New Roman"/>
          <w:color w:val="000000"/>
        </w:rPr>
        <w:t>coisas possibilidade prevenir um tipo penal específico que a chamada especulação financeira.</w:t>
      </w:r>
      <w:r w:rsidR="003F5234" w:rsidRPr="00011FCD">
        <w:rPr>
          <w:rFonts w:eastAsia="Times New Roman"/>
          <w:color w:val="000000"/>
        </w:rPr>
        <w:t xml:space="preserve"> Esse tipo penal, conforme Geromini (2009) ocorre quando:</w:t>
      </w:r>
    </w:p>
    <w:p w:rsidR="003F5234" w:rsidRPr="00011FCD" w:rsidRDefault="00136CD5" w:rsidP="00136CD5">
      <w:pPr>
        <w:pStyle w:val="Cit"/>
        <w:rPr>
          <w:rFonts w:ascii="Times New Roman" w:hAnsi="Times New Roman" w:cs="Times New Roman"/>
          <w:color w:val="000000"/>
          <w:sz w:val="27"/>
          <w:szCs w:val="27"/>
        </w:rPr>
      </w:pPr>
      <w:r w:rsidRPr="00011FCD">
        <w:t>Uma</w:t>
      </w:r>
      <w:r w:rsidR="003F5234" w:rsidRPr="00011FCD">
        <w:t xml:space="preserve"> informação incompleta e as expectativas dos agentes causam volatilidade nos valores dos ativos e o temor de quebras nos contratos aumenta ainda mais os riscos inerentes a esses portfólios. Em determinadas ocasiões, os especuladores pressionam os mercados, e os Bancos Centrais vêem suas reservas caírem perigosamente, sendo obrigados a recorrerem a desvalorização de sua moeda local. Depois da desvalorização, os especuladores realizam seus lucros, com negócios fechados quando o </w:t>
      </w:r>
      <w:r w:rsidRPr="00011FCD">
        <w:t>câmbio</w:t>
      </w:r>
      <w:r w:rsidR="003F5234" w:rsidRPr="00011FCD">
        <w:t xml:space="preserve"> era outro, demonstrando a fragilidade no controle da economia de alguns países.</w:t>
      </w:r>
      <w:r w:rsidR="0097438C" w:rsidRPr="00011FCD">
        <w:t xml:space="preserve"> </w:t>
      </w:r>
      <w:r w:rsidRPr="00011FCD">
        <w:t>(GEROMINI, 2009, p. 19).</w:t>
      </w:r>
    </w:p>
    <w:p w:rsidR="00051552" w:rsidRPr="00011FCD" w:rsidRDefault="00FF0AB6" w:rsidP="00573099">
      <w:pPr>
        <w:pStyle w:val="Texto"/>
      </w:pPr>
      <w:r w:rsidRPr="00011FCD">
        <w:t>Tais pr</w:t>
      </w:r>
      <w:r w:rsidR="00F679E1" w:rsidRPr="00011FCD">
        <w:t>áticas, historicamente, foram responsáveis por crises financeiras que tomaram proporção mundial. Dentre essas, destacam-se a crise de 1929 e a recente, mas não menos impactante</w:t>
      </w:r>
      <w:r w:rsidR="00765C94" w:rsidRPr="00011FCD">
        <w:t>,</w:t>
      </w:r>
      <w:r w:rsidR="00F679E1" w:rsidRPr="00011FCD">
        <w:t xml:space="preserve"> de 2008</w:t>
      </w:r>
      <w:r w:rsidR="00765C94" w:rsidRPr="00011FCD">
        <w:t xml:space="preserve"> que ainda projetará seus efeitos durante muitas </w:t>
      </w:r>
      <w:r w:rsidR="00765C94" w:rsidRPr="00011FCD">
        <w:lastRenderedPageBreak/>
        <w:t>décadas levando a sensação de insegurança quando da contratação dos negócios imobiliários (GEROMINI, 2009).</w:t>
      </w:r>
    </w:p>
    <w:p w:rsidR="00573099" w:rsidRPr="00011FCD" w:rsidRDefault="00E06BB6" w:rsidP="00D12A07">
      <w:pPr>
        <w:pStyle w:val="Texto"/>
      </w:pPr>
      <w:r w:rsidRPr="00011FCD">
        <w:t xml:space="preserve">Ainda no âmbito da gestão fraudulenta, o art. 4º estabelece que </w:t>
      </w:r>
      <w:r w:rsidR="00D12A07" w:rsidRPr="00011FCD">
        <w:t>g</w:t>
      </w:r>
      <w:r w:rsidRPr="00011FCD">
        <w:t>erir fraudulentamente instituição financeira</w:t>
      </w:r>
      <w:r w:rsidR="00D12A07" w:rsidRPr="00011FCD">
        <w:t xml:space="preserve"> é passível de pena de reclusão, de 3 (três) a 12 (doze) anos cominado de multa. Como já mencionado, a elevação da pena está diretamente relacionada a</w:t>
      </w:r>
      <w:r w:rsidR="003B3B76" w:rsidRPr="00011FCD">
        <w:t>o privilégio que aquele que ocupa cargos de gestão possui das informações financeiras e ao impacto social que essas ações podem ocasionar, até mesmo, para a estabilidade econômica do país.</w:t>
      </w:r>
    </w:p>
    <w:p w:rsidR="0024007D" w:rsidRPr="00011FCD" w:rsidRDefault="0024007D" w:rsidP="00D12A07">
      <w:pPr>
        <w:pStyle w:val="Texto"/>
      </w:pPr>
      <w:r w:rsidRPr="00011FCD">
        <w:t>No âmbito da doutrina, Bittencourt e Breda (2011) analisam a prática como9:</w:t>
      </w:r>
    </w:p>
    <w:p w:rsidR="0024007D" w:rsidRPr="00011FCD" w:rsidRDefault="0024007D" w:rsidP="00040FD0">
      <w:pPr>
        <w:pStyle w:val="Cit"/>
      </w:pPr>
      <w:r w:rsidRPr="00011FCD">
        <w:t>O crime de gestão fraudulenta de instituição financeira tem por fim a proteção do sistema financeiro brasileiro contra gestões que comprometam “a lisura, correção e honestidade das operações atribuídas e realizadas pelas instituições financeiras e assemelhadas. Consectariamente, o bom e regular funcionamento do sistema financeiro repousa na confiança que a coletividade lhe acredita. A credibilidade é um atributo que assegura o regular e exitoso funcionamento do sistema financeiro como um todo, protegendo-se, igualmente, os bens, valores, enfim, o patrimônio da coletividade, representada pelos investidores diretos que destinam suas economias, ou ao menos parte delas, às operações realizadas pelas instituições financeiras exatamente por acreditarem na lisura, correção e oficialidade do sistema”. (BITTENCOURT; BREDA. 2011</w:t>
      </w:r>
      <w:r w:rsidR="00040FD0" w:rsidRPr="00011FCD">
        <w:t>,P. 36</w:t>
      </w:r>
      <w:r w:rsidRPr="00011FCD">
        <w:t>).</w:t>
      </w:r>
    </w:p>
    <w:p w:rsidR="008C3776" w:rsidRPr="00011FCD" w:rsidRDefault="00033E7C" w:rsidP="00D12A07">
      <w:pPr>
        <w:pStyle w:val="Texto"/>
      </w:pPr>
      <w:r w:rsidRPr="00011FCD">
        <w:t>Apesar do acesso a informação privilegiada que são inatos ao cargo de gerencia, algumas práticas criminosas necessitam de outros sujeitos para se concretizarem. Nesse sentido, o art. 25 já antecipa a conduta e classifica tal p</w:t>
      </w:r>
      <w:r w:rsidR="00B573EA" w:rsidRPr="00011FCD">
        <w:t xml:space="preserve">articipação de tais práticas inclusive elevando ao status formação de quadrilha. Assim, o art. 25 dispõe que: </w:t>
      </w:r>
    </w:p>
    <w:p w:rsidR="008C3776" w:rsidRPr="00011FCD" w:rsidRDefault="008C3776" w:rsidP="00B573EA">
      <w:pPr>
        <w:pStyle w:val="Cit"/>
        <w:rPr>
          <w:rFonts w:ascii="Times New Roman" w:hAnsi="Times New Roman" w:cs="Times New Roman"/>
          <w:sz w:val="27"/>
          <w:szCs w:val="27"/>
        </w:rPr>
      </w:pPr>
      <w:r w:rsidRPr="00011FCD">
        <w:t xml:space="preserve">São penalmente responsáveis, nos termos desta lei, o controlador e os administradores de instituição financeira, assim considerados os diretores, gerentes </w:t>
      </w:r>
      <w:bookmarkStart w:id="6" w:name="art25§2"/>
      <w:bookmarkEnd w:id="6"/>
      <w:r w:rsidR="00B573EA" w:rsidRPr="00011FCD">
        <w:rPr>
          <w:rFonts w:ascii="Times New Roman" w:hAnsi="Times New Roman" w:cs="Times New Roman"/>
          <w:sz w:val="27"/>
          <w:szCs w:val="27"/>
        </w:rPr>
        <w:t xml:space="preserve"> </w:t>
      </w:r>
      <w:r w:rsidRPr="00011FCD">
        <w:t>§ 2º Nos crimes previstos nesta Lei, cometidos em quadrilha ou co-autoria, o co-autor ou partícipe que através de confissão espontânea revelar à autoridade policial ou judicial toda a trama delituosa terá a sua pena reduzida de um a dois terço</w:t>
      </w:r>
      <w:r w:rsidR="00B573EA" w:rsidRPr="00011FCD">
        <w:rPr>
          <w:shd w:val="clear" w:color="auto" w:fill="FFFFFF"/>
        </w:rPr>
        <w:t xml:space="preserve">(BRASIL, 1986, p. 01). </w:t>
      </w:r>
    </w:p>
    <w:p w:rsidR="003B3B76" w:rsidRPr="00011FCD" w:rsidRDefault="003B3B76" w:rsidP="00D12A07">
      <w:pPr>
        <w:pStyle w:val="Texto"/>
      </w:pPr>
      <w:r w:rsidRPr="00011FCD">
        <w:t xml:space="preserve">Outra prática vedada por esse tipo penal é a apropriação de </w:t>
      </w:r>
      <w:r w:rsidR="008C3776" w:rsidRPr="00011FCD">
        <w:t xml:space="preserve">indevida de bens. </w:t>
      </w:r>
      <w:r w:rsidR="00B573EA" w:rsidRPr="00011FCD">
        <w:t xml:space="preserve">Trata-se de uma vedação que, em seu fim, </w:t>
      </w:r>
      <w:r w:rsidR="00BF17AF" w:rsidRPr="00011FCD">
        <w:t xml:space="preserve">veda o chamado enriquecimento ilícito, uma vez que, o sujeito da prática penal tende a tirar proveitos pessoais dos valores que são apropriados. </w:t>
      </w:r>
    </w:p>
    <w:p w:rsidR="006F3F3E" w:rsidRPr="00011FCD" w:rsidRDefault="00420125" w:rsidP="00D12A07">
      <w:pPr>
        <w:pStyle w:val="Texto"/>
      </w:pPr>
      <w:r w:rsidRPr="00011FCD">
        <w:t>Outras categorias profissionais, que não estejam inseridas diretamente no âmbito da pessoa jurídica alvo da prática criminosa, podem corroborar para que sejam desenvolvidas a prática criminosa. Na seara financeira, é comum que profissionais</w:t>
      </w:r>
      <w:r w:rsidR="0068183F" w:rsidRPr="00011FCD">
        <w:t xml:space="preserve">, </w:t>
      </w:r>
      <w:r w:rsidRPr="00011FCD">
        <w:lastRenderedPageBreak/>
        <w:t xml:space="preserve">externos </w:t>
      </w:r>
      <w:r w:rsidR="0068183F" w:rsidRPr="00011FCD">
        <w:t xml:space="preserve">a pessoa jurídica, sejas requisitados para elaborar parecer e, até mesmo, análise dos balanços financeiros de uma instituição. </w:t>
      </w:r>
    </w:p>
    <w:p w:rsidR="006F3F3E" w:rsidRPr="00011FCD" w:rsidRDefault="006F3F3E" w:rsidP="006F3F3E">
      <w:pPr>
        <w:pStyle w:val="Texto"/>
      </w:pPr>
      <w:r w:rsidRPr="00011FCD">
        <w:t>Cumpre lembrar que as atividades de gestão se sustentam em uma capacidade autônoma e independente de praticar os atos próprios de uma instituição financeira: captação, intermediação ou negociação de títulos ou valores mobiliários e os responsáveis pelos serviços financeiros (BREDA, 2002). Ou seja, aquele que está a frente da uma pessoa jurídica utiliza-se do seu poder  e conhecimento para cometer crimes contra a ordem financeira e, portanto, prejudica um bem coletivo em âmbito nacional</w:t>
      </w:r>
      <w:r w:rsidR="003F0A69" w:rsidRPr="00011FCD">
        <w:t>.</w:t>
      </w:r>
    </w:p>
    <w:p w:rsidR="0068183F" w:rsidRPr="00011FCD" w:rsidRDefault="0068183F" w:rsidP="00D12A07">
      <w:pPr>
        <w:pStyle w:val="Texto"/>
      </w:pPr>
      <w:r w:rsidRPr="00011FCD">
        <w:t>Diante disso, o art. 10 estende a aplicação normativa aos atos que, em tese estão ligados a gestão da organização, para aqueles que diretamente são responsáveis pela produção e análise dos números contábeis da pessoa jurídica. Assim o dispositivo dispõe que:</w:t>
      </w:r>
    </w:p>
    <w:p w:rsidR="00444A94" w:rsidRPr="00011FCD" w:rsidRDefault="0068183F" w:rsidP="00444A94">
      <w:pPr>
        <w:pStyle w:val="Cit"/>
      </w:pPr>
      <w:r w:rsidRPr="00011FCD">
        <w:t>Fazer inserir elemento falso ou omitir elemento exigido pela legislação, em demonstrativos contábeis de instituição financeira, seguradora ou instituição integrante do sistema de distribuição de títulos de valores mobiliários</w:t>
      </w:r>
      <w:r w:rsidR="00444A94" w:rsidRPr="00011FCD">
        <w:t xml:space="preserve"> </w:t>
      </w:r>
      <w:r w:rsidRPr="00011FCD">
        <w:t>Pena - Reclusão, de 1 (um) a 5 (cinco) anos, e multa</w:t>
      </w:r>
      <w:bookmarkStart w:id="7" w:name="art11"/>
      <w:bookmarkEnd w:id="7"/>
      <w:r w:rsidR="00444A94" w:rsidRPr="00011FCD">
        <w:t>. (BRASIL, 1986, p. 01).</w:t>
      </w:r>
    </w:p>
    <w:p w:rsidR="0026000A" w:rsidRPr="00011FCD" w:rsidRDefault="00444A94" w:rsidP="00444A94">
      <w:pPr>
        <w:pStyle w:val="Texto"/>
      </w:pPr>
      <w:r w:rsidRPr="00011FCD">
        <w:t>Cumpre ressaltar que a chamada “maquiagem” dos dados financeiros, em regra, objetivam, entre outras coisas, a diminuição da incidência tributária. Na prática, at</w:t>
      </w:r>
      <w:r w:rsidR="00E72535" w:rsidRPr="00011FCD">
        <w:t xml:space="preserve">relado </w:t>
      </w:r>
      <w:r w:rsidR="00DC339E" w:rsidRPr="00011FCD">
        <w:t xml:space="preserve">tal prática, é comum que o profissional produza um levantamento financeiro das reais condições da organização. </w:t>
      </w:r>
    </w:p>
    <w:p w:rsidR="0068183F" w:rsidRPr="00011FCD" w:rsidRDefault="0026000A" w:rsidP="006846B7">
      <w:pPr>
        <w:pStyle w:val="Texto"/>
      </w:pPr>
      <w:r w:rsidRPr="00011FCD">
        <w:t>Logo, para aqueles que produzem ou contribuem diretamente com a construção do</w:t>
      </w:r>
      <w:r w:rsidR="00DC339E" w:rsidRPr="00011FCD">
        <w:t xml:space="preserve"> intitulado “Caixa 2</w:t>
      </w:r>
      <w:r w:rsidRPr="00011FCD">
        <w:t xml:space="preserve">” é possível a aplicação da sanção </w:t>
      </w:r>
      <w:r w:rsidRPr="00011FCD">
        <w:rPr>
          <w:rFonts w:eastAsia="Times New Roman"/>
          <w:color w:val="000000"/>
        </w:rPr>
        <w:t>uma vez que, o art. 11, em seu caput, estabelece que aque</w:t>
      </w:r>
      <w:r w:rsidR="006846B7" w:rsidRPr="00011FCD">
        <w:rPr>
          <w:rFonts w:eastAsia="Times New Roman"/>
          <w:color w:val="000000"/>
        </w:rPr>
        <w:t>le que m</w:t>
      </w:r>
      <w:r w:rsidR="0068183F" w:rsidRPr="00011FCD">
        <w:rPr>
          <w:rFonts w:eastAsia="Times New Roman"/>
          <w:color w:val="000000"/>
        </w:rPr>
        <w:t>ante</w:t>
      </w:r>
      <w:r w:rsidR="006846B7" w:rsidRPr="00011FCD">
        <w:rPr>
          <w:rFonts w:eastAsia="Times New Roman"/>
          <w:color w:val="000000"/>
        </w:rPr>
        <w:t>m</w:t>
      </w:r>
      <w:r w:rsidR="0068183F" w:rsidRPr="00011FCD">
        <w:rPr>
          <w:rFonts w:eastAsia="Times New Roman"/>
          <w:color w:val="000000"/>
        </w:rPr>
        <w:t xml:space="preserve"> ou movimentar</w:t>
      </w:r>
      <w:r w:rsidR="006846B7" w:rsidRPr="00011FCD">
        <w:rPr>
          <w:rFonts w:eastAsia="Times New Roman"/>
          <w:color w:val="000000"/>
        </w:rPr>
        <w:t xml:space="preserve"> </w:t>
      </w:r>
      <w:r w:rsidR="0068183F" w:rsidRPr="00011FCD">
        <w:rPr>
          <w:rFonts w:eastAsia="Times New Roman"/>
          <w:color w:val="000000"/>
        </w:rPr>
        <w:t>recurso ou valor paralelamente à contabilidade exigida pela legislação</w:t>
      </w:r>
      <w:r w:rsidR="006846B7" w:rsidRPr="00011FCD">
        <w:rPr>
          <w:rFonts w:eastAsia="Times New Roman"/>
          <w:color w:val="000000"/>
        </w:rPr>
        <w:t xml:space="preserve"> é passível a </w:t>
      </w:r>
      <w:r w:rsidR="006846B7" w:rsidRPr="00011FCD">
        <w:t xml:space="preserve">de </w:t>
      </w:r>
      <w:r w:rsidR="006846B7" w:rsidRPr="00011FCD">
        <w:rPr>
          <w:rFonts w:eastAsia="Times New Roman"/>
          <w:color w:val="000000"/>
        </w:rPr>
        <w:t>reclusão, de 1 (um) a 5 (cinco) anos, e multa.</w:t>
      </w:r>
    </w:p>
    <w:p w:rsidR="00016685" w:rsidRPr="00011FCD" w:rsidRDefault="00016685" w:rsidP="00D12A07">
      <w:pPr>
        <w:pStyle w:val="Texto"/>
      </w:pPr>
      <w:r w:rsidRPr="00011FCD">
        <w:t xml:space="preserve">Ao disciplinar tal prática, o legislador utiliza a técnica interpretativa integrada dos instrumentos. Tal recurso pode ser explicado diante das inúmeras formas que esse tipo penal pode ocorrer no âmbito fático das relações financeiras. </w:t>
      </w:r>
      <w:r w:rsidR="009612F4" w:rsidRPr="00011FCD">
        <w:t>Diante disso, estabelece o art. 4º que:</w:t>
      </w:r>
    </w:p>
    <w:p w:rsidR="009612F4" w:rsidRPr="00011FCD" w:rsidRDefault="009612F4" w:rsidP="009612F4">
      <w:pPr>
        <w:pStyle w:val="Cit"/>
      </w:pPr>
      <w:r w:rsidRPr="00011FCD">
        <w:t>Apropriar-se, quaisquer das pessoas mencionadas no art. 25 desta lei, de dinheiro, título, valor ou qualquer outro bem móvel de que tem a posse, ou desviá-lo em proveito próprio ou alheio: Pena - Reclusão, de 2 (dois) a 6 (seis) anos, e multa.</w:t>
      </w:r>
      <w:bookmarkStart w:id="8" w:name="art5p"/>
      <w:bookmarkEnd w:id="8"/>
      <w:r w:rsidRPr="00011FCD">
        <w:t xml:space="preserve"> Parágrafo único. Incorre na mesma pena qualquer das pessoas mencionadas no art. 25 desta lei, que negociar direito, título ou qualquer outro bem móvel ou imóvel de que </w:t>
      </w:r>
      <w:r w:rsidRPr="00011FCD">
        <w:lastRenderedPageBreak/>
        <w:t>tem a posse, sem autorização de quem de direito. (BRASIL, 1986, p. 01).</w:t>
      </w:r>
    </w:p>
    <w:p w:rsidR="000E5ED0" w:rsidRPr="00011FCD" w:rsidRDefault="00AD4C9F" w:rsidP="00D12A07">
      <w:pPr>
        <w:pStyle w:val="Texto"/>
      </w:pPr>
      <w:r w:rsidRPr="00011FCD">
        <w:t xml:space="preserve">Ainda verificando as possibilidades fáticas dos crimes contra a ordem financeira, o legislador reconhece que nem sempre aquele que </w:t>
      </w:r>
      <w:r w:rsidR="00801C41" w:rsidRPr="00011FCD">
        <w:t xml:space="preserve">quer beneficiar-se ou prática o ato tem acesso as informações ou está diretamente ligada a atividade empresarial que se quer fraudar. Nesse sentido, é possível que haja uma interferência na ação de terceiros através, até mesmo, da manipulação ou dissimulação de fatos </w:t>
      </w:r>
      <w:r w:rsidR="00AE25C4" w:rsidRPr="00011FCD">
        <w:t>para que outrem, de forma involuntária,</w:t>
      </w:r>
      <w:r w:rsidR="000E5ED0" w:rsidRPr="00011FCD">
        <w:t xml:space="preserve"> produza tais ações.</w:t>
      </w:r>
    </w:p>
    <w:p w:rsidR="000E5ED0" w:rsidRPr="00011FCD" w:rsidRDefault="003626F0" w:rsidP="003626F0">
      <w:pPr>
        <w:pStyle w:val="Texto"/>
        <w:rPr>
          <w:rFonts w:eastAsia="Times New Roman"/>
          <w:color w:val="000000"/>
        </w:rPr>
      </w:pPr>
      <w:r w:rsidRPr="00011FCD">
        <w:t xml:space="preserve">Diante disso, incorre em prática criminosa aquele </w:t>
      </w:r>
      <w:r w:rsidR="000E5ED0" w:rsidRPr="00011FCD">
        <w:t>que induzir ou manter em erro, sócio, investidor ou repartição pública competente, relativamente a operação ou situação financeira, sonegando-lhe informação ou prestando-a falsamente</w:t>
      </w:r>
      <w:r w:rsidRPr="00011FCD">
        <w:t>. Para tal ato, aplica-se uma pena</w:t>
      </w:r>
      <w:r w:rsidR="000E5ED0" w:rsidRPr="00011FCD">
        <w:rPr>
          <w:rFonts w:eastAsia="Times New Roman"/>
          <w:color w:val="000000"/>
        </w:rPr>
        <w:t xml:space="preserve"> </w:t>
      </w:r>
      <w:r w:rsidRPr="00011FCD">
        <w:rPr>
          <w:rFonts w:eastAsia="Times New Roman"/>
          <w:color w:val="000000"/>
        </w:rPr>
        <w:t xml:space="preserve">de reclusão, de 2 (dois) a 6 (seis) anos, e multa. Trata-se de uma </w:t>
      </w:r>
      <w:r w:rsidR="005C3081" w:rsidRPr="00011FCD">
        <w:rPr>
          <w:rFonts w:eastAsia="Times New Roman"/>
          <w:color w:val="000000"/>
        </w:rPr>
        <w:t>norma que visa proteger, inclusive, terceiros de serem utilizados como meios para eventuais ações criminosas.</w:t>
      </w:r>
    </w:p>
    <w:p w:rsidR="005C3081" w:rsidRPr="00011FCD" w:rsidRDefault="0078319C" w:rsidP="003626F0">
      <w:pPr>
        <w:pStyle w:val="Texto"/>
        <w:rPr>
          <w:rFonts w:eastAsia="Times New Roman"/>
          <w:color w:val="000000"/>
        </w:rPr>
      </w:pPr>
      <w:r w:rsidRPr="00011FCD">
        <w:rPr>
          <w:rFonts w:eastAsia="Times New Roman"/>
          <w:color w:val="000000"/>
        </w:rPr>
        <w:t xml:space="preserve">Apesar do setor imobiliário responder por parcela significativa das transações financeiras, </w:t>
      </w:r>
      <w:r w:rsidR="001F319D" w:rsidRPr="00011FCD">
        <w:rPr>
          <w:rFonts w:eastAsia="Times New Roman"/>
          <w:color w:val="000000"/>
        </w:rPr>
        <w:t xml:space="preserve">as relações </w:t>
      </w:r>
      <w:r w:rsidR="0023077D" w:rsidRPr="00011FCD">
        <w:rPr>
          <w:rFonts w:eastAsia="Times New Roman"/>
          <w:color w:val="000000"/>
        </w:rPr>
        <w:t>que envolvem bens móveis também receb</w:t>
      </w:r>
      <w:r w:rsidR="00650882" w:rsidRPr="00011FCD">
        <w:rPr>
          <w:rFonts w:eastAsia="Times New Roman"/>
          <w:color w:val="000000"/>
        </w:rPr>
        <w:t>eram</w:t>
      </w:r>
      <w:r w:rsidR="0023077D" w:rsidRPr="00011FCD">
        <w:rPr>
          <w:rFonts w:eastAsia="Times New Roman"/>
          <w:color w:val="000000"/>
        </w:rPr>
        <w:t xml:space="preserve"> uma tutela específica </w:t>
      </w:r>
      <w:r w:rsidR="00650882" w:rsidRPr="00011FCD">
        <w:rPr>
          <w:rFonts w:eastAsia="Times New Roman"/>
          <w:color w:val="000000"/>
        </w:rPr>
        <w:t xml:space="preserve">na construção da citada norma. Assim, </w:t>
      </w:r>
      <w:r w:rsidR="00111C43" w:rsidRPr="00011FCD">
        <w:rPr>
          <w:rFonts w:eastAsia="Times New Roman"/>
          <w:color w:val="000000"/>
        </w:rPr>
        <w:t>o legislador reconhece</w:t>
      </w:r>
      <w:r w:rsidR="00650882" w:rsidRPr="00011FCD">
        <w:rPr>
          <w:rFonts w:eastAsia="Times New Roman"/>
          <w:color w:val="000000"/>
        </w:rPr>
        <w:t xml:space="preserve"> os danos ao sistema financeiros que eventuais fraudes envolvendo esses bens podem ocasionar.</w:t>
      </w:r>
    </w:p>
    <w:p w:rsidR="00650882" w:rsidRPr="00011FCD" w:rsidRDefault="00650882" w:rsidP="003626F0">
      <w:pPr>
        <w:pStyle w:val="Texto"/>
        <w:rPr>
          <w:rFonts w:eastAsia="Times New Roman"/>
          <w:color w:val="000000"/>
        </w:rPr>
      </w:pPr>
      <w:r w:rsidRPr="00011FCD">
        <w:rPr>
          <w:rFonts w:eastAsia="Times New Roman"/>
          <w:color w:val="000000"/>
        </w:rPr>
        <w:t xml:space="preserve">Objetivando </w:t>
      </w:r>
      <w:r w:rsidR="00111C43" w:rsidRPr="00011FCD">
        <w:rPr>
          <w:rFonts w:eastAsia="Times New Roman"/>
          <w:color w:val="000000"/>
        </w:rPr>
        <w:t>tutelar as relações com os bens acima citados, o art. 6 dispõe que:</w:t>
      </w:r>
    </w:p>
    <w:p w:rsidR="00111C43" w:rsidRPr="00011FCD" w:rsidRDefault="00111C43" w:rsidP="00111C43">
      <w:pPr>
        <w:pStyle w:val="Cit"/>
      </w:pPr>
      <w:r w:rsidRPr="00011FCD">
        <w:t>Emitir, oferecer ou negociar, de qualquer modo, títulos ou valores mobiliários:</w:t>
      </w:r>
      <w:bookmarkStart w:id="9" w:name="art7i"/>
      <w:bookmarkEnd w:id="9"/>
      <w:r w:rsidRPr="00011FCD">
        <w:t>I - falsos ou falsificados;</w:t>
      </w:r>
      <w:bookmarkStart w:id="10" w:name="art7ii"/>
      <w:bookmarkEnd w:id="10"/>
      <w:r w:rsidRPr="00011FCD">
        <w:rPr>
          <w:rFonts w:ascii="Times New Roman" w:hAnsi="Times New Roman" w:cs="Times New Roman"/>
          <w:sz w:val="27"/>
          <w:szCs w:val="27"/>
        </w:rPr>
        <w:t xml:space="preserve"> </w:t>
      </w:r>
      <w:r w:rsidRPr="00011FCD">
        <w:t>II - sem registro prévio de emissão junto à autoridade competente, em condições divergentes das constantes do registro ou irregularmente registrados; </w:t>
      </w:r>
      <w:bookmarkStart w:id="11" w:name="art7iii"/>
      <w:bookmarkEnd w:id="11"/>
      <w:r w:rsidRPr="00011FCD">
        <w:t>III - sem lastro ou garantia suficientes, nos termos da legislação;</w:t>
      </w:r>
      <w:bookmarkStart w:id="12" w:name="art7iv"/>
      <w:bookmarkEnd w:id="12"/>
      <w:r w:rsidRPr="00011FCD">
        <w:t>IV - sem autorização prévia da autoridade competente, quando legalmente exigida. (BRASIL, 1986, p. 06).</w:t>
      </w:r>
    </w:p>
    <w:p w:rsidR="00111C43" w:rsidRPr="00011FCD" w:rsidRDefault="00581454" w:rsidP="007B60BD">
      <w:pPr>
        <w:pStyle w:val="Texto"/>
      </w:pPr>
      <w:r w:rsidRPr="00011FCD">
        <w:t xml:space="preserve">Ou seja, para além das questões de falsificação de documentos, também há a responsabilidade penal para aqueles que realizarem transações sem </w:t>
      </w:r>
      <w:r w:rsidR="007B60BD" w:rsidRPr="00011FCD">
        <w:t xml:space="preserve">o aporte dos registros emitidos por autoridades competentes. Tamanha a reprovabilidade dessa prática pelo legislador que a pena foi estabelecida em modelo de </w:t>
      </w:r>
      <w:r w:rsidR="007B60BD" w:rsidRPr="00011FCD">
        <w:rPr>
          <w:rFonts w:eastAsia="Times New Roman"/>
          <w:color w:val="000000"/>
        </w:rPr>
        <w:t>r</w:t>
      </w:r>
      <w:r w:rsidR="00111C43" w:rsidRPr="00011FCD">
        <w:rPr>
          <w:rFonts w:eastAsia="Times New Roman"/>
          <w:color w:val="000000"/>
        </w:rPr>
        <w:t>eclusão, de 2 (dois) a 8 (oito) anos</w:t>
      </w:r>
      <w:r w:rsidR="007B60BD" w:rsidRPr="00011FCD">
        <w:rPr>
          <w:rFonts w:eastAsia="Times New Roman"/>
          <w:color w:val="000000"/>
        </w:rPr>
        <w:t>, como também a cominação de multa.</w:t>
      </w:r>
    </w:p>
    <w:p w:rsidR="0060275B" w:rsidRPr="00011FCD" w:rsidRDefault="006846B7" w:rsidP="00A2565C">
      <w:pPr>
        <w:pStyle w:val="Texto"/>
        <w:rPr>
          <w:rFonts w:eastAsia="Times New Roman"/>
          <w:color w:val="000000"/>
        </w:rPr>
      </w:pPr>
      <w:r w:rsidRPr="00011FCD">
        <w:rPr>
          <w:rFonts w:eastAsia="Times New Roman"/>
          <w:color w:val="000000"/>
        </w:rPr>
        <w:t xml:space="preserve">Ainda </w:t>
      </w:r>
      <w:r w:rsidR="0060275B" w:rsidRPr="00011FCD">
        <w:rPr>
          <w:rFonts w:eastAsia="Times New Roman"/>
          <w:color w:val="000000"/>
        </w:rPr>
        <w:t xml:space="preserve">objetivando prevenir práticas que levem ao enriquecimento ilícito através da lesão ao sistema financeiro, o legislador prevê, em seu art. 14, </w:t>
      </w:r>
      <w:r w:rsidR="00A2565C" w:rsidRPr="00011FCD">
        <w:rPr>
          <w:rFonts w:eastAsia="Times New Roman"/>
          <w:color w:val="000000"/>
        </w:rPr>
        <w:t xml:space="preserve">aquele </w:t>
      </w:r>
      <w:r w:rsidR="0060275B" w:rsidRPr="00011FCD">
        <w:rPr>
          <w:rFonts w:eastAsia="Times New Roman"/>
          <w:color w:val="000000"/>
        </w:rPr>
        <w:t>que:</w:t>
      </w:r>
    </w:p>
    <w:p w:rsidR="0060275B" w:rsidRPr="00011FCD" w:rsidRDefault="0060275B" w:rsidP="0060275B">
      <w:pPr>
        <w:pStyle w:val="Cit"/>
        <w:rPr>
          <w:rFonts w:ascii="Times New Roman" w:hAnsi="Times New Roman" w:cs="Times New Roman"/>
          <w:sz w:val="27"/>
          <w:szCs w:val="27"/>
        </w:rPr>
      </w:pPr>
      <w:bookmarkStart w:id="13" w:name="art14"/>
      <w:bookmarkEnd w:id="13"/>
      <w:r w:rsidRPr="00011FCD">
        <w:t>Apresentar, em liquidação extrajudicial, ou em falência de instituição financeira, declaração de crédito ou reclamação falsa, ou juntar a elas título falso ou simulado</w:t>
      </w:r>
      <w:r w:rsidR="001D0A8A" w:rsidRPr="00011FCD">
        <w:t xml:space="preserve">. </w:t>
      </w:r>
      <w:r w:rsidRPr="00011FCD">
        <w:t>Pena - Reclusão, de 2 (dois) a 8 (oito) anos, e multa.</w:t>
      </w:r>
      <w:bookmarkStart w:id="14" w:name="art14p"/>
      <w:bookmarkEnd w:id="14"/>
      <w:r w:rsidR="001D0A8A" w:rsidRPr="00011FCD">
        <w:t xml:space="preserve"> </w:t>
      </w:r>
      <w:r w:rsidRPr="00011FCD">
        <w:t>Parágrafo único. Na mesma pena incorre o ex-administrador ou falido que reconhecer, como verdadeiro, crédito que não o seja.</w:t>
      </w:r>
      <w:r w:rsidR="00A2565C" w:rsidRPr="00011FCD">
        <w:t xml:space="preserve"> (BRASIL, 1986, p. 06).</w:t>
      </w:r>
    </w:p>
    <w:p w:rsidR="003626F0" w:rsidRPr="00011FCD" w:rsidRDefault="0008772C" w:rsidP="00C97AF3">
      <w:pPr>
        <w:pStyle w:val="Texto"/>
        <w:rPr>
          <w:rFonts w:eastAsia="Times New Roman"/>
          <w:color w:val="000000"/>
        </w:rPr>
      </w:pPr>
      <w:r w:rsidRPr="00011FCD">
        <w:rPr>
          <w:rFonts w:eastAsia="Times New Roman"/>
          <w:color w:val="000000"/>
        </w:rPr>
        <w:lastRenderedPageBreak/>
        <w:t>Para além da função de vedar o enriquecimento sem causa, esse dispositivo também colabora para que não haja fraudes quando do processo de falências das organizações</w:t>
      </w:r>
      <w:r w:rsidR="004575B6" w:rsidRPr="00011FCD">
        <w:rPr>
          <w:rFonts w:eastAsia="Times New Roman"/>
          <w:color w:val="000000"/>
        </w:rPr>
        <w:t xml:space="preserve">. Atualmente, o processo de falência e recuperação judicial possui um rito próprio estabelecido pelo Decreto-Lei 11.101, de 09 de fevereiro de 2005, que delimita os deveres específicos de todos os sujeitos da gestão </w:t>
      </w:r>
      <w:r w:rsidR="00C97AF3" w:rsidRPr="00011FCD">
        <w:rPr>
          <w:rFonts w:eastAsia="Times New Roman"/>
          <w:color w:val="000000"/>
        </w:rPr>
        <w:t xml:space="preserve">quando do encerramento das atividades empresariais. </w:t>
      </w:r>
    </w:p>
    <w:p w:rsidR="00C97AF3" w:rsidRPr="00011FCD" w:rsidRDefault="00687374" w:rsidP="00C97AF3">
      <w:pPr>
        <w:pStyle w:val="Texto"/>
        <w:rPr>
          <w:rFonts w:eastAsia="Times New Roman"/>
          <w:color w:val="000000"/>
        </w:rPr>
      </w:pPr>
      <w:r w:rsidRPr="00011FCD">
        <w:rPr>
          <w:rFonts w:eastAsia="Times New Roman"/>
          <w:color w:val="000000"/>
        </w:rPr>
        <w:t xml:space="preserve">O Decreto-Lei nº 7.492/86 além de estabelecer sanção para os crimes financeiros que ocorrem no âmbito da gestão organizacional, também prevê tipos específicos </w:t>
      </w:r>
      <w:r w:rsidR="004F00EA" w:rsidRPr="00011FCD">
        <w:rPr>
          <w:rFonts w:eastAsia="Times New Roman"/>
          <w:color w:val="000000"/>
        </w:rPr>
        <w:t xml:space="preserve">para sujeitos que se valem de dados das organizações para conseguir eventuais vantagens. </w:t>
      </w:r>
    </w:p>
    <w:p w:rsidR="001A28EC" w:rsidRPr="00011FCD" w:rsidRDefault="004F00EA" w:rsidP="001A28EC">
      <w:pPr>
        <w:pStyle w:val="Texto"/>
        <w:rPr>
          <w:rFonts w:eastAsia="Times New Roman"/>
          <w:color w:val="000000"/>
        </w:rPr>
      </w:pPr>
      <w:r w:rsidRPr="00011FCD">
        <w:rPr>
          <w:rFonts w:eastAsia="Times New Roman"/>
          <w:color w:val="000000"/>
        </w:rPr>
        <w:t xml:space="preserve">Outro pronto é que, apesar de anterior a CFRB/88, a norma ainda reconhece o principio da privacidade que é fundamental para </w:t>
      </w:r>
      <w:r w:rsidR="001A28EC" w:rsidRPr="00011FCD">
        <w:rPr>
          <w:rFonts w:eastAsia="Times New Roman"/>
          <w:color w:val="000000"/>
        </w:rPr>
        <w:t>a ocasião de algumas situações</w:t>
      </w:r>
    </w:p>
    <w:p w:rsidR="001A28EC" w:rsidRPr="00011FCD" w:rsidRDefault="001A28EC" w:rsidP="001A28EC">
      <w:pPr>
        <w:pStyle w:val="Cit"/>
      </w:pPr>
      <w:r w:rsidRPr="00011FCD">
        <w:t xml:space="preserve">Violar sigilo de operação ou de serviço prestado por instituição financeira ou integrante do sistema de distribuição de títulos mobiliários de que tenha conhecimento, em razão de ofício:Pena - Reclusão, de 1 (um) a 4 (quatro) anos, e multa. (BRASIL, 1988, </w:t>
      </w:r>
      <w:r w:rsidR="00466E52" w:rsidRPr="00011FCD">
        <w:t>p. 01).</w:t>
      </w:r>
    </w:p>
    <w:p w:rsidR="00466E52" w:rsidRPr="00011FCD" w:rsidRDefault="00466E52" w:rsidP="00466E52">
      <w:pPr>
        <w:pStyle w:val="Texto"/>
      </w:pPr>
      <w:r w:rsidRPr="00011FCD">
        <w:t xml:space="preserve">Diante da possibilidade de análise das normas jurídicas como integrantes de um sistema jurídico, Farias e Rosenvald (2017) lembram que normas que estabelecem direitos que, em tese seriam direitos apenas das pessoas humanas, fazem parte do processo de </w:t>
      </w:r>
      <w:r w:rsidR="0067471A" w:rsidRPr="00011FCD">
        <w:t>horizontalização dos direitos fundamentais. Ou seja, para esses autores, é possível que alguns dos direitos fundamentais sejam também aplicadas as organizações jurídicas.</w:t>
      </w:r>
    </w:p>
    <w:p w:rsidR="0067471A" w:rsidRPr="00011FCD" w:rsidRDefault="0067471A" w:rsidP="00466E52">
      <w:pPr>
        <w:pStyle w:val="Texto"/>
      </w:pPr>
      <w:r w:rsidRPr="00011FCD">
        <w:t>A garantia ao sigilo, para além das questões dos direitos da privacidade, também está correlacionado com o objetivo da</w:t>
      </w:r>
      <w:r w:rsidR="00AA18B6" w:rsidRPr="00011FCD">
        <w:t xml:space="preserve"> norma de prevenir eventuais fraudes ao sistema financeiro, isso porque, diante de informações que, a princípio, seriam confidenciais, terceiros podem coordenar transações financeiras específicas</w:t>
      </w:r>
      <w:r w:rsidR="00903E86" w:rsidRPr="00011FCD">
        <w:t xml:space="preserve"> e direcionadas, inclusive, para prejudicar àquele que já teve sua privacidade violada.</w:t>
      </w:r>
    </w:p>
    <w:p w:rsidR="00DA0930" w:rsidRPr="00011FCD" w:rsidRDefault="00903E86" w:rsidP="00466E52">
      <w:pPr>
        <w:pStyle w:val="Texto"/>
      </w:pPr>
      <w:r w:rsidRPr="00011FCD">
        <w:t>A manipulação dos dados de uma organização também pode ser direcionada para que essa tire vantagens de uma negociação jurídica futura. Reconhecendo tal possibilidade, o legislador prevê um tipo penal</w:t>
      </w:r>
      <w:r w:rsidR="000C1EDC" w:rsidRPr="00011FCD">
        <w:t xml:space="preserve"> específico para aqueles que modifiquem os balanços financeiros de uma organização para a obtenção de empréstimos. </w:t>
      </w:r>
    </w:p>
    <w:p w:rsidR="00656FE6" w:rsidRPr="00011FCD" w:rsidRDefault="000C1EDC" w:rsidP="00656FE6">
      <w:pPr>
        <w:pStyle w:val="Texto"/>
        <w:rPr>
          <w:rFonts w:ascii="Times New Roman" w:hAnsi="Times New Roman" w:cs="Times New Roman"/>
          <w:sz w:val="27"/>
          <w:szCs w:val="27"/>
        </w:rPr>
      </w:pPr>
      <w:r w:rsidRPr="00011FCD">
        <w:t>Assim o art. 19 dispõe que</w:t>
      </w:r>
      <w:r w:rsidR="00DA0930" w:rsidRPr="00011FCD">
        <w:t xml:space="preserve"> aquele que o</w:t>
      </w:r>
      <w:r w:rsidRPr="00011FCD">
        <w:t>bter, mediante fraude, financiamento em instituição financeira</w:t>
      </w:r>
      <w:r w:rsidR="00DA0930" w:rsidRPr="00011FCD">
        <w:t xml:space="preserve"> é passível a uma pena de r</w:t>
      </w:r>
      <w:r w:rsidRPr="00011FCD">
        <w:t>eclusão, de 2 (dois) a 6 (seis) anos, e multa.</w:t>
      </w:r>
      <w:r w:rsidR="00DA0930" w:rsidRPr="00011FCD">
        <w:t xml:space="preserve"> Ademais, ainda há a possibilidade da majoração da pena quando o </w:t>
      </w:r>
      <w:r w:rsidR="00DA0930" w:rsidRPr="00011FCD">
        <w:lastRenderedPageBreak/>
        <w:t>sujeito da aç</w:t>
      </w:r>
      <w:r w:rsidR="00656FE6" w:rsidRPr="00011FCD">
        <w:t xml:space="preserve">ão quando cometido em detrimento de instituição financeira oficial ou por ela credenciada para o repasse de financiamento. Nesses casos, há um aumento de 1/3.  </w:t>
      </w:r>
    </w:p>
    <w:p w:rsidR="002B1C26" w:rsidRPr="00011FCD" w:rsidRDefault="00656FE6" w:rsidP="002B1C26">
      <w:pPr>
        <w:pStyle w:val="Texto"/>
      </w:pPr>
      <w:r w:rsidRPr="00011FCD">
        <w:t xml:space="preserve">No âmbito das relações de empréstimo, é comum que, para garantir o </w:t>
      </w:r>
      <w:r w:rsidR="009C7BE6" w:rsidRPr="00011FCD">
        <w:t xml:space="preserve">futuro </w:t>
      </w:r>
      <w:r w:rsidRPr="00011FCD">
        <w:t>pagamento do valor</w:t>
      </w:r>
      <w:r w:rsidR="009C7BE6" w:rsidRPr="00011FCD">
        <w:t xml:space="preserve"> disponibilizado, a instituição estabeleça cl</w:t>
      </w:r>
      <w:r w:rsidR="000427D2" w:rsidRPr="00011FCD">
        <w:t>á</w:t>
      </w:r>
      <w:r w:rsidR="009C7BE6" w:rsidRPr="00011FCD">
        <w:t>usula contratual que prevê a aplicação dos recursos para fins específicos. Na prática, um</w:t>
      </w:r>
      <w:r w:rsidR="002B1C26" w:rsidRPr="00011FCD">
        <w:t xml:space="preserve"> eventual desvio do recurso pode ser considerado prática criminosa, posto que, o art. 20, estabelece que</w:t>
      </w:r>
    </w:p>
    <w:p w:rsidR="002B1C26" w:rsidRPr="00011FCD" w:rsidRDefault="002B1C26" w:rsidP="002B1C26">
      <w:pPr>
        <w:pStyle w:val="Cit"/>
        <w:rPr>
          <w:rFonts w:eastAsia="Calibri"/>
          <w:sz w:val="27"/>
          <w:szCs w:val="27"/>
        </w:rPr>
      </w:pPr>
      <w:r w:rsidRPr="00011FCD">
        <w:t>Aplicar, em finalidade diversa da prevista em lei ou contrato, recursos provenientes de financiamento concedido por instituição financeira oficial ou por instituição credenciada para repassá-lo:  Pena - Reclusão, de 2 (dois) a 6 (seis) anos, e multa. (BRASIL, 1988, p. 01).</w:t>
      </w:r>
    </w:p>
    <w:p w:rsidR="000C1EDC" w:rsidRPr="00011FCD" w:rsidRDefault="002B1C26" w:rsidP="00656FE6">
      <w:pPr>
        <w:pStyle w:val="Texto"/>
        <w:ind w:firstLine="0"/>
      </w:pPr>
      <w:r w:rsidRPr="00011FCD">
        <w:tab/>
        <w:t xml:space="preserve">Os negócios que envolvem pessoas jurídicas de direito internacional ou moeda estrangeira também pode ser objetos de fraudes. </w:t>
      </w:r>
      <w:r w:rsidR="00C40326" w:rsidRPr="00011FCD">
        <w:t>Para que transações internacionais ocorram, é comum que sejam intermediadas por uma terceira pessoa jurídica que possui a responsabilidade de realizar as conversões de moedas.</w:t>
      </w:r>
      <w:r w:rsidR="000F1801" w:rsidRPr="00011FCD">
        <w:t xml:space="preserve"> </w:t>
      </w:r>
    </w:p>
    <w:p w:rsidR="000F1801" w:rsidRPr="00011FCD" w:rsidRDefault="000F1801" w:rsidP="000F1801">
      <w:pPr>
        <w:pStyle w:val="Texto"/>
        <w:ind w:firstLine="0"/>
        <w:rPr>
          <w:rFonts w:eastAsia="Times New Roman"/>
          <w:color w:val="000000"/>
        </w:rPr>
      </w:pPr>
      <w:r w:rsidRPr="00011FCD">
        <w:tab/>
        <w:t xml:space="preserve">Há, portanto, uma delimitação específica de pessoas jurídicas que podem desenvolver tais atividades. Para aqueles que não obedeçam tais critérios, o art. 22, dispõe que aquele que </w:t>
      </w:r>
      <w:r w:rsidRPr="00011FCD">
        <w:rPr>
          <w:rFonts w:eastAsia="Times New Roman"/>
          <w:color w:val="000000"/>
        </w:rPr>
        <w:t>e</w:t>
      </w:r>
      <w:r w:rsidRPr="00833FE9">
        <w:rPr>
          <w:rFonts w:eastAsia="Times New Roman"/>
          <w:color w:val="000000"/>
        </w:rPr>
        <w:t>fetuar operação de câmbio não autorizada, com o fim de promover evasão de divisas do País</w:t>
      </w:r>
      <w:r w:rsidRPr="00011FCD">
        <w:rPr>
          <w:rFonts w:eastAsia="Times New Roman"/>
          <w:color w:val="000000"/>
        </w:rPr>
        <w:t xml:space="preserve"> </w:t>
      </w:r>
      <w:r w:rsidR="001A1AC6" w:rsidRPr="00011FCD">
        <w:rPr>
          <w:rFonts w:eastAsia="Times New Roman"/>
          <w:color w:val="000000"/>
        </w:rPr>
        <w:t>incorre em uma pena der r</w:t>
      </w:r>
      <w:r w:rsidRPr="00833FE9">
        <w:rPr>
          <w:rFonts w:eastAsia="Times New Roman"/>
          <w:color w:val="000000"/>
        </w:rPr>
        <w:t>eclusão, de 2 (dois) a 6 (seis) anos, e multa.</w:t>
      </w:r>
    </w:p>
    <w:p w:rsidR="000F1801" w:rsidRPr="00011FCD" w:rsidRDefault="001A1AC6" w:rsidP="000F1801">
      <w:pPr>
        <w:pStyle w:val="Texto"/>
        <w:ind w:firstLine="0"/>
      </w:pPr>
      <w:r w:rsidRPr="00011FCD">
        <w:rPr>
          <w:rFonts w:eastAsia="Times New Roman"/>
          <w:color w:val="000000"/>
        </w:rPr>
        <w:tab/>
        <w:t xml:space="preserve">A vedação acima, objetiva </w:t>
      </w:r>
      <w:r w:rsidR="005D4981" w:rsidRPr="00011FCD">
        <w:rPr>
          <w:rFonts w:eastAsia="Times New Roman"/>
          <w:color w:val="000000"/>
        </w:rPr>
        <w:t xml:space="preserve">também </w:t>
      </w:r>
      <w:r w:rsidRPr="00011FCD">
        <w:rPr>
          <w:rFonts w:eastAsia="Times New Roman"/>
          <w:color w:val="000000"/>
        </w:rPr>
        <w:t>coibir a conhecida prática de evasão de divisas que</w:t>
      </w:r>
      <w:r w:rsidR="005D4981" w:rsidRPr="00011FCD">
        <w:t xml:space="preserve">, uma vez que, </w:t>
      </w:r>
      <w:r w:rsidR="005D4981" w:rsidRPr="00011FCD">
        <w:rPr>
          <w:rFonts w:eastAsia="Times New Roman"/>
          <w:color w:val="000000"/>
        </w:rPr>
        <w:t>i</w:t>
      </w:r>
      <w:r w:rsidR="000F1801" w:rsidRPr="00833FE9">
        <w:rPr>
          <w:rFonts w:eastAsia="Times New Roman"/>
          <w:color w:val="000000"/>
        </w:rPr>
        <w:t>ncorre na mesma pena quem, a qualquer título, promove, sem autorização legal, a saída de moeda ou divisa para o exterior</w:t>
      </w:r>
      <w:r w:rsidR="005D4981" w:rsidRPr="00011FCD">
        <w:rPr>
          <w:rFonts w:eastAsia="Times New Roman"/>
          <w:color w:val="000000"/>
        </w:rPr>
        <w:t xml:space="preserve"> (BRASIL, 1986). Para além </w:t>
      </w:r>
      <w:r w:rsidR="00C9795B" w:rsidRPr="00011FCD">
        <w:rPr>
          <w:rFonts w:eastAsia="Times New Roman"/>
          <w:color w:val="000000"/>
        </w:rPr>
        <w:t xml:space="preserve">das questões de arrecadação fiscal, em seu fim, essa prática atinge diretamente o desenvolvimento econômico local, uma vez que, contribui para a exportação de eventuais lucros não declarados de uma organização e que poderiam ser reaplicados no âmbito nacional (GERONOMI, 1986). </w:t>
      </w:r>
    </w:p>
    <w:p w:rsidR="00833FE9" w:rsidRPr="00011FCD" w:rsidRDefault="00C40326" w:rsidP="00656FE6">
      <w:pPr>
        <w:pStyle w:val="Texto"/>
        <w:ind w:firstLine="0"/>
      </w:pPr>
      <w:r w:rsidRPr="00011FCD">
        <w:tab/>
      </w:r>
      <w:r w:rsidR="00672832" w:rsidRPr="00011FCD">
        <w:t>No âmbito cotidiano das relações sociais, também é comum que o individuo busque as chamadas Casas de Câmbio para realizarem as trocas de moeda. Diante da importância dessas transações financeiras, o</w:t>
      </w:r>
      <w:r w:rsidR="00B71989" w:rsidRPr="00011FCD">
        <w:t xml:space="preserve"> Estado designa critérios específicos para que as instituições serem credenciadas e certificadas para sua realização. Ainda assim, é possível que eventuais fraudes ocorram. </w:t>
      </w:r>
    </w:p>
    <w:p w:rsidR="00C40326" w:rsidRPr="00011FCD" w:rsidRDefault="00B71989" w:rsidP="00833FE9">
      <w:pPr>
        <w:pStyle w:val="Texto"/>
        <w:ind w:firstLine="708"/>
      </w:pPr>
      <w:r w:rsidRPr="00011FCD">
        <w:t>Nesse sentido, a Lei 7</w:t>
      </w:r>
      <w:r w:rsidR="00833FE9" w:rsidRPr="00011FCD">
        <w:t xml:space="preserve">.4932, dispõe um conjunto de práticas vedadas para aquelas situações de câmbio de moeda e penalidades específica. Logo, </w:t>
      </w:r>
      <w:r w:rsidR="00F82C64" w:rsidRPr="00011FCD">
        <w:t xml:space="preserve">para aquele </w:t>
      </w:r>
      <w:r w:rsidR="00F82C64" w:rsidRPr="00011FCD">
        <w:lastRenderedPageBreak/>
        <w:t>que se utiliza de identidade falsa para realizar transações e por consequência, eventuais crimes fiscais, o art. 21 dispõe que:</w:t>
      </w:r>
    </w:p>
    <w:p w:rsidR="00833FE9" w:rsidRPr="00011FCD" w:rsidRDefault="00833FE9" w:rsidP="0078652D">
      <w:pPr>
        <w:pStyle w:val="Cit"/>
      </w:pPr>
      <w:r w:rsidRPr="00011FCD">
        <w:t>Atribuir-se, ou atribuir a terceiro, falsa identidade, para realização de operação de câmbio:</w:t>
      </w:r>
      <w:r w:rsidRPr="00011FCD">
        <w:rPr>
          <w:rFonts w:ascii="Times New Roman" w:hAnsi="Times New Roman" w:cs="Times New Roman"/>
          <w:sz w:val="27"/>
          <w:szCs w:val="27"/>
        </w:rPr>
        <w:t xml:space="preserve"> </w:t>
      </w:r>
      <w:r w:rsidRPr="00011FCD">
        <w:t>Pena - Detenção, de 1 (um) a 4 (quatro) anos, e multa. </w:t>
      </w:r>
      <w:bookmarkStart w:id="15" w:name="art21p"/>
      <w:bookmarkEnd w:id="15"/>
      <w:r w:rsidRPr="00011FCD">
        <w:t>Parágrafo único. Incorre na mesma pena quem, para o mesmo fim, sonega informação que devia prestar ou presta informação falsa.</w:t>
      </w:r>
      <w:r w:rsidR="0078652D" w:rsidRPr="00011FCD">
        <w:t xml:space="preserve"> (BRASIL, 1986, p. 01).</w:t>
      </w:r>
    </w:p>
    <w:p w:rsidR="006A6FB3" w:rsidRPr="00011FCD" w:rsidRDefault="0078652D" w:rsidP="006A6FB3">
      <w:pPr>
        <w:pStyle w:val="Texto"/>
      </w:pPr>
      <w:r w:rsidRPr="00011FCD">
        <w:t>Apesar do sistema jurídico ser dividido no plano didático em ramos, no âmbito fático das atividades estatais é comum que haja uma correlação entre as atividades</w:t>
      </w:r>
      <w:r w:rsidR="006A6FB3" w:rsidRPr="00011FCD">
        <w:t xml:space="preserve"> jurídicas. Ademais, diante das limitações funcionais dos agentes estatais, os responsáveis pelas pessoas jurídicas devem informar com precisão as atividades desenvolvidas. Assim, o art 23 estabelece que:</w:t>
      </w:r>
    </w:p>
    <w:p w:rsidR="006A6FB3" w:rsidRPr="00011FCD" w:rsidRDefault="00833FE9" w:rsidP="006A6FB3">
      <w:pPr>
        <w:pStyle w:val="Cit"/>
      </w:pPr>
      <w:r w:rsidRPr="00011FCD">
        <w:t>Omitir, retardar ou praticar, o funcionário público, contra disposição expressa de lei, ato de ofício necessário ao regular funcionamento do sistema financeiro nacional, bem como a preservação dos interesses e valores da ordem econômico-financeira:</w:t>
      </w:r>
      <w:r w:rsidR="006A6FB3" w:rsidRPr="00011FCD">
        <w:t xml:space="preserve"> </w:t>
      </w:r>
      <w:r w:rsidRPr="00011FCD">
        <w:t>Pena - Reclusão, de 1 (um) a 4 (quatro) anos, e multa.</w:t>
      </w:r>
      <w:r w:rsidR="006A6FB3" w:rsidRPr="00011FCD">
        <w:t xml:space="preserve"> (BRASIL, 1986, p. 01).</w:t>
      </w:r>
    </w:p>
    <w:p w:rsidR="008227DC" w:rsidRPr="00011FCD" w:rsidRDefault="006614CE" w:rsidP="00186C17">
      <w:pPr>
        <w:pStyle w:val="Texto"/>
      </w:pPr>
      <w:r w:rsidRPr="00011FCD">
        <w:t>Por fim, cumpre ressaltar que a Lei 7.4932 estipula um rito procedimental específico para os tipos penais que descreve. Ta</w:t>
      </w:r>
      <w:r w:rsidR="00186C17" w:rsidRPr="00011FCD">
        <w:t>l especificação emerge do impacto que os crimes contra a ordem financeira ocasionam a sociedade (GERONIMI, 2009). Logo, a ação criminal possui elementos específicos e que devem ser observados por todos os sujeitos que fazem parte desse tipo de processo penal.</w:t>
      </w:r>
    </w:p>
    <w:p w:rsidR="00186C17" w:rsidRPr="00011FCD" w:rsidRDefault="00186C17" w:rsidP="00186C17">
      <w:pPr>
        <w:pStyle w:val="Texto"/>
      </w:pPr>
    </w:p>
    <w:p w:rsidR="00E554BE" w:rsidRPr="00011FCD" w:rsidRDefault="00186C17" w:rsidP="00DC0807">
      <w:pPr>
        <w:pStyle w:val="I"/>
        <w:rPr>
          <w:rFonts w:eastAsia="Calibri"/>
        </w:rPr>
      </w:pPr>
      <w:r w:rsidRPr="00011FCD">
        <w:t>3</w:t>
      </w:r>
      <w:r w:rsidR="00DC0807" w:rsidRPr="00011FCD">
        <w:t xml:space="preserve"> entendimento dos Tribunais quanto a configuração dos crimes cometidos contra o sistema financeiro nacional.</w:t>
      </w:r>
    </w:p>
    <w:p w:rsidR="00947557" w:rsidRPr="00011FCD" w:rsidRDefault="00947557" w:rsidP="00F830A6">
      <w:pPr>
        <w:tabs>
          <w:tab w:val="left" w:pos="709"/>
        </w:tabs>
        <w:spacing w:after="0" w:line="360" w:lineRule="auto"/>
        <w:ind w:firstLine="709"/>
        <w:jc w:val="both"/>
        <w:rPr>
          <w:rFonts w:ascii="Arial" w:eastAsia="Calibri" w:hAnsi="Arial" w:cs="Arial"/>
          <w:sz w:val="24"/>
          <w:szCs w:val="24"/>
        </w:rPr>
      </w:pPr>
    </w:p>
    <w:p w:rsidR="006172F7" w:rsidRPr="00011FCD" w:rsidRDefault="00BC6CDE" w:rsidP="00BC6CDE">
      <w:pPr>
        <w:pStyle w:val="Texto"/>
      </w:pPr>
      <w:r w:rsidRPr="00011FCD">
        <w:t xml:space="preserve">Apesar da evolução normativa, quando da apreciação da matéria pelos Tribunas, </w:t>
      </w:r>
      <w:r w:rsidR="006A2CEB" w:rsidRPr="00011FCD">
        <w:t>alguns pontos</w:t>
      </w:r>
      <w:r w:rsidRPr="00011FCD">
        <w:t xml:space="preserve"> ainda são controversos e merecem ser melhor analisados</w:t>
      </w:r>
      <w:r w:rsidR="006A2CEB" w:rsidRPr="00011FCD">
        <w:t>. A exemplo de tais divergências, Trauczynski (2014)</w:t>
      </w:r>
      <w:r w:rsidR="00621181" w:rsidRPr="00011FCD">
        <w:t xml:space="preserve"> leciona que</w:t>
      </w:r>
      <w:r w:rsidR="00C57DD6" w:rsidRPr="00011FCD">
        <w:t xml:space="preserve"> o exemplo do art. 4 que, conforme a autora: </w:t>
      </w:r>
    </w:p>
    <w:p w:rsidR="00621181" w:rsidRPr="00011FCD" w:rsidRDefault="00C57DD6" w:rsidP="00C57DD6">
      <w:pPr>
        <w:pStyle w:val="Cit"/>
        <w:rPr>
          <w:rFonts w:eastAsia="Calibri"/>
        </w:rPr>
      </w:pPr>
      <w:r w:rsidRPr="00011FCD">
        <w:t>O</w:t>
      </w:r>
      <w:r w:rsidR="00621181" w:rsidRPr="00011FCD">
        <w:t>riginariamente, exigia-se para a consumação da gestão fraudulenta a superveniência de intervenção, liquidação extrajudicial ou falência. O tipo penal, assim redigido, era bastante restrito. Ao retirar tais elementos, o legislador criou um tipo genérico, exigindo-se unicamente o emprego de fraudes na administração da instituição, desconectadas de qualquer resultado, mas mantendo a grave sanção de 03 a 12 anos de reclusão.</w:t>
      </w:r>
      <w:r w:rsidRPr="00011FCD">
        <w:t xml:space="preserve"> (TRAUCZYNSK, 2014, p. 75).</w:t>
      </w:r>
    </w:p>
    <w:p w:rsidR="00D61B27" w:rsidRPr="00011FCD" w:rsidRDefault="009254E1" w:rsidP="002330E5">
      <w:pPr>
        <w:pStyle w:val="Texto"/>
      </w:pPr>
      <w:r w:rsidRPr="00011FCD">
        <w:t xml:space="preserve">Quando da apreciação da matéria, percebe-se uma divergência de interpretação por parte dos julgadores. Quando da apreciação da Apelações Criminal </w:t>
      </w:r>
      <w:r w:rsidRPr="00011FCD">
        <w:lastRenderedPageBreak/>
        <w:t xml:space="preserve">sob nº 2002.04.01.052304-0/PR e nº 2004.04.01.037552-6/PR, o </w:t>
      </w:r>
      <w:r w:rsidR="002330E5" w:rsidRPr="00011FCD">
        <w:t>Desembargador</w:t>
      </w:r>
      <w:r w:rsidRPr="00011FCD">
        <w:t xml:space="preserve"> Federal Dr. </w:t>
      </w:r>
      <w:r w:rsidR="00D61B27" w:rsidRPr="00011FCD">
        <w:t xml:space="preserve">Paulo Afonso Brum Vaz em seu voto decidiu que </w:t>
      </w:r>
    </w:p>
    <w:p w:rsidR="00D61B27" w:rsidRPr="00011FCD" w:rsidRDefault="00D61B27" w:rsidP="002330E5">
      <w:pPr>
        <w:pStyle w:val="Cit"/>
      </w:pPr>
      <w:r w:rsidRPr="00011FCD">
        <w:t>A norma inscrita no art. 5º da Lei nº 7.492/86, quando a conduta ostente caráter fraudulento, contém os elementos da norma inscrita no art. 4º daquele diploma. No caso de atos delituosos praticados com fraude, instaura-se um conflito aparente de normas, que se resolve pelo princípio da especialidade, considerando-se na solução do problema, como elemento especializante, não a apropriação/desvio, mas a ação fraudulenta perpetrada pelo agente. A punição pelo art. 5º fica reservada para aqueles casos em que há apropriação/desvio como simples decorrência de descumprimento das normas de regência, sem o emprego de qualquer meio ardiloso” (</w:t>
      </w:r>
      <w:r w:rsidR="00DB7A8D" w:rsidRPr="00011FCD">
        <w:t>STF</w:t>
      </w:r>
      <w:r w:rsidR="00936B09" w:rsidRPr="00011FCD">
        <w:t>, 201</w:t>
      </w:r>
      <w:r w:rsidR="00A37196">
        <w:t>9</w:t>
      </w:r>
      <w:r w:rsidRPr="00011FCD">
        <w:t>, p. 01</w:t>
      </w:r>
      <w:r w:rsidR="002330E5" w:rsidRPr="00011FCD">
        <w:t>).</w:t>
      </w:r>
    </w:p>
    <w:p w:rsidR="00E44E67" w:rsidRPr="00011FCD" w:rsidRDefault="00E44E67" w:rsidP="009254E1">
      <w:pPr>
        <w:pStyle w:val="Texto"/>
        <w:ind w:firstLine="708"/>
      </w:pPr>
      <w:r w:rsidRPr="00011FCD">
        <w:t xml:space="preserve">No mérito da lide, a fraude passa a ser um elemento característico da especialização do tipo penal. Logo, </w:t>
      </w:r>
      <w:r w:rsidR="0028673C" w:rsidRPr="00011FCD">
        <w:t>há o reconhecimento da tipicidade estabelecida pelo já mencionado art. 4º da Lei 7.493/89</w:t>
      </w:r>
      <w:r w:rsidR="00E67EB1" w:rsidRPr="00011FCD">
        <w:t xml:space="preserve"> e, portanto, o concurso material ocorre tão somente para os casos em que há apropriação </w:t>
      </w:r>
      <w:r w:rsidR="008E78EA" w:rsidRPr="00011FCD">
        <w:t>mediante fraude.</w:t>
      </w:r>
    </w:p>
    <w:p w:rsidR="008E78EA" w:rsidRPr="00011FCD" w:rsidRDefault="008E78EA" w:rsidP="009640F9">
      <w:pPr>
        <w:pStyle w:val="Texto"/>
        <w:ind w:firstLine="708"/>
      </w:pPr>
      <w:r w:rsidRPr="00011FCD">
        <w:t xml:space="preserve">Quando da análise de matéria semelhante, </w:t>
      </w:r>
      <w:r w:rsidR="005946D4" w:rsidRPr="00011FCD">
        <w:t>o Superior Tribunal de Justiça, quando do julgamento do HC 585.770, concluiu de forma diversa. Nesse sentido</w:t>
      </w:r>
      <w:r w:rsidR="009640F9" w:rsidRPr="00011FCD">
        <w:t>, expõe-se o disposto pelo</w:t>
      </w:r>
      <w:r w:rsidR="005946D4" w:rsidRPr="00011FCD">
        <w:t xml:space="preserve"> Ministro Gilson Dipp</w:t>
      </w:r>
      <w:r w:rsidR="009640F9" w:rsidRPr="00011FCD">
        <w:t xml:space="preserve"> em seu relato:</w:t>
      </w:r>
    </w:p>
    <w:p w:rsidR="008E78EA" w:rsidRPr="00011FCD" w:rsidRDefault="009640F9" w:rsidP="008E78EA">
      <w:pPr>
        <w:pStyle w:val="Cit"/>
      </w:pPr>
      <w:r w:rsidRPr="00011FCD">
        <w:t>C</w:t>
      </w:r>
      <w:r w:rsidR="008E78EA" w:rsidRPr="00011FCD">
        <w:t>RIMINAL. RESP. GESTÃO FRAUDULENTA. APROPRIAÇÃO E DESVIO DE DINHEIRO, TÍTULO, VALOR OU OUTRO BEM. CONFLITO APARENTE DE NORMAS. INOCORRÊNCIA. DIVERSIDADE DE OBJETOS JURÍDICOS. CONCURSO FORMAL CONFIGURADO. RECURSO CONHECIDO E PROVIDO. I - O art. 4º da Lei 7.492/86 descreve o crime de gestão fraudulenta de instituição financeira, tutelando o Sistema Financeiro Nacional e sua credibilidade pública. Já o art. 5º da mesma lei protege a relação de confiança dos negócios jurídicos desta área e o patrimônio dos investidores. II - Se os dispositivos tutelam objetos jurídicos diversos, não há que se falar em conflito aparente de normas, mas de concurso formal, caso em que o agente, mediante uma só ação ou omissão, pratica dois ou mais crimes. III - Recurso conhecido e provido, nos termos do voto do relator. (REsp 585.770/RS, Rel. Ministro GILSON DIPP, QUINTA TURMA, julgado em 07.10.2004, DJ 16.11.2004, p. 313)</w:t>
      </w:r>
      <w:r w:rsidRPr="00011FCD">
        <w:t>.</w:t>
      </w:r>
      <w:r w:rsidR="00DB7A8D" w:rsidRPr="00011FCD">
        <w:t>(STF, 201</w:t>
      </w:r>
      <w:r w:rsidR="00A37196">
        <w:t>9</w:t>
      </w:r>
      <w:r w:rsidR="00DB7A8D" w:rsidRPr="00011FCD">
        <w:t>, p. 01)</w:t>
      </w:r>
      <w:r w:rsidR="0024007D" w:rsidRPr="00011FCD">
        <w:t>.</w:t>
      </w:r>
    </w:p>
    <w:p w:rsidR="00696CF6" w:rsidRPr="00011FCD" w:rsidRDefault="00FA0325" w:rsidP="003F0A69">
      <w:pPr>
        <w:pStyle w:val="Texto"/>
        <w:ind w:firstLine="708"/>
      </w:pPr>
      <w:r w:rsidRPr="00011FCD">
        <w:t>Quando da aplicação normativa para a caracterização da prática de evasão de divisas, a matéria também é objeto de controvérsia pelos tribunais brasileiros. A exemplo, o recente julgamento do Agravo Em Recurso Especial Nº 774.523</w:t>
      </w:r>
      <w:r w:rsidR="001225A2" w:rsidRPr="00011FCD">
        <w:t xml:space="preserve"> que é uma decorrência direta da Operação Satiagraha</w:t>
      </w:r>
      <w:r w:rsidR="00696CF6" w:rsidRPr="00011FCD">
        <w:t xml:space="preserve">k </w:t>
      </w:r>
      <w:r w:rsidR="001225A2" w:rsidRPr="00011FCD">
        <w:t>que investigou, entre outros fatos, as aplicações do fundo de investimentos </w:t>
      </w:r>
      <w:r w:rsidR="001225A2" w:rsidRPr="00011FCD">
        <w:rPr>
          <w:rStyle w:val="nfase"/>
          <w:i w:val="0"/>
          <w:iCs w:val="0"/>
        </w:rPr>
        <w:t>Opportunity Fund</w:t>
      </w:r>
      <w:r w:rsidR="001225A2" w:rsidRPr="00011FCD">
        <w:t>, sediado nas Ilhas Cayman</w:t>
      </w:r>
      <w:r w:rsidR="00696CF6" w:rsidRPr="00011FCD">
        <w:t xml:space="preserve"> (STJ, 2019). </w:t>
      </w:r>
      <w:r w:rsidR="001225A2" w:rsidRPr="00011FCD">
        <w:t xml:space="preserve"> </w:t>
      </w:r>
    </w:p>
    <w:p w:rsidR="008F607D" w:rsidRPr="00011FCD" w:rsidRDefault="00696CF6" w:rsidP="008F607D">
      <w:pPr>
        <w:pStyle w:val="Texto"/>
      </w:pPr>
      <w:r w:rsidRPr="00011FCD">
        <w:t xml:space="preserve">Incialmente, a ação foi impetrada </w:t>
      </w:r>
      <w:r w:rsidR="00296A60" w:rsidRPr="00011FCD">
        <w:t xml:space="preserve">após a verificação da remersa de um valor superior a </w:t>
      </w:r>
      <w:r w:rsidR="001225A2" w:rsidRPr="00011FCD">
        <w:t>US$ 180 mil em uma aplicação no </w:t>
      </w:r>
      <w:r w:rsidR="001225A2" w:rsidRPr="00011FCD">
        <w:rPr>
          <w:rStyle w:val="nfase"/>
          <w:i w:val="0"/>
          <w:iCs w:val="0"/>
        </w:rPr>
        <w:t>Opportunity</w:t>
      </w:r>
      <w:r w:rsidR="001225A2" w:rsidRPr="00011FCD">
        <w:t> em dezembro de 2002</w:t>
      </w:r>
      <w:r w:rsidR="00296A60" w:rsidRPr="00011FCD">
        <w:t xml:space="preserve">. Tal </w:t>
      </w:r>
      <w:r w:rsidR="00296A60" w:rsidRPr="00011FCD">
        <w:lastRenderedPageBreak/>
        <w:t xml:space="preserve">valor, não obedecer ao protocolo de declaração estabelecido pela Receita Federal e, portanto, a investigação apontava para eventual evasão de divisas. </w:t>
      </w:r>
      <w:r w:rsidR="004E1E32" w:rsidRPr="00011FCD">
        <w:t xml:space="preserve"> Quando da apreciação da</w:t>
      </w:r>
      <w:r w:rsidR="008F607D" w:rsidRPr="00011FCD">
        <w:t xml:space="preserve"> matéria, divergindo da primeira decisão, o Ministro Joel Ilan Paciornik restringiu a compreensão do instituto do depósito e reformulou a decisão estabelecendo que:</w:t>
      </w:r>
    </w:p>
    <w:p w:rsidR="008F607D" w:rsidRPr="00011FCD" w:rsidRDefault="008F607D" w:rsidP="008F607D">
      <w:pPr>
        <w:pStyle w:val="Cit"/>
      </w:pPr>
      <w:r w:rsidRPr="00011FCD">
        <w:t>AGRAVO EM RECURSO ESPECIAL. EVASÃO DE DIVISAS. ART. 22, PARÁGRAFO ÚNICO, PARTE FINAL, DA LEI N. 7.492/86. MANTER DEPÓSITO NO EXTERIOR NÃO DECLARADO À AUTORIDADE COMPETENTE. APLICAÇÃO FINANCEIRA EM FUNDO DE INVESTIMENTO. CONDUTA QUE SE SUBSUME AO TIPO LEGAL. 2) VIOLAÇÃO AO ART. 619 DO CÓDIGO DE PROCESSO PENAL – CPP. OMISSÃO A RESPEITO DA ILICITUDE DA PROVA QUE EMBASA A DENÚNCIA. AUSÊNCIA. QUESTÃO QUE NÃO FOI OBJETO DO AGRAVO EM SENTIDO ESTRITO E NEM DA DECISÃO QUE REJEITOU A DENÚNCIA. AGRAVO EM RECURSO ESPECIAL CONHECIDO. RECURSO ESPECIAL DESPROVIDO. 1. Para fins de interpretação do termo "depósito" deve-se considerar o fim a que se destina a norma, pois visa proteção do Sistema Financeiro Nacional – SFN. A lei não restringiu a modalidade de deposito o local de depósito no exterior. Assim, não deve ser considerado apenas o depósito em conta bancária no exterior, mas também o valor depositado em aplicação financeira no exterior, em razão da disponibilidade da moeda e do interesse do SFN. (ST</w:t>
      </w:r>
      <w:r w:rsidR="00DB7A8D" w:rsidRPr="00011FCD">
        <w:t>F</w:t>
      </w:r>
      <w:r w:rsidRPr="00011FCD">
        <w:t>, 201</w:t>
      </w:r>
      <w:r w:rsidR="00A37196">
        <w:t>9</w:t>
      </w:r>
      <w:r w:rsidRPr="00011FCD">
        <w:t>, p. 01).</w:t>
      </w:r>
    </w:p>
    <w:p w:rsidR="00C43AA3" w:rsidRPr="00011FCD" w:rsidRDefault="00C43AA3" w:rsidP="00C43AA3">
      <w:pPr>
        <w:pStyle w:val="Texto"/>
      </w:pPr>
      <w:r w:rsidRPr="00011FCD">
        <w:t xml:space="preserve">Aplicação da norma também </w:t>
      </w:r>
      <w:r w:rsidR="00DC5432" w:rsidRPr="00011FCD">
        <w:t>é divergente quando do conteúdo probatório estabelecido para a comprovação de financiamento mediante fraude. Quando do julgamento da Ação Penal 935 do Amazonas, o Supremo Tribunal Federal (ST</w:t>
      </w:r>
      <w:r w:rsidR="00492D38" w:rsidRPr="00011FCD">
        <w:t>F) reformulou a decisão do Tribunais e redelimitou as provas passando a decidir que:</w:t>
      </w:r>
    </w:p>
    <w:p w:rsidR="008F607D" w:rsidRPr="00011FCD" w:rsidRDefault="004E652A" w:rsidP="00492D38">
      <w:pPr>
        <w:pStyle w:val="Cit"/>
      </w:pPr>
      <w:r w:rsidRPr="00011FCD">
        <w:t>EMENTA: AÇÃO PENAL. SENADOR DA REPÚBLICA. OBTENÇÃO DE FINANCIAMENTO MEDIANTE FRAUDE. ART. 19, PARÁGRAFO ÚNICO, DA LEI 7.492/1986. ESTELIONATO. ART. 171 DO CÓDIGO PENAL. FALTA DE PROVAS SUFICIENTES À CONDENAÇÃO. ABSOLVIÇÃO. APLICAÇÃO DOS RECURSOS PROVENIENTES DE FINANCIAMENTO CONCEDIDO PELO BANCO DA AMAZÔNIA – BASA – EM FINALIDADE DIVERSA DA PREVISTA NO CONTRATO. ART. 20 DA LEI 7.492/1986. DEMONSTRAÇÃO INEQUÍVOCA DA MATERIALIDADE E DA AUTORIA DELITIVAS. CONDENAÇÃO DO RÉU, NO PARTICULAR. PENA PRIVATIVA DE LIBERDADE FIXADA EM 04 (ANOS) ANOS E 6 (SEIS) MESES DE RECLUSÃO E MULTA. AÇÃO PENAL JULGADA PARCIALMENTE PROCEDENTE. 1. Não logrando êxito a acusação em produzir provas suficientes à condenação do réu, no que toca aos delitos do art. 19, parágrafo único, da Lei 7.492/1986 e do art. 171, § 3º, do Código Penal, impõe-se a absolvição, por força do art. 386, VII, do Código de Processo Penal.</w:t>
      </w:r>
      <w:r w:rsidR="00492D38" w:rsidRPr="00011FCD">
        <w:t xml:space="preserve"> (STF, 201</w:t>
      </w:r>
      <w:r w:rsidR="00936B09" w:rsidRPr="00011FCD">
        <w:t>9</w:t>
      </w:r>
      <w:r w:rsidR="00492D38" w:rsidRPr="00011FCD">
        <w:t>, p. 01).</w:t>
      </w:r>
    </w:p>
    <w:p w:rsidR="004E652A" w:rsidRPr="00011FCD" w:rsidRDefault="00735F46" w:rsidP="00F16125">
      <w:pPr>
        <w:pStyle w:val="Texto"/>
      </w:pPr>
      <w:r w:rsidRPr="00011FCD">
        <w:t xml:space="preserve">Cumpre ressaltar que </w:t>
      </w:r>
      <w:r w:rsidR="00CA38CB" w:rsidRPr="00011FCD">
        <w:t xml:space="preserve">apesar da matéria ser objeto de norma penal </w:t>
      </w:r>
      <w:r w:rsidR="00F96712" w:rsidRPr="00011FCD">
        <w:t>específica a quase três décadas,</w:t>
      </w:r>
      <w:r w:rsidR="00F16125" w:rsidRPr="00011FCD">
        <w:t xml:space="preserve"> pesquisa divulgada pelo Conselho Nacional de Justiça estabeleceu que investigar o percurso</w:t>
      </w:r>
      <w:r w:rsidR="00F00009" w:rsidRPr="00011FCD">
        <w:t>s apenas dos casos</w:t>
      </w:r>
      <w:r w:rsidR="00F16125" w:rsidRPr="00011FCD">
        <w:t xml:space="preserve"> de corrupção</w:t>
      </w:r>
      <w:r w:rsidR="00F00009" w:rsidRPr="00011FCD">
        <w:t xml:space="preserve"> contra a </w:t>
      </w:r>
      <w:r w:rsidR="00F00009" w:rsidRPr="00011FCD">
        <w:lastRenderedPageBreak/>
        <w:t>ordem financeira</w:t>
      </w:r>
      <w:r w:rsidR="00F16125" w:rsidRPr="00011FCD">
        <w:t xml:space="preserve"> em oito tribunais brasileiros e concluiu pela ocorrência de prescrição em 4% dos casos, variando entre 3% e 10% entre os tribunais investigados (1º e 2º grau) (CNJ, 2019).</w:t>
      </w:r>
    </w:p>
    <w:p w:rsidR="00F16125" w:rsidRPr="00011FCD" w:rsidRDefault="00F16125" w:rsidP="00F16125">
      <w:pPr>
        <w:pStyle w:val="Texto"/>
      </w:pPr>
      <w:r w:rsidRPr="00011FCD">
        <w:t xml:space="preserve">Ou seja, para além dos limites atrelados a interpretação dos tribunais, as questões da celeridade processual ainda prejudicam o enfretamento da matéria e, por consequência, </w:t>
      </w:r>
      <w:r w:rsidR="00F00009" w:rsidRPr="00011FCD">
        <w:t>o enfretamento dos crimes contra o sistema financeiro. Ademais, a pesquisa verificou apenas um dos tipos penais que ferem a ordem financeira</w:t>
      </w:r>
    </w:p>
    <w:p w:rsidR="0023592A" w:rsidRPr="00011FCD" w:rsidRDefault="00D321C8" w:rsidP="00D321C8">
      <w:pPr>
        <w:pStyle w:val="Texto"/>
      </w:pPr>
      <w:r w:rsidRPr="00011FCD">
        <w:t xml:space="preserve">Apesar das divergências no âmbito jurisprudencial, o CNJ </w:t>
      </w:r>
      <w:r w:rsidR="00BB5591" w:rsidRPr="00011FCD">
        <w:t>lançou o Estratégia Nacional de Combate à Corrupção e à Lavagem de Dinheiro (ENCCLA). Apesar do documento ser direcionado a apenas um tipo penal específico, de forma indireta esse tipo penal possui uma intima ligação com os crimes contra a ordem financeira</w:t>
      </w:r>
      <w:r w:rsidR="0023592A" w:rsidRPr="00011FCD">
        <w:t xml:space="preserve"> e, portanto, descritos na lei 7.492/86. </w:t>
      </w:r>
    </w:p>
    <w:p w:rsidR="00D321C8" w:rsidRPr="00011FCD" w:rsidRDefault="0023592A" w:rsidP="00C94666">
      <w:pPr>
        <w:pStyle w:val="Texto"/>
      </w:pPr>
      <w:r w:rsidRPr="00011FCD">
        <w:t xml:space="preserve">Dentre as contribuições desse documento, destaca-se </w:t>
      </w:r>
      <w:r w:rsidR="00C94666" w:rsidRPr="00011FCD">
        <w:t>a determinação para que</w:t>
      </w:r>
      <w:r w:rsidRPr="00011FCD">
        <w:t xml:space="preserve"> Colégio Notarial do Brasil</w:t>
      </w:r>
      <w:r w:rsidR="00C94666" w:rsidRPr="00011FCD">
        <w:t xml:space="preserve"> e o </w:t>
      </w:r>
      <w:r w:rsidRPr="00011FCD">
        <w:t xml:space="preserve">Conselho Federal (CNB) </w:t>
      </w:r>
      <w:r w:rsidR="00C94666" w:rsidRPr="00011FCD">
        <w:t>criem e mantenham um</w:t>
      </w:r>
      <w:r w:rsidRPr="00011FCD">
        <w:t xml:space="preserve"> Cadastro Único de Clientes do Notariado (CCN</w:t>
      </w:r>
      <w:r w:rsidR="00C94666" w:rsidRPr="00011FCD">
        <w:t xml:space="preserve">) (CNJ, 2019). Logo, apesar dos tribunais ainda não possuírem uniformidade no entendimento </w:t>
      </w:r>
      <w:r w:rsidR="00011FCD" w:rsidRPr="00011FCD">
        <w:t>de alguns aspectos dos crimes contra a ordem financeira, cria mecanismo que auxiliam diretamente na prevenção e apuração dessa prática.</w:t>
      </w:r>
    </w:p>
    <w:p w:rsidR="00D321C8" w:rsidRPr="00011FCD" w:rsidRDefault="00D321C8" w:rsidP="00D321C8">
      <w:pPr>
        <w:pStyle w:val="Texto"/>
      </w:pPr>
    </w:p>
    <w:p w:rsidR="00D321C8" w:rsidRPr="00011FCD" w:rsidRDefault="00D321C8" w:rsidP="00D321C8">
      <w:pPr>
        <w:pStyle w:val="Texto"/>
      </w:pPr>
    </w:p>
    <w:p w:rsidR="00DB7A8D" w:rsidRPr="00011FCD" w:rsidRDefault="002A1E5E" w:rsidP="002A1E5E">
      <w:pPr>
        <w:pStyle w:val="I"/>
      </w:pPr>
      <w:r w:rsidRPr="00011FCD">
        <w:t xml:space="preserve">4 </w:t>
      </w:r>
      <w:r w:rsidR="00DB7A8D" w:rsidRPr="00011FCD">
        <w:t>CONSIDERAÇÕES FINAIS</w:t>
      </w:r>
    </w:p>
    <w:p w:rsidR="00DB7A8D" w:rsidRPr="00011FCD" w:rsidRDefault="00DB7A8D" w:rsidP="009254E1">
      <w:pPr>
        <w:pStyle w:val="Texto"/>
        <w:ind w:firstLine="708"/>
      </w:pPr>
    </w:p>
    <w:p w:rsidR="000848C1" w:rsidRPr="00011FCD" w:rsidRDefault="000848C1" w:rsidP="003F0A69">
      <w:pPr>
        <w:pStyle w:val="Texto"/>
      </w:pPr>
      <w:r w:rsidRPr="00011FCD">
        <w:t>Diferentemente de crimes tradicionais, o contra o sistema financeiro não atinge uma pessoa ou grupo de pessoas em específico, de maneira a se criar uma falsa impressão de que o mesmo não chega a produzir dano social algum. No entanto, como os crimes econômicos trazem repercussão nos serviços prestados pelo Estado, consequentemente atingem a sociedade como um todo, sem que seja possível estimar a real proporção de indivíduos atingidos.</w:t>
      </w:r>
    </w:p>
    <w:p w:rsidR="00DB7A8D" w:rsidRPr="00011FCD" w:rsidRDefault="00DB7A8D" w:rsidP="003F0A69">
      <w:pPr>
        <w:pStyle w:val="Texto"/>
      </w:pPr>
      <w:r w:rsidRPr="00011FCD">
        <w:t xml:space="preserve">É indubitável que o combate </w:t>
      </w:r>
      <w:r w:rsidR="003F0A69" w:rsidRPr="00011FCD">
        <w:t>crimes contra a ordem financeira deverão</w:t>
      </w:r>
      <w:r w:rsidRPr="00011FCD">
        <w:t xml:space="preserve"> ser pesquisado, mormente na seara jurídica. Se acrescentar, a isto a</w:t>
      </w:r>
      <w:r w:rsidR="003F0A69" w:rsidRPr="00011FCD">
        <w:t xml:space="preserve"> aplicação da Lei. 7.492 pelos </w:t>
      </w:r>
      <w:r w:rsidR="000848C1" w:rsidRPr="00011FCD">
        <w:t>Tribunais</w:t>
      </w:r>
      <w:r w:rsidR="003F0A69" w:rsidRPr="00011FCD">
        <w:t xml:space="preserve"> brasileiros. </w:t>
      </w:r>
      <w:r w:rsidR="000848C1" w:rsidRPr="00011FCD">
        <w:t xml:space="preserve">Ademais, apesar da norma estabelecer os critérios específicos de incidência normativa, verifica-se ainda uma divergência dos tribunais quando da aplicação de tais </w:t>
      </w:r>
      <w:r w:rsidR="002A1E5E" w:rsidRPr="00011FCD">
        <w:t>dispositivos</w:t>
      </w:r>
    </w:p>
    <w:p w:rsidR="002A1E5E" w:rsidRPr="00011FCD" w:rsidRDefault="00DB7A8D" w:rsidP="003F0A69">
      <w:pPr>
        <w:pStyle w:val="Texto"/>
      </w:pPr>
      <w:r w:rsidRPr="00011FCD">
        <w:lastRenderedPageBreak/>
        <w:t xml:space="preserve">Sendo assim, </w:t>
      </w:r>
      <w:r w:rsidR="002A1E5E" w:rsidRPr="00011FCD">
        <w:t xml:space="preserve">é preciso criar mecanismos que visem </w:t>
      </w:r>
      <w:r w:rsidRPr="00011FCD">
        <w:t>prevenir e punir tais crimes</w:t>
      </w:r>
      <w:r w:rsidR="002A1E5E" w:rsidRPr="00011FCD">
        <w:t>, possam auxiliar o</w:t>
      </w:r>
      <w:r w:rsidR="008D4C2F" w:rsidRPr="00011FCD">
        <w:t xml:space="preserve"> judiciário a criar uniformidade de suas decisões sob risco de criar uma situação de insegurança jurídica e, portanto, a sensação de impunidade contribuindo para a prática criminosa.</w:t>
      </w:r>
    </w:p>
    <w:p w:rsidR="0031554E" w:rsidRPr="00011FCD" w:rsidRDefault="0031554E" w:rsidP="008D4C2F">
      <w:pPr>
        <w:pStyle w:val="Texto"/>
        <w:ind w:firstLine="0"/>
      </w:pPr>
    </w:p>
    <w:p w:rsidR="008D4C2F" w:rsidRPr="00011FCD" w:rsidRDefault="008D4C2F" w:rsidP="008D4C2F">
      <w:pPr>
        <w:pStyle w:val="Texto"/>
        <w:ind w:firstLine="0"/>
      </w:pPr>
    </w:p>
    <w:p w:rsidR="00947557" w:rsidRPr="00011FCD" w:rsidRDefault="008D4C2F" w:rsidP="008D4C2F">
      <w:pPr>
        <w:pStyle w:val="Texto"/>
        <w:ind w:firstLine="0"/>
        <w:jc w:val="center"/>
      </w:pPr>
      <w:r w:rsidRPr="00011FCD">
        <w:rPr>
          <w:b/>
          <w:shd w:val="clear" w:color="auto" w:fill="FFFFFF"/>
        </w:rPr>
        <w:t>REFERÊNCIAS</w:t>
      </w:r>
    </w:p>
    <w:p w:rsidR="008077BA" w:rsidRPr="00011FCD" w:rsidRDefault="008077BA" w:rsidP="008077BA">
      <w:pPr>
        <w:pStyle w:val="texto0"/>
        <w:ind w:firstLine="0"/>
        <w:rPr>
          <w:rFonts w:cs="Arial"/>
        </w:rPr>
      </w:pPr>
    </w:p>
    <w:p w:rsidR="00581EAD" w:rsidRPr="00011FCD" w:rsidRDefault="00581EAD" w:rsidP="00581EAD">
      <w:pPr>
        <w:spacing w:after="0" w:line="240" w:lineRule="auto"/>
        <w:contextualSpacing/>
        <w:jc w:val="both"/>
        <w:rPr>
          <w:rFonts w:ascii="Arial" w:eastAsia="Calibri" w:hAnsi="Arial" w:cs="Arial"/>
          <w:sz w:val="24"/>
          <w:szCs w:val="24"/>
          <w:lang w:eastAsia="en-US"/>
        </w:rPr>
      </w:pPr>
      <w:r w:rsidRPr="00011FCD">
        <w:rPr>
          <w:rFonts w:ascii="Arial" w:eastAsia="Calibri" w:hAnsi="Arial" w:cs="Arial"/>
          <w:sz w:val="24"/>
          <w:szCs w:val="24"/>
          <w:lang w:eastAsia="en-US"/>
        </w:rPr>
        <w:t xml:space="preserve">AQUINO, J. C. G. X. Crime Do Colarinho Branco. São Paulo: </w:t>
      </w:r>
      <w:r w:rsidRPr="00011FCD">
        <w:rPr>
          <w:rFonts w:ascii="Arial" w:eastAsia="Calibri" w:hAnsi="Arial" w:cs="Arial"/>
          <w:b/>
          <w:sz w:val="24"/>
          <w:szCs w:val="24"/>
          <w:lang w:eastAsia="en-US"/>
        </w:rPr>
        <w:t>Revista de Julgados Do Tribunal De Alçada Criminal,</w:t>
      </w:r>
      <w:r w:rsidRPr="00011FCD">
        <w:rPr>
          <w:rFonts w:ascii="Arial" w:eastAsia="Calibri" w:hAnsi="Arial" w:cs="Arial"/>
          <w:sz w:val="24"/>
          <w:szCs w:val="24"/>
          <w:lang w:eastAsia="en-US"/>
        </w:rPr>
        <w:t xml:space="preserve"> v. 38, abr/jun, 1998.</w:t>
      </w:r>
    </w:p>
    <w:p w:rsidR="00E27D25" w:rsidRPr="00011FCD" w:rsidRDefault="00E27D25" w:rsidP="00815C5A">
      <w:pPr>
        <w:pStyle w:val="Textoderef"/>
        <w:rPr>
          <w:color w:val="auto"/>
        </w:rPr>
      </w:pPr>
    </w:p>
    <w:p w:rsidR="00FF7A4A" w:rsidRPr="00011FCD" w:rsidRDefault="00E27D25" w:rsidP="00FF7A4A">
      <w:pPr>
        <w:pStyle w:val="TextoRef"/>
      </w:pPr>
      <w:r w:rsidRPr="00011FCD">
        <w:rPr>
          <w:color w:val="auto"/>
        </w:rPr>
        <w:t xml:space="preserve">BRASIL, Senado Federal. </w:t>
      </w:r>
      <w:r w:rsidR="00FF7A4A" w:rsidRPr="00011FCD">
        <w:rPr>
          <w:b/>
        </w:rPr>
        <w:t>Código Penal de 1940.</w:t>
      </w:r>
      <w:r w:rsidR="00FF7A4A" w:rsidRPr="00011FCD">
        <w:t xml:space="preserve"> Brasília: Senado Federal, 2019.</w:t>
      </w:r>
    </w:p>
    <w:p w:rsidR="002B6B2A" w:rsidRPr="00011FCD" w:rsidRDefault="002B6B2A" w:rsidP="00FF7A4A">
      <w:pPr>
        <w:pStyle w:val="Textoderef"/>
      </w:pPr>
    </w:p>
    <w:p w:rsidR="00FF7A4A" w:rsidRPr="00011FCD" w:rsidRDefault="00FF7A4A" w:rsidP="00FF7A4A">
      <w:pPr>
        <w:pStyle w:val="Textoderef"/>
      </w:pPr>
      <w:bookmarkStart w:id="16" w:name="_Toc510685211"/>
      <w:r w:rsidRPr="00011FCD">
        <w:t xml:space="preserve">_______. </w:t>
      </w:r>
      <w:r w:rsidRPr="00011FCD">
        <w:rPr>
          <w:b/>
        </w:rPr>
        <w:t>Constituição da República Federativa do Brasil de 1988.</w:t>
      </w:r>
      <w:r w:rsidRPr="00011FCD">
        <w:t xml:space="preserve"> Brasília: Senado</w:t>
      </w:r>
      <w:bookmarkStart w:id="17" w:name="_Toc510685212"/>
      <w:bookmarkEnd w:id="16"/>
      <w:r w:rsidRPr="00011FCD">
        <w:t xml:space="preserve"> Federal, 2019.</w:t>
      </w:r>
      <w:bookmarkEnd w:id="17"/>
    </w:p>
    <w:p w:rsidR="00FF7A4A" w:rsidRPr="00011FCD" w:rsidRDefault="00FF7A4A" w:rsidP="00FF7A4A">
      <w:pPr>
        <w:pStyle w:val="Textoderef"/>
      </w:pPr>
    </w:p>
    <w:p w:rsidR="00FF7A4A" w:rsidRPr="00011FCD" w:rsidRDefault="00FF7A4A" w:rsidP="00FF7A4A">
      <w:pPr>
        <w:spacing w:after="0" w:line="240" w:lineRule="auto"/>
        <w:jc w:val="both"/>
        <w:rPr>
          <w:rStyle w:val="TextodeRefChar0"/>
        </w:rPr>
      </w:pPr>
      <w:r w:rsidRPr="00011FCD">
        <w:rPr>
          <w:rStyle w:val="TextodeRefChar0"/>
        </w:rPr>
        <w:t xml:space="preserve">______. Decreto-Lei nº </w:t>
      </w:r>
      <w:r w:rsidR="002044D1" w:rsidRPr="00011FCD">
        <w:rPr>
          <w:rStyle w:val="TextodeRefChar0"/>
        </w:rPr>
        <w:t>7.492, de 16</w:t>
      </w:r>
      <w:r w:rsidRPr="00011FCD">
        <w:rPr>
          <w:rStyle w:val="TextodeRefChar0"/>
        </w:rPr>
        <w:t xml:space="preserve"> de </w:t>
      </w:r>
      <w:r w:rsidR="002044D1" w:rsidRPr="00011FCD">
        <w:rPr>
          <w:rStyle w:val="TextodeRefChar0"/>
        </w:rPr>
        <w:t>junho</w:t>
      </w:r>
      <w:r w:rsidRPr="00011FCD">
        <w:rPr>
          <w:rStyle w:val="TextodeRefChar0"/>
        </w:rPr>
        <w:t xml:space="preserve"> de 198</w:t>
      </w:r>
      <w:r w:rsidR="002044D1" w:rsidRPr="00011FCD">
        <w:rPr>
          <w:rStyle w:val="TextodeRefChar0"/>
        </w:rPr>
        <w:t>6</w:t>
      </w:r>
      <w:r w:rsidRPr="00011FCD">
        <w:rPr>
          <w:rStyle w:val="TextodeRefChar0"/>
        </w:rPr>
        <w:t xml:space="preserve">. </w:t>
      </w:r>
      <w:r w:rsidR="002044D1" w:rsidRPr="00011FCD">
        <w:rPr>
          <w:rStyle w:val="TextodeRefChar0"/>
        </w:rPr>
        <w:t xml:space="preserve">Define os crimes contra o sistema financeiro nacional, e dá outras providências. </w:t>
      </w:r>
      <w:r w:rsidRPr="00011FCD">
        <w:rPr>
          <w:rStyle w:val="TextodeRefChar0"/>
          <w:b/>
        </w:rPr>
        <w:t>Diário Oficial da União, Brasília,</w:t>
      </w:r>
      <w:r w:rsidRPr="00011FCD">
        <w:rPr>
          <w:rStyle w:val="TextodeRefChar0"/>
        </w:rPr>
        <w:t xml:space="preserve"> de 12 de fevereiro </w:t>
      </w:r>
      <w:r w:rsidR="002044D1" w:rsidRPr="00011FCD">
        <w:rPr>
          <w:rStyle w:val="TextodeRefChar0"/>
        </w:rPr>
        <w:t>d</w:t>
      </w:r>
      <w:r w:rsidRPr="00011FCD">
        <w:rPr>
          <w:rStyle w:val="TextodeRefChar0"/>
        </w:rPr>
        <w:t xml:space="preserve"> 1998. Disponível em:</w:t>
      </w:r>
      <w:r w:rsidR="002044D1" w:rsidRPr="00011FCD">
        <w:rPr>
          <w:rStyle w:val="TextodeRefChar0"/>
        </w:rPr>
        <w:t xml:space="preserve"> </w:t>
      </w:r>
      <w:r w:rsidRPr="00011FCD">
        <w:rPr>
          <w:rStyle w:val="TextodeRefChar0"/>
        </w:rPr>
        <w:t>http://www.planalto.gov.br/ccivil_03/LEIS/L</w:t>
      </w:r>
      <w:r w:rsidR="002044D1" w:rsidRPr="00011FCD">
        <w:rPr>
          <w:rStyle w:val="TextodeRefChar0"/>
        </w:rPr>
        <w:t>7592</w:t>
      </w:r>
      <w:r w:rsidRPr="00011FCD">
        <w:rPr>
          <w:rStyle w:val="TextodeRefChar0"/>
        </w:rPr>
        <w:t xml:space="preserve">.htm. Acesso em </w:t>
      </w:r>
      <w:r w:rsidR="002044D1" w:rsidRPr="00011FCD">
        <w:rPr>
          <w:rStyle w:val="TextodeRefChar0"/>
        </w:rPr>
        <w:t>18 de</w:t>
      </w:r>
      <w:r w:rsidRPr="00011FCD">
        <w:rPr>
          <w:rStyle w:val="TextodeRefChar0"/>
        </w:rPr>
        <w:t xml:space="preserve"> </w:t>
      </w:r>
      <w:r w:rsidR="002044D1" w:rsidRPr="00011FCD">
        <w:rPr>
          <w:rStyle w:val="TextodeRefChar0"/>
        </w:rPr>
        <w:t>out</w:t>
      </w:r>
      <w:r w:rsidRPr="00011FCD">
        <w:rPr>
          <w:rStyle w:val="TextodeRefChar0"/>
        </w:rPr>
        <w:t>. de 2019.</w:t>
      </w:r>
    </w:p>
    <w:p w:rsidR="00936B09" w:rsidRPr="00011FCD" w:rsidRDefault="00936B09" w:rsidP="00936B09">
      <w:pPr>
        <w:pStyle w:val="Ref"/>
        <w:rPr>
          <w:rStyle w:val="TextodeRefChar0"/>
        </w:rPr>
      </w:pPr>
    </w:p>
    <w:p w:rsidR="00936B09" w:rsidRDefault="00936B09" w:rsidP="00936B09">
      <w:pPr>
        <w:pStyle w:val="Ref"/>
      </w:pPr>
      <w:r w:rsidRPr="00011FCD">
        <w:t xml:space="preserve">______ supremo Tribunal Federal (STF). </w:t>
      </w:r>
      <w:r w:rsidRPr="00011FCD">
        <w:rPr>
          <w:b/>
          <w:bCs w:val="0"/>
        </w:rPr>
        <w:t>Coletânea temática de jurisprudência:</w:t>
      </w:r>
      <w:r w:rsidRPr="00011FCD">
        <w:t xml:space="preserve"> Direito Penal e Processual Penal [recurso eletrônico] / Supremo Tribunal Federal. </w:t>
      </w:r>
      <w:r w:rsidR="00A37196">
        <w:t>5</w:t>
      </w:r>
      <w:r w:rsidRPr="00011FCD">
        <w:t>.</w:t>
      </w:r>
      <w:r w:rsidR="00A37196">
        <w:t xml:space="preserve"> e</w:t>
      </w:r>
      <w:r w:rsidRPr="00011FCD">
        <w:t>d</w:t>
      </w:r>
      <w:r w:rsidR="00A37196">
        <w:t>.</w:t>
      </w:r>
      <w:r w:rsidRPr="00011FCD">
        <w:t xml:space="preserve"> Brasília: Secretaria de Documentação, Supremo Tribunal Federal, 201</w:t>
      </w:r>
      <w:r w:rsidR="00A37196">
        <w:t>9</w:t>
      </w:r>
      <w:r w:rsidR="00011FCD">
        <w:t>.</w:t>
      </w:r>
    </w:p>
    <w:p w:rsidR="00FF7A4A" w:rsidRPr="00011FCD" w:rsidRDefault="00FF7A4A" w:rsidP="00FF7A4A">
      <w:pPr>
        <w:spacing w:after="0" w:line="240" w:lineRule="auto"/>
        <w:jc w:val="both"/>
        <w:rPr>
          <w:rFonts w:ascii="Arial" w:hAnsi="Arial" w:cs="Arial"/>
          <w:sz w:val="24"/>
          <w:szCs w:val="24"/>
        </w:rPr>
      </w:pPr>
    </w:p>
    <w:p w:rsidR="00B173C3" w:rsidRPr="00011FCD" w:rsidRDefault="00B173C3" w:rsidP="00B173C3">
      <w:pPr>
        <w:pStyle w:val="Ref"/>
      </w:pPr>
      <w:r w:rsidRPr="00011FCD">
        <w:t xml:space="preserve">BREDA, Juliano. Gestão </w:t>
      </w:r>
      <w:r w:rsidRPr="00011FCD">
        <w:rPr>
          <w:b/>
          <w:bCs w:val="0"/>
        </w:rPr>
        <w:t>Fraudulenta de instituição financeira e dispositivos processuais da lei 7.492/86</w:t>
      </w:r>
      <w:r w:rsidRPr="00011FCD">
        <w:t>. Renovar: Rio de Janeiro, 2002.</w:t>
      </w:r>
    </w:p>
    <w:p w:rsidR="00040FD0" w:rsidRPr="00011FCD" w:rsidRDefault="00040FD0" w:rsidP="00B173C3">
      <w:pPr>
        <w:pStyle w:val="Ref"/>
      </w:pPr>
    </w:p>
    <w:p w:rsidR="00040FD0" w:rsidRPr="00011FCD" w:rsidRDefault="00B54D80" w:rsidP="00B173C3">
      <w:pPr>
        <w:pStyle w:val="Ref"/>
      </w:pPr>
      <w:r w:rsidRPr="00011FCD">
        <w:t>______. BITENCOURT, Cezar Roberto</w:t>
      </w:r>
      <w:r w:rsidR="00040FD0" w:rsidRPr="00011FCD">
        <w:t xml:space="preserve"> </w:t>
      </w:r>
      <w:r w:rsidR="00040FD0" w:rsidRPr="00011FCD">
        <w:rPr>
          <w:b/>
          <w:bCs w:val="0"/>
        </w:rPr>
        <w:t xml:space="preserve">Crimes </w:t>
      </w:r>
      <w:r w:rsidRPr="00011FCD">
        <w:rPr>
          <w:b/>
          <w:bCs w:val="0"/>
        </w:rPr>
        <w:t>contra o sistema financeiro nacional &amp; contra o mercado de capitais</w:t>
      </w:r>
      <w:r w:rsidR="00040FD0" w:rsidRPr="00011FCD">
        <w:rPr>
          <w:b/>
          <w:bCs w:val="0"/>
        </w:rPr>
        <w:t xml:space="preserve">. </w:t>
      </w:r>
      <w:r w:rsidR="00040FD0" w:rsidRPr="00011FCD">
        <w:t>Rio de Janeiro: Lúmen Júris, 201</w:t>
      </w:r>
      <w:r w:rsidRPr="00011FCD">
        <w:t>1</w:t>
      </w:r>
      <w:r w:rsidR="00040FD0" w:rsidRPr="00011FCD">
        <w:t>.</w:t>
      </w:r>
    </w:p>
    <w:p w:rsidR="00B54D80" w:rsidRPr="00011FCD" w:rsidRDefault="00B54D80" w:rsidP="00B173C3">
      <w:pPr>
        <w:pStyle w:val="Ref"/>
      </w:pPr>
    </w:p>
    <w:p w:rsidR="00D321C8" w:rsidRPr="00011FCD" w:rsidRDefault="00D321C8" w:rsidP="00011FCD">
      <w:pPr>
        <w:pStyle w:val="Ref"/>
        <w:rPr>
          <w:rFonts w:ascii="Montserrat" w:hAnsi="Montserrat"/>
          <w:b/>
          <w:color w:val="0A0002"/>
          <w:spacing w:val="8"/>
          <w:sz w:val="45"/>
          <w:szCs w:val="45"/>
          <w:shd w:val="clear" w:color="auto" w:fill="F5F5F5"/>
        </w:rPr>
      </w:pPr>
      <w:r w:rsidRPr="00011FCD">
        <w:t xml:space="preserve">CONSELHO NACIONAL DE JUSTIÇA. </w:t>
      </w:r>
      <w:hyperlink r:id="rId8" w:history="1">
        <w:r w:rsidRPr="00011FCD">
          <w:t>https://www.cnj.jus.br/cartorios-serao-integrados-ao-combate-a-corrupcao-e-lavagem-de-dinheiro/</w:t>
        </w:r>
      </w:hyperlink>
      <w:r w:rsidRPr="00011FCD">
        <w:t xml:space="preserve">. </w:t>
      </w:r>
      <w:r w:rsidRPr="00011FCD">
        <w:rPr>
          <w:b/>
          <w:bCs w:val="0"/>
        </w:rPr>
        <w:t>Cartórios serão integrados ao combate à corrupção e lavagem de dinheiro.</w:t>
      </w:r>
      <w:r w:rsidRPr="00011FCD">
        <w:t xml:space="preserve"> Acesso em 09 de nov. de 2019</w:t>
      </w:r>
      <w:r w:rsidRPr="00011FCD">
        <w:rPr>
          <w:rFonts w:ascii="Montserrat" w:hAnsi="Montserrat"/>
          <w:b/>
          <w:color w:val="0A0002"/>
          <w:spacing w:val="8"/>
          <w:sz w:val="45"/>
          <w:szCs w:val="45"/>
          <w:shd w:val="clear" w:color="auto" w:fill="F5F5F5"/>
        </w:rPr>
        <w:t>.</w:t>
      </w:r>
    </w:p>
    <w:p w:rsidR="00011FCD" w:rsidRPr="00011FCD" w:rsidRDefault="00011FCD" w:rsidP="00011FCD">
      <w:pPr>
        <w:pStyle w:val="Ref"/>
        <w:rPr>
          <w:shd w:val="clear" w:color="auto" w:fill="F5F5F5"/>
        </w:rPr>
      </w:pPr>
    </w:p>
    <w:p w:rsidR="0097438C" w:rsidRPr="00011FCD" w:rsidRDefault="0097438C" w:rsidP="0097438C">
      <w:pPr>
        <w:spacing w:after="0" w:line="240" w:lineRule="auto"/>
        <w:jc w:val="both"/>
        <w:rPr>
          <w:rStyle w:val="TextodeRefChar0"/>
        </w:rPr>
      </w:pPr>
      <w:r w:rsidRPr="00011FCD">
        <w:rPr>
          <w:rFonts w:ascii="Arial" w:eastAsia="Calibri" w:hAnsi="Arial" w:cs="Arial"/>
          <w:sz w:val="24"/>
          <w:szCs w:val="24"/>
          <w:lang w:eastAsia="en-US"/>
        </w:rPr>
        <w:t xml:space="preserve">EUA, FBI. </w:t>
      </w:r>
      <w:r w:rsidRPr="00011FCD">
        <w:rPr>
          <w:rFonts w:ascii="Arial" w:eastAsia="Calibri" w:hAnsi="Arial" w:cs="Arial"/>
          <w:b/>
          <w:sz w:val="24"/>
          <w:szCs w:val="24"/>
          <w:lang w:eastAsia="en-US"/>
        </w:rPr>
        <w:t>Crime do colarinho branco.</w:t>
      </w:r>
      <w:r w:rsidRPr="00011FCD">
        <w:rPr>
          <w:rFonts w:ascii="Arial" w:eastAsia="Calibri" w:hAnsi="Arial" w:cs="Arial"/>
          <w:sz w:val="24"/>
          <w:szCs w:val="24"/>
          <w:lang w:eastAsia="en-US"/>
        </w:rPr>
        <w:t xml:space="preserve">   Disponível em: https://www.fbi.gov/investigate/white-collar-crime. </w:t>
      </w:r>
      <w:r w:rsidRPr="00011FCD">
        <w:rPr>
          <w:rStyle w:val="TextodeRefChar0"/>
        </w:rPr>
        <w:t>Acesso em 18 de out. de 2019.</w:t>
      </w:r>
    </w:p>
    <w:p w:rsidR="0097438C" w:rsidRPr="00011FCD" w:rsidRDefault="0097438C" w:rsidP="00E152DA">
      <w:pPr>
        <w:spacing w:after="0" w:line="240" w:lineRule="auto"/>
        <w:jc w:val="both"/>
        <w:rPr>
          <w:rFonts w:ascii="Arial" w:eastAsia="Calibri" w:hAnsi="Arial" w:cs="Arial"/>
          <w:sz w:val="24"/>
          <w:szCs w:val="24"/>
          <w:lang w:eastAsia="en-US"/>
        </w:rPr>
      </w:pPr>
    </w:p>
    <w:p w:rsidR="00E152DA" w:rsidRPr="00011FCD" w:rsidRDefault="00E152DA" w:rsidP="00E152DA">
      <w:pPr>
        <w:spacing w:after="0" w:line="240" w:lineRule="auto"/>
        <w:jc w:val="both"/>
        <w:rPr>
          <w:rFonts w:ascii="Arial" w:eastAsia="Calibri" w:hAnsi="Arial" w:cs="Arial"/>
          <w:sz w:val="24"/>
          <w:szCs w:val="24"/>
          <w:lang w:eastAsia="en-US"/>
        </w:rPr>
      </w:pPr>
      <w:r w:rsidRPr="00011FCD">
        <w:rPr>
          <w:rFonts w:ascii="Arial" w:eastAsia="Calibri" w:hAnsi="Arial" w:cs="Arial"/>
          <w:sz w:val="24"/>
          <w:szCs w:val="24"/>
          <w:lang w:eastAsia="en-US"/>
        </w:rPr>
        <w:t xml:space="preserve">FARIAS, Cristiano Chaves de, ROSENVALD, Nelson. </w:t>
      </w:r>
      <w:r w:rsidRPr="00011FCD">
        <w:rPr>
          <w:rFonts w:ascii="Arial" w:eastAsia="Calibri" w:hAnsi="Arial" w:cs="Arial"/>
          <w:b/>
          <w:bCs/>
          <w:sz w:val="24"/>
          <w:szCs w:val="24"/>
          <w:lang w:eastAsia="en-US"/>
        </w:rPr>
        <w:t>Direito Civil.</w:t>
      </w:r>
      <w:r w:rsidRPr="00011FCD">
        <w:rPr>
          <w:rFonts w:ascii="Arial" w:eastAsia="Calibri" w:hAnsi="Arial" w:cs="Arial"/>
          <w:sz w:val="24"/>
          <w:szCs w:val="24"/>
          <w:lang w:eastAsia="en-US"/>
        </w:rPr>
        <w:t xml:space="preserve">  10 ed.,</w:t>
      </w:r>
    </w:p>
    <w:p w:rsidR="00E152DA" w:rsidRPr="00011FCD" w:rsidRDefault="00E152DA" w:rsidP="00E152DA">
      <w:pPr>
        <w:spacing w:after="0" w:line="240" w:lineRule="auto"/>
        <w:jc w:val="both"/>
        <w:rPr>
          <w:rFonts w:ascii="Arial" w:eastAsia="Calibri" w:hAnsi="Arial" w:cs="Arial"/>
          <w:sz w:val="24"/>
          <w:szCs w:val="24"/>
          <w:lang w:eastAsia="en-US"/>
        </w:rPr>
      </w:pPr>
      <w:r w:rsidRPr="00011FCD">
        <w:rPr>
          <w:rFonts w:ascii="Arial" w:eastAsia="Calibri" w:hAnsi="Arial" w:cs="Arial"/>
          <w:sz w:val="24"/>
          <w:szCs w:val="24"/>
          <w:lang w:eastAsia="en-US"/>
        </w:rPr>
        <w:t>Lumen Juris: Rio de Janeiro, 2018.</w:t>
      </w:r>
    </w:p>
    <w:p w:rsidR="00E152DA" w:rsidRPr="00011FCD" w:rsidRDefault="00E152DA" w:rsidP="00815433">
      <w:pPr>
        <w:spacing w:after="0" w:line="240" w:lineRule="auto"/>
        <w:jc w:val="both"/>
        <w:rPr>
          <w:rFonts w:ascii="Arial" w:eastAsia="Calibri" w:hAnsi="Arial" w:cs="Arial"/>
          <w:sz w:val="24"/>
          <w:szCs w:val="24"/>
          <w:lang w:eastAsia="en-US"/>
        </w:rPr>
      </w:pPr>
    </w:p>
    <w:p w:rsidR="00815433" w:rsidRPr="00011FCD" w:rsidRDefault="00815433" w:rsidP="00B173C3">
      <w:pPr>
        <w:pStyle w:val="Ref"/>
      </w:pPr>
      <w:r w:rsidRPr="00011FCD">
        <w:t>GEROMINI, Flávio Luiz Del’arco. Uma avaliação da crise internacional de 2008 sobre o mercado acionário brasileiro</w:t>
      </w:r>
      <w:r w:rsidR="00FF0AB6" w:rsidRPr="00011FCD">
        <w:t>. Florianópolis: EdUFSC, 2009.</w:t>
      </w:r>
    </w:p>
    <w:p w:rsidR="00402887" w:rsidRPr="00011FCD" w:rsidRDefault="00402887" w:rsidP="00581EAD">
      <w:pPr>
        <w:spacing w:after="0" w:line="240" w:lineRule="auto"/>
        <w:contextualSpacing/>
        <w:jc w:val="both"/>
      </w:pPr>
    </w:p>
    <w:p w:rsidR="00581EAD" w:rsidRPr="00011FCD" w:rsidRDefault="00581EAD" w:rsidP="00581EAD">
      <w:pPr>
        <w:spacing w:after="0" w:line="240" w:lineRule="auto"/>
        <w:jc w:val="both"/>
        <w:rPr>
          <w:rFonts w:ascii="Arial" w:hAnsi="Arial" w:cs="Arial"/>
          <w:sz w:val="24"/>
          <w:szCs w:val="24"/>
          <w:lang w:val="en-US"/>
        </w:rPr>
      </w:pPr>
      <w:r w:rsidRPr="00011FCD">
        <w:rPr>
          <w:rFonts w:ascii="Arial" w:hAnsi="Arial" w:cs="Arial"/>
          <w:sz w:val="24"/>
          <w:szCs w:val="24"/>
          <w:lang w:val="en-US"/>
        </w:rPr>
        <w:lastRenderedPageBreak/>
        <w:t xml:space="preserve">SUTHERLAND, E. H. </w:t>
      </w:r>
      <w:r w:rsidRPr="00011FCD">
        <w:rPr>
          <w:rFonts w:ascii="Arial" w:hAnsi="Arial" w:cs="Arial"/>
          <w:b/>
          <w:sz w:val="24"/>
          <w:szCs w:val="24"/>
          <w:lang w:val="en-US"/>
        </w:rPr>
        <w:t>White-collar criminality.</w:t>
      </w:r>
      <w:r w:rsidRPr="00011FCD">
        <w:rPr>
          <w:rFonts w:ascii="Arial" w:hAnsi="Arial" w:cs="Arial"/>
          <w:sz w:val="24"/>
          <w:szCs w:val="24"/>
          <w:lang w:val="en-US"/>
        </w:rPr>
        <w:t xml:space="preserve">  </w:t>
      </w:r>
      <w:r w:rsidRPr="00011FCD">
        <w:rPr>
          <w:rFonts w:ascii="Arial" w:hAnsi="Arial" w:cs="Arial"/>
          <w:sz w:val="24"/>
          <w:szCs w:val="24"/>
        </w:rPr>
        <w:t xml:space="preserve">Filadélfia: </w:t>
      </w:r>
      <w:r w:rsidRPr="00011FCD">
        <w:rPr>
          <w:rFonts w:ascii="Arial" w:hAnsi="Arial" w:cs="Arial"/>
          <w:sz w:val="24"/>
          <w:szCs w:val="24"/>
          <w:lang w:val="en-US"/>
        </w:rPr>
        <w:t>American Sociological Review, v. 5, n. 1, 1940, p. 01-12.</w:t>
      </w:r>
    </w:p>
    <w:p w:rsidR="00581EAD" w:rsidRPr="00011FCD" w:rsidRDefault="00581EAD" w:rsidP="00BF4207">
      <w:pPr>
        <w:pStyle w:val="Textoderef"/>
        <w:rPr>
          <w:color w:val="auto"/>
        </w:rPr>
      </w:pPr>
    </w:p>
    <w:p w:rsidR="006A2CEB" w:rsidRPr="0019035D" w:rsidRDefault="006A2CEB" w:rsidP="00BF4207">
      <w:pPr>
        <w:pStyle w:val="Textoderef"/>
        <w:rPr>
          <w:color w:val="auto"/>
        </w:rPr>
      </w:pPr>
      <w:r w:rsidRPr="00011FCD">
        <w:t>TRAUCZYNSKI</w:t>
      </w:r>
      <w:r w:rsidR="0041505A" w:rsidRPr="00011FCD">
        <w:t xml:space="preserve">, Nicole. </w:t>
      </w:r>
      <w:r w:rsidR="0041505A" w:rsidRPr="00011FCD">
        <w:rPr>
          <w:b/>
          <w:bCs/>
        </w:rPr>
        <w:t>Gestão fraudulenta e concurso de normas na lei dos crimes contra o sistema financeiro nacional.</w:t>
      </w:r>
      <w:r w:rsidR="0041505A" w:rsidRPr="00011FCD">
        <w:t xml:space="preserve"> São Paulo: EdUSP, 2014.</w:t>
      </w:r>
    </w:p>
    <w:sectPr w:rsidR="006A2CEB" w:rsidRPr="0019035D" w:rsidSect="000426FA">
      <w:footnotePr>
        <w:numFmt w:val="chicago"/>
      </w:footnotePr>
      <w:pgSz w:w="11906" w:h="16838"/>
      <w:pgMar w:top="1701"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E06" w:rsidRDefault="001B7E06" w:rsidP="00460B8F">
      <w:pPr>
        <w:spacing w:after="0" w:line="240" w:lineRule="auto"/>
      </w:pPr>
      <w:r>
        <w:separator/>
      </w:r>
    </w:p>
  </w:endnote>
  <w:endnote w:type="continuationSeparator" w:id="0">
    <w:p w:rsidR="001B7E06" w:rsidRDefault="001B7E06" w:rsidP="0046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d6354657-Identity-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E06" w:rsidRDefault="001B7E06" w:rsidP="00460B8F">
      <w:pPr>
        <w:spacing w:after="0" w:line="240" w:lineRule="auto"/>
      </w:pPr>
      <w:r>
        <w:separator/>
      </w:r>
    </w:p>
  </w:footnote>
  <w:footnote w:type="continuationSeparator" w:id="0">
    <w:p w:rsidR="001B7E06" w:rsidRDefault="001B7E06" w:rsidP="00460B8F">
      <w:pPr>
        <w:spacing w:after="0" w:line="240" w:lineRule="auto"/>
      </w:pPr>
      <w:r>
        <w:continuationSeparator/>
      </w:r>
    </w:p>
  </w:footnote>
  <w:footnote w:id="1">
    <w:p w:rsidR="00DC339E" w:rsidRPr="006863AC" w:rsidRDefault="00DC339E" w:rsidP="006863AC">
      <w:pPr>
        <w:pStyle w:val="Textodenotaderodap"/>
        <w:jc w:val="both"/>
        <w:rPr>
          <w:rFonts w:ascii="Arial" w:hAnsi="Arial" w:cs="Arial"/>
        </w:rPr>
      </w:pPr>
      <w:r>
        <w:rPr>
          <w:rStyle w:val="Refdenotaderodap"/>
        </w:rPr>
        <w:footnoteRef/>
      </w:r>
      <w:r>
        <w:t xml:space="preserve"> </w:t>
      </w:r>
      <w:r w:rsidRPr="0005784B">
        <w:rPr>
          <w:vertAlign w:val="superscript"/>
        </w:rPr>
        <w:t xml:space="preserve"> </w:t>
      </w:r>
      <w:r w:rsidRPr="0005784B">
        <w:rPr>
          <w:rFonts w:ascii="Arial" w:hAnsi="Arial" w:cs="Arial"/>
        </w:rPr>
        <w:t xml:space="preserve">Graduanda do Curso de Bacharelado em Direito pela UniFacisa E-mail: </w:t>
      </w:r>
      <w:r w:rsidRPr="006863AC">
        <w:rPr>
          <w:rFonts w:ascii="Arial" w:hAnsi="Arial" w:cs="Arial"/>
          <w:shd w:val="clear" w:color="auto" w:fill="FFFFFF"/>
        </w:rPr>
        <w:t>alexandralcarvalho95@gmail.com</w:t>
      </w:r>
    </w:p>
    <w:p w:rsidR="00DC339E" w:rsidRPr="006863AC" w:rsidRDefault="00DC339E" w:rsidP="006863AC">
      <w:pPr>
        <w:pStyle w:val="Textodenotaderodap"/>
        <w:jc w:val="both"/>
        <w:rPr>
          <w:rFonts w:ascii="Arial" w:hAnsi="Arial" w:cs="Arial"/>
        </w:rPr>
      </w:pPr>
      <w:r w:rsidRPr="006863AC">
        <w:rPr>
          <w:rFonts w:ascii="Arial" w:hAnsi="Arial" w:cs="Arial"/>
        </w:rPr>
        <w:t>Professor do Curso de Direito pela UniFacisa – Centro Universitário. Email:</w:t>
      </w:r>
      <w:r w:rsidR="00F5552B">
        <w:rPr>
          <w:rFonts w:ascii="Arial" w:hAnsi="Arial" w:cs="Arial"/>
        </w:rPr>
        <w:t xml:space="preserve"> brenowanderleyadvg@gmail.com</w:t>
      </w:r>
      <w:bookmarkStart w:id="0" w:name="_GoBack"/>
      <w:bookmarkEnd w:id="0"/>
      <w:r w:rsidRPr="006863AC">
        <w:rPr>
          <w:rFonts w:ascii="Arial" w:hAnsi="Arial" w:cs="Arial"/>
        </w:rPr>
        <w:t xml:space="preserve"> </w:t>
      </w:r>
    </w:p>
    <w:p w:rsidR="00DC339E" w:rsidRPr="0005784B" w:rsidRDefault="00DC339E" w:rsidP="0005784B">
      <w:pPr>
        <w:pStyle w:val="Textodenotaderodap"/>
      </w:pPr>
    </w:p>
    <w:p w:rsidR="00DC339E" w:rsidRDefault="00DC339E">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518470E0"/>
    <w:multiLevelType w:val="hybridMultilevel"/>
    <w:tmpl w:val="458EC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6052171"/>
    <w:multiLevelType w:val="hybridMultilevel"/>
    <w:tmpl w:val="53C62B28"/>
    <w:lvl w:ilvl="0" w:tplc="ACA4A98E">
      <w:start w:val="1"/>
      <w:numFmt w:val="decimal"/>
      <w:lvlText w:val="%1."/>
      <w:lvlJc w:val="left"/>
      <w:pPr>
        <w:ind w:left="1069" w:hanging="360"/>
      </w:pPr>
      <w:rPr>
        <w:rFonts w:hint="default"/>
        <w:color w:val="000000" w:themeColor="text1"/>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05"/>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4F"/>
    <w:rsid w:val="00002B5D"/>
    <w:rsid w:val="00002D4A"/>
    <w:rsid w:val="00003258"/>
    <w:rsid w:val="00003732"/>
    <w:rsid w:val="00010F75"/>
    <w:rsid w:val="00011FCD"/>
    <w:rsid w:val="00016685"/>
    <w:rsid w:val="00020945"/>
    <w:rsid w:val="0002150D"/>
    <w:rsid w:val="00025111"/>
    <w:rsid w:val="000274DD"/>
    <w:rsid w:val="000308C1"/>
    <w:rsid w:val="00033A2A"/>
    <w:rsid w:val="00033E7C"/>
    <w:rsid w:val="0003459A"/>
    <w:rsid w:val="00040A27"/>
    <w:rsid w:val="00040FD0"/>
    <w:rsid w:val="000426FA"/>
    <w:rsid w:val="000427D2"/>
    <w:rsid w:val="00045524"/>
    <w:rsid w:val="00045E60"/>
    <w:rsid w:val="00050DFB"/>
    <w:rsid w:val="00051552"/>
    <w:rsid w:val="00051A48"/>
    <w:rsid w:val="000548F3"/>
    <w:rsid w:val="0005633C"/>
    <w:rsid w:val="000566E7"/>
    <w:rsid w:val="0005784B"/>
    <w:rsid w:val="00062AE6"/>
    <w:rsid w:val="0006410A"/>
    <w:rsid w:val="00077344"/>
    <w:rsid w:val="00077EB9"/>
    <w:rsid w:val="000843F9"/>
    <w:rsid w:val="000848C1"/>
    <w:rsid w:val="000853A6"/>
    <w:rsid w:val="00086B0C"/>
    <w:rsid w:val="0008772C"/>
    <w:rsid w:val="0009118C"/>
    <w:rsid w:val="000939D6"/>
    <w:rsid w:val="00097B28"/>
    <w:rsid w:val="000A0405"/>
    <w:rsid w:val="000A4C21"/>
    <w:rsid w:val="000A538C"/>
    <w:rsid w:val="000A6A2F"/>
    <w:rsid w:val="000A7C7C"/>
    <w:rsid w:val="000B061B"/>
    <w:rsid w:val="000B3617"/>
    <w:rsid w:val="000B4E6C"/>
    <w:rsid w:val="000B5818"/>
    <w:rsid w:val="000B7B1C"/>
    <w:rsid w:val="000C1EDC"/>
    <w:rsid w:val="000C4FE9"/>
    <w:rsid w:val="000D05A6"/>
    <w:rsid w:val="000D16CD"/>
    <w:rsid w:val="000D3462"/>
    <w:rsid w:val="000D427E"/>
    <w:rsid w:val="000D710C"/>
    <w:rsid w:val="000E0B58"/>
    <w:rsid w:val="000E17E8"/>
    <w:rsid w:val="000E2EEB"/>
    <w:rsid w:val="000E3EA1"/>
    <w:rsid w:val="000E5B8E"/>
    <w:rsid w:val="000E5ED0"/>
    <w:rsid w:val="000F0DBD"/>
    <w:rsid w:val="000F1801"/>
    <w:rsid w:val="000F3BDD"/>
    <w:rsid w:val="000F44DF"/>
    <w:rsid w:val="000F7215"/>
    <w:rsid w:val="000F7FF2"/>
    <w:rsid w:val="00100E23"/>
    <w:rsid w:val="00102485"/>
    <w:rsid w:val="00105AC9"/>
    <w:rsid w:val="001100F2"/>
    <w:rsid w:val="0011040F"/>
    <w:rsid w:val="00110543"/>
    <w:rsid w:val="001116A4"/>
    <w:rsid w:val="00111C43"/>
    <w:rsid w:val="00121EA6"/>
    <w:rsid w:val="001225A2"/>
    <w:rsid w:val="00130215"/>
    <w:rsid w:val="0013241A"/>
    <w:rsid w:val="00132ADB"/>
    <w:rsid w:val="00132FA6"/>
    <w:rsid w:val="00134BFE"/>
    <w:rsid w:val="00135015"/>
    <w:rsid w:val="00135338"/>
    <w:rsid w:val="001353C1"/>
    <w:rsid w:val="00136CD5"/>
    <w:rsid w:val="001442F0"/>
    <w:rsid w:val="001448F2"/>
    <w:rsid w:val="00161D30"/>
    <w:rsid w:val="00161FCA"/>
    <w:rsid w:val="00162D49"/>
    <w:rsid w:val="0016728E"/>
    <w:rsid w:val="00170093"/>
    <w:rsid w:val="00170B3D"/>
    <w:rsid w:val="001744BC"/>
    <w:rsid w:val="00182B25"/>
    <w:rsid w:val="0018439F"/>
    <w:rsid w:val="00186C17"/>
    <w:rsid w:val="0019035D"/>
    <w:rsid w:val="00191520"/>
    <w:rsid w:val="00192D3B"/>
    <w:rsid w:val="00196914"/>
    <w:rsid w:val="001A13C5"/>
    <w:rsid w:val="001A1AC6"/>
    <w:rsid w:val="001A24A1"/>
    <w:rsid w:val="001A28EC"/>
    <w:rsid w:val="001A2D46"/>
    <w:rsid w:val="001A48D8"/>
    <w:rsid w:val="001B2DA8"/>
    <w:rsid w:val="001B3FD8"/>
    <w:rsid w:val="001B5FBF"/>
    <w:rsid w:val="001B6A37"/>
    <w:rsid w:val="001B7E06"/>
    <w:rsid w:val="001C3402"/>
    <w:rsid w:val="001C6955"/>
    <w:rsid w:val="001D04FB"/>
    <w:rsid w:val="001D0A8A"/>
    <w:rsid w:val="001D1130"/>
    <w:rsid w:val="001D58EF"/>
    <w:rsid w:val="001D7E34"/>
    <w:rsid w:val="001E1AE0"/>
    <w:rsid w:val="001F319D"/>
    <w:rsid w:val="001F4D93"/>
    <w:rsid w:val="002030C4"/>
    <w:rsid w:val="002044D1"/>
    <w:rsid w:val="00204788"/>
    <w:rsid w:val="002067B6"/>
    <w:rsid w:val="00206855"/>
    <w:rsid w:val="002069FB"/>
    <w:rsid w:val="002137EA"/>
    <w:rsid w:val="0021580A"/>
    <w:rsid w:val="00215B28"/>
    <w:rsid w:val="00220DCE"/>
    <w:rsid w:val="002218F9"/>
    <w:rsid w:val="00223545"/>
    <w:rsid w:val="00223EBB"/>
    <w:rsid w:val="0023077D"/>
    <w:rsid w:val="002314BC"/>
    <w:rsid w:val="00231AF5"/>
    <w:rsid w:val="00231CC4"/>
    <w:rsid w:val="002330E5"/>
    <w:rsid w:val="0023592A"/>
    <w:rsid w:val="00236A4F"/>
    <w:rsid w:val="0024007D"/>
    <w:rsid w:val="002400DF"/>
    <w:rsid w:val="00241337"/>
    <w:rsid w:val="00241F46"/>
    <w:rsid w:val="00244611"/>
    <w:rsid w:val="002508DE"/>
    <w:rsid w:val="00250CEA"/>
    <w:rsid w:val="002559BF"/>
    <w:rsid w:val="00256093"/>
    <w:rsid w:val="00257ACC"/>
    <w:rsid w:val="0026000A"/>
    <w:rsid w:val="0026314E"/>
    <w:rsid w:val="0026682E"/>
    <w:rsid w:val="002743EC"/>
    <w:rsid w:val="00274712"/>
    <w:rsid w:val="0027498C"/>
    <w:rsid w:val="00277579"/>
    <w:rsid w:val="0028065C"/>
    <w:rsid w:val="00280EC8"/>
    <w:rsid w:val="0028673C"/>
    <w:rsid w:val="00290959"/>
    <w:rsid w:val="00291369"/>
    <w:rsid w:val="00292F3E"/>
    <w:rsid w:val="00295222"/>
    <w:rsid w:val="00296A60"/>
    <w:rsid w:val="002976B9"/>
    <w:rsid w:val="002A1E5E"/>
    <w:rsid w:val="002B0C96"/>
    <w:rsid w:val="002B1670"/>
    <w:rsid w:val="002B1C26"/>
    <w:rsid w:val="002B69EB"/>
    <w:rsid w:val="002B6B2A"/>
    <w:rsid w:val="002B74A1"/>
    <w:rsid w:val="002C055D"/>
    <w:rsid w:val="002C0B5B"/>
    <w:rsid w:val="002C1E92"/>
    <w:rsid w:val="002C7F0A"/>
    <w:rsid w:val="002D2CD0"/>
    <w:rsid w:val="002D4CE8"/>
    <w:rsid w:val="002E2508"/>
    <w:rsid w:val="002E2ABB"/>
    <w:rsid w:val="002E5693"/>
    <w:rsid w:val="002E5ACF"/>
    <w:rsid w:val="002E5C24"/>
    <w:rsid w:val="002E7881"/>
    <w:rsid w:val="002F0425"/>
    <w:rsid w:val="002F4B17"/>
    <w:rsid w:val="00300A63"/>
    <w:rsid w:val="00301548"/>
    <w:rsid w:val="0030730F"/>
    <w:rsid w:val="0031554E"/>
    <w:rsid w:val="00316059"/>
    <w:rsid w:val="00321065"/>
    <w:rsid w:val="00332B26"/>
    <w:rsid w:val="00334E54"/>
    <w:rsid w:val="00335622"/>
    <w:rsid w:val="003370F4"/>
    <w:rsid w:val="0033756A"/>
    <w:rsid w:val="003378CA"/>
    <w:rsid w:val="003470CF"/>
    <w:rsid w:val="0035185F"/>
    <w:rsid w:val="00353D81"/>
    <w:rsid w:val="00353DEF"/>
    <w:rsid w:val="00354A6D"/>
    <w:rsid w:val="0036031A"/>
    <w:rsid w:val="00360455"/>
    <w:rsid w:val="00361E73"/>
    <w:rsid w:val="003626F0"/>
    <w:rsid w:val="00365DE9"/>
    <w:rsid w:val="00365FA5"/>
    <w:rsid w:val="00367256"/>
    <w:rsid w:val="003706BA"/>
    <w:rsid w:val="00371D2B"/>
    <w:rsid w:val="0037209A"/>
    <w:rsid w:val="00374F79"/>
    <w:rsid w:val="003777A2"/>
    <w:rsid w:val="0039173D"/>
    <w:rsid w:val="00394171"/>
    <w:rsid w:val="00395787"/>
    <w:rsid w:val="00396D5B"/>
    <w:rsid w:val="003A0A3F"/>
    <w:rsid w:val="003A0D53"/>
    <w:rsid w:val="003A20A3"/>
    <w:rsid w:val="003A21FC"/>
    <w:rsid w:val="003B032A"/>
    <w:rsid w:val="003B3B76"/>
    <w:rsid w:val="003B5AB0"/>
    <w:rsid w:val="003B5DC7"/>
    <w:rsid w:val="003C0926"/>
    <w:rsid w:val="003C36CE"/>
    <w:rsid w:val="003C47CA"/>
    <w:rsid w:val="003D0587"/>
    <w:rsid w:val="003E07F3"/>
    <w:rsid w:val="003E15F1"/>
    <w:rsid w:val="003E219A"/>
    <w:rsid w:val="003E2E56"/>
    <w:rsid w:val="003F0A69"/>
    <w:rsid w:val="003F2052"/>
    <w:rsid w:val="003F3A74"/>
    <w:rsid w:val="003F5234"/>
    <w:rsid w:val="00400FD8"/>
    <w:rsid w:val="0040145D"/>
    <w:rsid w:val="00402887"/>
    <w:rsid w:val="004047C6"/>
    <w:rsid w:val="0041096D"/>
    <w:rsid w:val="004121C7"/>
    <w:rsid w:val="00412658"/>
    <w:rsid w:val="0041505A"/>
    <w:rsid w:val="00417B97"/>
    <w:rsid w:val="00417F8F"/>
    <w:rsid w:val="00420125"/>
    <w:rsid w:val="004220DC"/>
    <w:rsid w:val="00423BBA"/>
    <w:rsid w:val="00430907"/>
    <w:rsid w:val="004317B5"/>
    <w:rsid w:val="00434495"/>
    <w:rsid w:val="004346C9"/>
    <w:rsid w:val="00434D89"/>
    <w:rsid w:val="00435CA8"/>
    <w:rsid w:val="0044013E"/>
    <w:rsid w:val="00444A94"/>
    <w:rsid w:val="00447DDA"/>
    <w:rsid w:val="0045013A"/>
    <w:rsid w:val="00450751"/>
    <w:rsid w:val="0045322A"/>
    <w:rsid w:val="004548B3"/>
    <w:rsid w:val="00454D07"/>
    <w:rsid w:val="00456377"/>
    <w:rsid w:val="004575B6"/>
    <w:rsid w:val="00460B8F"/>
    <w:rsid w:val="00463D86"/>
    <w:rsid w:val="00466E52"/>
    <w:rsid w:val="004703D8"/>
    <w:rsid w:val="004739DD"/>
    <w:rsid w:val="0047453B"/>
    <w:rsid w:val="00481AB2"/>
    <w:rsid w:val="004843F4"/>
    <w:rsid w:val="00484B51"/>
    <w:rsid w:val="0049086F"/>
    <w:rsid w:val="00490905"/>
    <w:rsid w:val="00492D38"/>
    <w:rsid w:val="00494760"/>
    <w:rsid w:val="00495F56"/>
    <w:rsid w:val="004A3E63"/>
    <w:rsid w:val="004A5309"/>
    <w:rsid w:val="004A7402"/>
    <w:rsid w:val="004B4F58"/>
    <w:rsid w:val="004B64F8"/>
    <w:rsid w:val="004C1092"/>
    <w:rsid w:val="004D0954"/>
    <w:rsid w:val="004D2963"/>
    <w:rsid w:val="004D3D1C"/>
    <w:rsid w:val="004D4A4F"/>
    <w:rsid w:val="004D547B"/>
    <w:rsid w:val="004D64CD"/>
    <w:rsid w:val="004D6A52"/>
    <w:rsid w:val="004E1E32"/>
    <w:rsid w:val="004E2A86"/>
    <w:rsid w:val="004E652A"/>
    <w:rsid w:val="004E6F83"/>
    <w:rsid w:val="004F00EA"/>
    <w:rsid w:val="004F1CC6"/>
    <w:rsid w:val="004F21FE"/>
    <w:rsid w:val="00503186"/>
    <w:rsid w:val="00505DE8"/>
    <w:rsid w:val="00507E8E"/>
    <w:rsid w:val="0051080B"/>
    <w:rsid w:val="005124F5"/>
    <w:rsid w:val="00513DDB"/>
    <w:rsid w:val="00514577"/>
    <w:rsid w:val="00524B44"/>
    <w:rsid w:val="005250D4"/>
    <w:rsid w:val="0052534D"/>
    <w:rsid w:val="005253D0"/>
    <w:rsid w:val="00543946"/>
    <w:rsid w:val="00544F68"/>
    <w:rsid w:val="00546E2A"/>
    <w:rsid w:val="00551E29"/>
    <w:rsid w:val="005534DF"/>
    <w:rsid w:val="00554106"/>
    <w:rsid w:val="00554D53"/>
    <w:rsid w:val="005608D2"/>
    <w:rsid w:val="00561BB7"/>
    <w:rsid w:val="005645CB"/>
    <w:rsid w:val="0056676B"/>
    <w:rsid w:val="00566A15"/>
    <w:rsid w:val="00566A24"/>
    <w:rsid w:val="00570F17"/>
    <w:rsid w:val="00573099"/>
    <w:rsid w:val="0058104A"/>
    <w:rsid w:val="00581454"/>
    <w:rsid w:val="00581EAD"/>
    <w:rsid w:val="00590068"/>
    <w:rsid w:val="00591C02"/>
    <w:rsid w:val="005931CC"/>
    <w:rsid w:val="005946D4"/>
    <w:rsid w:val="00595B89"/>
    <w:rsid w:val="005A5AC6"/>
    <w:rsid w:val="005B063E"/>
    <w:rsid w:val="005B0F9C"/>
    <w:rsid w:val="005B1867"/>
    <w:rsid w:val="005B3CFE"/>
    <w:rsid w:val="005B4198"/>
    <w:rsid w:val="005B6528"/>
    <w:rsid w:val="005B7A68"/>
    <w:rsid w:val="005C224D"/>
    <w:rsid w:val="005C2BAD"/>
    <w:rsid w:val="005C3081"/>
    <w:rsid w:val="005C664D"/>
    <w:rsid w:val="005C75E4"/>
    <w:rsid w:val="005D4981"/>
    <w:rsid w:val="005D69BF"/>
    <w:rsid w:val="005D7ADE"/>
    <w:rsid w:val="005E03E5"/>
    <w:rsid w:val="005E0F51"/>
    <w:rsid w:val="005E133C"/>
    <w:rsid w:val="005E1B9B"/>
    <w:rsid w:val="005E1F55"/>
    <w:rsid w:val="005E479B"/>
    <w:rsid w:val="005E4BD4"/>
    <w:rsid w:val="005E6980"/>
    <w:rsid w:val="005F1508"/>
    <w:rsid w:val="00600E9F"/>
    <w:rsid w:val="00601C69"/>
    <w:rsid w:val="00602430"/>
    <w:rsid w:val="0060275B"/>
    <w:rsid w:val="00604E9A"/>
    <w:rsid w:val="00612855"/>
    <w:rsid w:val="006146EF"/>
    <w:rsid w:val="00616897"/>
    <w:rsid w:val="006172F7"/>
    <w:rsid w:val="006174BB"/>
    <w:rsid w:val="00621181"/>
    <w:rsid w:val="00621B1A"/>
    <w:rsid w:val="0062249B"/>
    <w:rsid w:val="00622C68"/>
    <w:rsid w:val="00636DD9"/>
    <w:rsid w:val="00637495"/>
    <w:rsid w:val="00643E29"/>
    <w:rsid w:val="00643E5A"/>
    <w:rsid w:val="00647A0E"/>
    <w:rsid w:val="00650882"/>
    <w:rsid w:val="00651A7B"/>
    <w:rsid w:val="00655954"/>
    <w:rsid w:val="00656FE6"/>
    <w:rsid w:val="00657DFA"/>
    <w:rsid w:val="006614CE"/>
    <w:rsid w:val="0066401F"/>
    <w:rsid w:val="00666305"/>
    <w:rsid w:val="00672832"/>
    <w:rsid w:val="0067471A"/>
    <w:rsid w:val="006766FC"/>
    <w:rsid w:val="00676CE7"/>
    <w:rsid w:val="0068183F"/>
    <w:rsid w:val="006846B7"/>
    <w:rsid w:val="00685E31"/>
    <w:rsid w:val="00685F0D"/>
    <w:rsid w:val="006863AC"/>
    <w:rsid w:val="00687374"/>
    <w:rsid w:val="00691398"/>
    <w:rsid w:val="0069182E"/>
    <w:rsid w:val="006942C7"/>
    <w:rsid w:val="00696605"/>
    <w:rsid w:val="00696CF6"/>
    <w:rsid w:val="00696E95"/>
    <w:rsid w:val="006A139D"/>
    <w:rsid w:val="006A2CEB"/>
    <w:rsid w:val="006A33FD"/>
    <w:rsid w:val="006A340A"/>
    <w:rsid w:val="006A3FB8"/>
    <w:rsid w:val="006A4299"/>
    <w:rsid w:val="006A6FB3"/>
    <w:rsid w:val="006C0BF3"/>
    <w:rsid w:val="006C19B9"/>
    <w:rsid w:val="006C202D"/>
    <w:rsid w:val="006C241F"/>
    <w:rsid w:val="006C282F"/>
    <w:rsid w:val="006C38B4"/>
    <w:rsid w:val="006C67B5"/>
    <w:rsid w:val="006C7C03"/>
    <w:rsid w:val="006D15C4"/>
    <w:rsid w:val="006D488A"/>
    <w:rsid w:val="006E07D6"/>
    <w:rsid w:val="006E61A5"/>
    <w:rsid w:val="006E6275"/>
    <w:rsid w:val="006E654D"/>
    <w:rsid w:val="006F17EB"/>
    <w:rsid w:val="006F3F3E"/>
    <w:rsid w:val="006F6366"/>
    <w:rsid w:val="006F6ECD"/>
    <w:rsid w:val="00700B47"/>
    <w:rsid w:val="00701514"/>
    <w:rsid w:val="0070160E"/>
    <w:rsid w:val="007040A8"/>
    <w:rsid w:val="00706C1E"/>
    <w:rsid w:val="00706D59"/>
    <w:rsid w:val="00706F7D"/>
    <w:rsid w:val="00710502"/>
    <w:rsid w:val="00711429"/>
    <w:rsid w:val="00714F10"/>
    <w:rsid w:val="007178CE"/>
    <w:rsid w:val="0072017F"/>
    <w:rsid w:val="007201D2"/>
    <w:rsid w:val="00720212"/>
    <w:rsid w:val="00720AAD"/>
    <w:rsid w:val="00722129"/>
    <w:rsid w:val="007245A7"/>
    <w:rsid w:val="0072485F"/>
    <w:rsid w:val="00725580"/>
    <w:rsid w:val="0073294F"/>
    <w:rsid w:val="0073306C"/>
    <w:rsid w:val="007348F1"/>
    <w:rsid w:val="00735F46"/>
    <w:rsid w:val="007376E9"/>
    <w:rsid w:val="00737A4B"/>
    <w:rsid w:val="00740055"/>
    <w:rsid w:val="00740C20"/>
    <w:rsid w:val="007417D7"/>
    <w:rsid w:val="007435C1"/>
    <w:rsid w:val="007458AD"/>
    <w:rsid w:val="0075208C"/>
    <w:rsid w:val="007616F5"/>
    <w:rsid w:val="00762255"/>
    <w:rsid w:val="00765C94"/>
    <w:rsid w:val="007675D3"/>
    <w:rsid w:val="00770A09"/>
    <w:rsid w:val="00770C8F"/>
    <w:rsid w:val="00771DE0"/>
    <w:rsid w:val="007730E4"/>
    <w:rsid w:val="00774893"/>
    <w:rsid w:val="00774D3D"/>
    <w:rsid w:val="00780662"/>
    <w:rsid w:val="0078319C"/>
    <w:rsid w:val="0078423A"/>
    <w:rsid w:val="00785316"/>
    <w:rsid w:val="0078652D"/>
    <w:rsid w:val="007919A0"/>
    <w:rsid w:val="007931D5"/>
    <w:rsid w:val="00794898"/>
    <w:rsid w:val="007A7708"/>
    <w:rsid w:val="007B0112"/>
    <w:rsid w:val="007B60BD"/>
    <w:rsid w:val="007C0A0E"/>
    <w:rsid w:val="007C2531"/>
    <w:rsid w:val="007C6118"/>
    <w:rsid w:val="007C6E6B"/>
    <w:rsid w:val="007D1774"/>
    <w:rsid w:val="007D4886"/>
    <w:rsid w:val="007D6564"/>
    <w:rsid w:val="007D6702"/>
    <w:rsid w:val="007E10EB"/>
    <w:rsid w:val="007E482E"/>
    <w:rsid w:val="007E4F8C"/>
    <w:rsid w:val="007E55E6"/>
    <w:rsid w:val="007E60A9"/>
    <w:rsid w:val="007E6F91"/>
    <w:rsid w:val="007F04FB"/>
    <w:rsid w:val="007F59FD"/>
    <w:rsid w:val="0080159E"/>
    <w:rsid w:val="00801B1E"/>
    <w:rsid w:val="00801C41"/>
    <w:rsid w:val="00801CCD"/>
    <w:rsid w:val="00802FE7"/>
    <w:rsid w:val="00803F34"/>
    <w:rsid w:val="008077BA"/>
    <w:rsid w:val="00807A32"/>
    <w:rsid w:val="00814743"/>
    <w:rsid w:val="00815433"/>
    <w:rsid w:val="00815C5A"/>
    <w:rsid w:val="00816059"/>
    <w:rsid w:val="008213F4"/>
    <w:rsid w:val="008227DC"/>
    <w:rsid w:val="00823C8C"/>
    <w:rsid w:val="008308BE"/>
    <w:rsid w:val="0083190D"/>
    <w:rsid w:val="00832422"/>
    <w:rsid w:val="00833A77"/>
    <w:rsid w:val="00833FE9"/>
    <w:rsid w:val="00852C7C"/>
    <w:rsid w:val="00856BE0"/>
    <w:rsid w:val="008618BF"/>
    <w:rsid w:val="00862ACA"/>
    <w:rsid w:val="00862EFE"/>
    <w:rsid w:val="00865376"/>
    <w:rsid w:val="00865696"/>
    <w:rsid w:val="00870AE4"/>
    <w:rsid w:val="00870DB3"/>
    <w:rsid w:val="0087154C"/>
    <w:rsid w:val="0087223E"/>
    <w:rsid w:val="00872D24"/>
    <w:rsid w:val="00877DFD"/>
    <w:rsid w:val="00887119"/>
    <w:rsid w:val="008904C6"/>
    <w:rsid w:val="00890B6D"/>
    <w:rsid w:val="0089157F"/>
    <w:rsid w:val="00893E37"/>
    <w:rsid w:val="00895F9A"/>
    <w:rsid w:val="00896BCD"/>
    <w:rsid w:val="00897DCC"/>
    <w:rsid w:val="008A1745"/>
    <w:rsid w:val="008A33D9"/>
    <w:rsid w:val="008A7B5A"/>
    <w:rsid w:val="008B0998"/>
    <w:rsid w:val="008B123B"/>
    <w:rsid w:val="008B75BA"/>
    <w:rsid w:val="008C2175"/>
    <w:rsid w:val="008C2235"/>
    <w:rsid w:val="008C332D"/>
    <w:rsid w:val="008C3722"/>
    <w:rsid w:val="008C3776"/>
    <w:rsid w:val="008C4916"/>
    <w:rsid w:val="008C6A8C"/>
    <w:rsid w:val="008C74B9"/>
    <w:rsid w:val="008C79FB"/>
    <w:rsid w:val="008D1F47"/>
    <w:rsid w:val="008D3C9D"/>
    <w:rsid w:val="008D45C9"/>
    <w:rsid w:val="008D4C2F"/>
    <w:rsid w:val="008D5E8C"/>
    <w:rsid w:val="008D6A8C"/>
    <w:rsid w:val="008D7AC9"/>
    <w:rsid w:val="008E11E2"/>
    <w:rsid w:val="008E1222"/>
    <w:rsid w:val="008E13C4"/>
    <w:rsid w:val="008E293F"/>
    <w:rsid w:val="008E5CE1"/>
    <w:rsid w:val="008E78EA"/>
    <w:rsid w:val="008F0DE9"/>
    <w:rsid w:val="008F26FD"/>
    <w:rsid w:val="008F3E48"/>
    <w:rsid w:val="008F607D"/>
    <w:rsid w:val="008F6C10"/>
    <w:rsid w:val="00903545"/>
    <w:rsid w:val="00903E86"/>
    <w:rsid w:val="009065B9"/>
    <w:rsid w:val="009141DF"/>
    <w:rsid w:val="0091758A"/>
    <w:rsid w:val="00917CBC"/>
    <w:rsid w:val="00917DF2"/>
    <w:rsid w:val="009254E1"/>
    <w:rsid w:val="00933720"/>
    <w:rsid w:val="00936B09"/>
    <w:rsid w:val="00936BA1"/>
    <w:rsid w:val="00941BBC"/>
    <w:rsid w:val="00941EBB"/>
    <w:rsid w:val="00942E36"/>
    <w:rsid w:val="0094477F"/>
    <w:rsid w:val="00947557"/>
    <w:rsid w:val="00950892"/>
    <w:rsid w:val="00951EB0"/>
    <w:rsid w:val="0095551B"/>
    <w:rsid w:val="00955716"/>
    <w:rsid w:val="00957F15"/>
    <w:rsid w:val="00957F65"/>
    <w:rsid w:val="0096006E"/>
    <w:rsid w:val="009612F4"/>
    <w:rsid w:val="00963263"/>
    <w:rsid w:val="00963500"/>
    <w:rsid w:val="009640F9"/>
    <w:rsid w:val="00964B2F"/>
    <w:rsid w:val="00966414"/>
    <w:rsid w:val="00967E94"/>
    <w:rsid w:val="0097438C"/>
    <w:rsid w:val="009754F5"/>
    <w:rsid w:val="00976DF3"/>
    <w:rsid w:val="00982CA3"/>
    <w:rsid w:val="0098344B"/>
    <w:rsid w:val="009849E1"/>
    <w:rsid w:val="009948CC"/>
    <w:rsid w:val="009949A6"/>
    <w:rsid w:val="00995485"/>
    <w:rsid w:val="009A2801"/>
    <w:rsid w:val="009A702C"/>
    <w:rsid w:val="009C05F5"/>
    <w:rsid w:val="009C7BE6"/>
    <w:rsid w:val="009D6DB5"/>
    <w:rsid w:val="009E11CC"/>
    <w:rsid w:val="009E1856"/>
    <w:rsid w:val="009E2AFC"/>
    <w:rsid w:val="009F146C"/>
    <w:rsid w:val="009F676B"/>
    <w:rsid w:val="00A00443"/>
    <w:rsid w:val="00A051E1"/>
    <w:rsid w:val="00A07371"/>
    <w:rsid w:val="00A0740F"/>
    <w:rsid w:val="00A145C7"/>
    <w:rsid w:val="00A15A00"/>
    <w:rsid w:val="00A2565C"/>
    <w:rsid w:val="00A256D7"/>
    <w:rsid w:val="00A261E5"/>
    <w:rsid w:val="00A3011C"/>
    <w:rsid w:val="00A3204F"/>
    <w:rsid w:val="00A33413"/>
    <w:rsid w:val="00A37196"/>
    <w:rsid w:val="00A40572"/>
    <w:rsid w:val="00A4130A"/>
    <w:rsid w:val="00A41D75"/>
    <w:rsid w:val="00A42CC7"/>
    <w:rsid w:val="00A447FE"/>
    <w:rsid w:val="00A5187C"/>
    <w:rsid w:val="00A51EC9"/>
    <w:rsid w:val="00A56871"/>
    <w:rsid w:val="00A61707"/>
    <w:rsid w:val="00A64290"/>
    <w:rsid w:val="00A67EE4"/>
    <w:rsid w:val="00A72469"/>
    <w:rsid w:val="00A741B7"/>
    <w:rsid w:val="00A750CF"/>
    <w:rsid w:val="00A82106"/>
    <w:rsid w:val="00A86B2F"/>
    <w:rsid w:val="00A91D88"/>
    <w:rsid w:val="00A9585F"/>
    <w:rsid w:val="00A95B84"/>
    <w:rsid w:val="00A96B73"/>
    <w:rsid w:val="00AA1002"/>
    <w:rsid w:val="00AA18B6"/>
    <w:rsid w:val="00AA4D75"/>
    <w:rsid w:val="00AB13CB"/>
    <w:rsid w:val="00AB2A9B"/>
    <w:rsid w:val="00AB3EF2"/>
    <w:rsid w:val="00AB505D"/>
    <w:rsid w:val="00AC00C1"/>
    <w:rsid w:val="00AC3F1C"/>
    <w:rsid w:val="00AC47BF"/>
    <w:rsid w:val="00AC6B13"/>
    <w:rsid w:val="00AC6B26"/>
    <w:rsid w:val="00AC7A00"/>
    <w:rsid w:val="00AD09A9"/>
    <w:rsid w:val="00AD4C9F"/>
    <w:rsid w:val="00AE25C4"/>
    <w:rsid w:val="00AF50FC"/>
    <w:rsid w:val="00AF6C8F"/>
    <w:rsid w:val="00AF72DE"/>
    <w:rsid w:val="00B05901"/>
    <w:rsid w:val="00B12815"/>
    <w:rsid w:val="00B173C3"/>
    <w:rsid w:val="00B20419"/>
    <w:rsid w:val="00B20C0D"/>
    <w:rsid w:val="00B22D3D"/>
    <w:rsid w:val="00B2375C"/>
    <w:rsid w:val="00B237E7"/>
    <w:rsid w:val="00B24DD1"/>
    <w:rsid w:val="00B255ED"/>
    <w:rsid w:val="00B261F6"/>
    <w:rsid w:val="00B27161"/>
    <w:rsid w:val="00B27799"/>
    <w:rsid w:val="00B320A5"/>
    <w:rsid w:val="00B328F6"/>
    <w:rsid w:val="00B34C15"/>
    <w:rsid w:val="00B36E52"/>
    <w:rsid w:val="00B470FD"/>
    <w:rsid w:val="00B4785D"/>
    <w:rsid w:val="00B517CC"/>
    <w:rsid w:val="00B51FAB"/>
    <w:rsid w:val="00B535B1"/>
    <w:rsid w:val="00B53A3D"/>
    <w:rsid w:val="00B53DED"/>
    <w:rsid w:val="00B54D80"/>
    <w:rsid w:val="00B55808"/>
    <w:rsid w:val="00B573EA"/>
    <w:rsid w:val="00B70EB2"/>
    <w:rsid w:val="00B71139"/>
    <w:rsid w:val="00B71989"/>
    <w:rsid w:val="00B71E06"/>
    <w:rsid w:val="00B734C1"/>
    <w:rsid w:val="00B74C47"/>
    <w:rsid w:val="00B75B18"/>
    <w:rsid w:val="00B77801"/>
    <w:rsid w:val="00B8520E"/>
    <w:rsid w:val="00B901A0"/>
    <w:rsid w:val="00B92664"/>
    <w:rsid w:val="00BA205A"/>
    <w:rsid w:val="00BA35D3"/>
    <w:rsid w:val="00BA3FBF"/>
    <w:rsid w:val="00BB09D9"/>
    <w:rsid w:val="00BB0C96"/>
    <w:rsid w:val="00BB1B64"/>
    <w:rsid w:val="00BB5591"/>
    <w:rsid w:val="00BB7CF0"/>
    <w:rsid w:val="00BC2974"/>
    <w:rsid w:val="00BC37AD"/>
    <w:rsid w:val="00BC5703"/>
    <w:rsid w:val="00BC6CDE"/>
    <w:rsid w:val="00BD07A7"/>
    <w:rsid w:val="00BD1A68"/>
    <w:rsid w:val="00BD2531"/>
    <w:rsid w:val="00BD3EEE"/>
    <w:rsid w:val="00BD72CD"/>
    <w:rsid w:val="00BE4C3A"/>
    <w:rsid w:val="00BE5100"/>
    <w:rsid w:val="00BE60B3"/>
    <w:rsid w:val="00BF17AF"/>
    <w:rsid w:val="00BF28A1"/>
    <w:rsid w:val="00BF4207"/>
    <w:rsid w:val="00BF54C6"/>
    <w:rsid w:val="00BF6152"/>
    <w:rsid w:val="00C00379"/>
    <w:rsid w:val="00C01C54"/>
    <w:rsid w:val="00C02C5C"/>
    <w:rsid w:val="00C076D2"/>
    <w:rsid w:val="00C07BE0"/>
    <w:rsid w:val="00C10C9A"/>
    <w:rsid w:val="00C15B1F"/>
    <w:rsid w:val="00C171EE"/>
    <w:rsid w:val="00C17606"/>
    <w:rsid w:val="00C201BC"/>
    <w:rsid w:val="00C203E2"/>
    <w:rsid w:val="00C2470A"/>
    <w:rsid w:val="00C30748"/>
    <w:rsid w:val="00C3119C"/>
    <w:rsid w:val="00C312F5"/>
    <w:rsid w:val="00C33F24"/>
    <w:rsid w:val="00C3562D"/>
    <w:rsid w:val="00C357AE"/>
    <w:rsid w:val="00C40169"/>
    <w:rsid w:val="00C40326"/>
    <w:rsid w:val="00C413BD"/>
    <w:rsid w:val="00C4193E"/>
    <w:rsid w:val="00C43AA3"/>
    <w:rsid w:val="00C44BE3"/>
    <w:rsid w:val="00C47FEF"/>
    <w:rsid w:val="00C5014A"/>
    <w:rsid w:val="00C55D28"/>
    <w:rsid w:val="00C56F5D"/>
    <w:rsid w:val="00C57DD6"/>
    <w:rsid w:val="00C6783E"/>
    <w:rsid w:val="00C67904"/>
    <w:rsid w:val="00C71D19"/>
    <w:rsid w:val="00C76A12"/>
    <w:rsid w:val="00C80DFC"/>
    <w:rsid w:val="00C867F5"/>
    <w:rsid w:val="00C87B04"/>
    <w:rsid w:val="00C87E80"/>
    <w:rsid w:val="00C93EC7"/>
    <w:rsid w:val="00C94666"/>
    <w:rsid w:val="00C9795B"/>
    <w:rsid w:val="00C97AF3"/>
    <w:rsid w:val="00CA0C53"/>
    <w:rsid w:val="00CA3429"/>
    <w:rsid w:val="00CA38CB"/>
    <w:rsid w:val="00CA38D3"/>
    <w:rsid w:val="00CA7A88"/>
    <w:rsid w:val="00CB0ED2"/>
    <w:rsid w:val="00CB27D7"/>
    <w:rsid w:val="00CB52E6"/>
    <w:rsid w:val="00CB62DA"/>
    <w:rsid w:val="00CC04E7"/>
    <w:rsid w:val="00CC21BE"/>
    <w:rsid w:val="00CC4E33"/>
    <w:rsid w:val="00CC67EB"/>
    <w:rsid w:val="00CD1A5D"/>
    <w:rsid w:val="00CD2C56"/>
    <w:rsid w:val="00CD2D4F"/>
    <w:rsid w:val="00CD2EC3"/>
    <w:rsid w:val="00CD355E"/>
    <w:rsid w:val="00CE3C30"/>
    <w:rsid w:val="00CF188A"/>
    <w:rsid w:val="00CF1E3F"/>
    <w:rsid w:val="00CF614E"/>
    <w:rsid w:val="00CF6805"/>
    <w:rsid w:val="00CF6B7C"/>
    <w:rsid w:val="00CF799F"/>
    <w:rsid w:val="00D02611"/>
    <w:rsid w:val="00D045B5"/>
    <w:rsid w:val="00D04CA9"/>
    <w:rsid w:val="00D04F6A"/>
    <w:rsid w:val="00D05615"/>
    <w:rsid w:val="00D065E9"/>
    <w:rsid w:val="00D07FC5"/>
    <w:rsid w:val="00D12A07"/>
    <w:rsid w:val="00D12E79"/>
    <w:rsid w:val="00D14DFD"/>
    <w:rsid w:val="00D17DDD"/>
    <w:rsid w:val="00D215F6"/>
    <w:rsid w:val="00D21708"/>
    <w:rsid w:val="00D218B5"/>
    <w:rsid w:val="00D220DE"/>
    <w:rsid w:val="00D225B5"/>
    <w:rsid w:val="00D24F4A"/>
    <w:rsid w:val="00D25446"/>
    <w:rsid w:val="00D26D5B"/>
    <w:rsid w:val="00D274C7"/>
    <w:rsid w:val="00D27FEF"/>
    <w:rsid w:val="00D31A38"/>
    <w:rsid w:val="00D321C8"/>
    <w:rsid w:val="00D32BA0"/>
    <w:rsid w:val="00D349FB"/>
    <w:rsid w:val="00D356BA"/>
    <w:rsid w:val="00D35E18"/>
    <w:rsid w:val="00D364E7"/>
    <w:rsid w:val="00D41F9F"/>
    <w:rsid w:val="00D42F68"/>
    <w:rsid w:val="00D44D43"/>
    <w:rsid w:val="00D53A2D"/>
    <w:rsid w:val="00D61B27"/>
    <w:rsid w:val="00D66135"/>
    <w:rsid w:val="00D6678F"/>
    <w:rsid w:val="00D70DD4"/>
    <w:rsid w:val="00D70EBB"/>
    <w:rsid w:val="00D765E9"/>
    <w:rsid w:val="00D76DD7"/>
    <w:rsid w:val="00D81BF9"/>
    <w:rsid w:val="00D862B7"/>
    <w:rsid w:val="00D90DAD"/>
    <w:rsid w:val="00D93DF1"/>
    <w:rsid w:val="00D962C1"/>
    <w:rsid w:val="00D976E4"/>
    <w:rsid w:val="00DA074D"/>
    <w:rsid w:val="00DA0930"/>
    <w:rsid w:val="00DA14FD"/>
    <w:rsid w:val="00DA3228"/>
    <w:rsid w:val="00DA3B22"/>
    <w:rsid w:val="00DA5B42"/>
    <w:rsid w:val="00DA5D18"/>
    <w:rsid w:val="00DA7040"/>
    <w:rsid w:val="00DB3168"/>
    <w:rsid w:val="00DB7A8D"/>
    <w:rsid w:val="00DC0807"/>
    <w:rsid w:val="00DC1F07"/>
    <w:rsid w:val="00DC339E"/>
    <w:rsid w:val="00DC5432"/>
    <w:rsid w:val="00DC761C"/>
    <w:rsid w:val="00DC7E0D"/>
    <w:rsid w:val="00DD3A08"/>
    <w:rsid w:val="00DD4B36"/>
    <w:rsid w:val="00DE3D6C"/>
    <w:rsid w:val="00DE6BD7"/>
    <w:rsid w:val="00DF1BF6"/>
    <w:rsid w:val="00DF2AF6"/>
    <w:rsid w:val="00DF4904"/>
    <w:rsid w:val="00E036D2"/>
    <w:rsid w:val="00E0510D"/>
    <w:rsid w:val="00E05BF3"/>
    <w:rsid w:val="00E05D9E"/>
    <w:rsid w:val="00E06781"/>
    <w:rsid w:val="00E06BB6"/>
    <w:rsid w:val="00E07741"/>
    <w:rsid w:val="00E10EFD"/>
    <w:rsid w:val="00E11C52"/>
    <w:rsid w:val="00E152DA"/>
    <w:rsid w:val="00E203F5"/>
    <w:rsid w:val="00E253D8"/>
    <w:rsid w:val="00E25A2D"/>
    <w:rsid w:val="00E25CCE"/>
    <w:rsid w:val="00E27D25"/>
    <w:rsid w:val="00E3003C"/>
    <w:rsid w:val="00E301D8"/>
    <w:rsid w:val="00E32747"/>
    <w:rsid w:val="00E42975"/>
    <w:rsid w:val="00E44E67"/>
    <w:rsid w:val="00E459CE"/>
    <w:rsid w:val="00E47AA3"/>
    <w:rsid w:val="00E51255"/>
    <w:rsid w:val="00E51AF9"/>
    <w:rsid w:val="00E5202A"/>
    <w:rsid w:val="00E548E1"/>
    <w:rsid w:val="00E554BE"/>
    <w:rsid w:val="00E557B0"/>
    <w:rsid w:val="00E565EF"/>
    <w:rsid w:val="00E60746"/>
    <w:rsid w:val="00E609A2"/>
    <w:rsid w:val="00E61530"/>
    <w:rsid w:val="00E61895"/>
    <w:rsid w:val="00E62B87"/>
    <w:rsid w:val="00E64E59"/>
    <w:rsid w:val="00E64F6C"/>
    <w:rsid w:val="00E65229"/>
    <w:rsid w:val="00E66D08"/>
    <w:rsid w:val="00E67EB1"/>
    <w:rsid w:val="00E70EBD"/>
    <w:rsid w:val="00E72535"/>
    <w:rsid w:val="00E74FE6"/>
    <w:rsid w:val="00E75075"/>
    <w:rsid w:val="00E754BF"/>
    <w:rsid w:val="00E75C73"/>
    <w:rsid w:val="00E836E4"/>
    <w:rsid w:val="00E86D02"/>
    <w:rsid w:val="00E87917"/>
    <w:rsid w:val="00E90D41"/>
    <w:rsid w:val="00E91E52"/>
    <w:rsid w:val="00E91F47"/>
    <w:rsid w:val="00E92B81"/>
    <w:rsid w:val="00E93D2F"/>
    <w:rsid w:val="00E962A9"/>
    <w:rsid w:val="00E965E7"/>
    <w:rsid w:val="00EA2631"/>
    <w:rsid w:val="00EA3121"/>
    <w:rsid w:val="00EA4C50"/>
    <w:rsid w:val="00EA5127"/>
    <w:rsid w:val="00EB1A3D"/>
    <w:rsid w:val="00EB26D3"/>
    <w:rsid w:val="00EB2BF0"/>
    <w:rsid w:val="00EB682B"/>
    <w:rsid w:val="00EB78D5"/>
    <w:rsid w:val="00EC0CDE"/>
    <w:rsid w:val="00EC11D1"/>
    <w:rsid w:val="00ED0BF6"/>
    <w:rsid w:val="00ED3500"/>
    <w:rsid w:val="00ED4696"/>
    <w:rsid w:val="00ED5C56"/>
    <w:rsid w:val="00ED71EA"/>
    <w:rsid w:val="00ED7AF2"/>
    <w:rsid w:val="00EE0F85"/>
    <w:rsid w:val="00EE1B41"/>
    <w:rsid w:val="00EE3F3D"/>
    <w:rsid w:val="00EE4398"/>
    <w:rsid w:val="00EE7A66"/>
    <w:rsid w:val="00EF12A6"/>
    <w:rsid w:val="00EF17AA"/>
    <w:rsid w:val="00EF2DE5"/>
    <w:rsid w:val="00EF5543"/>
    <w:rsid w:val="00F00009"/>
    <w:rsid w:val="00F01479"/>
    <w:rsid w:val="00F03912"/>
    <w:rsid w:val="00F03CA7"/>
    <w:rsid w:val="00F05566"/>
    <w:rsid w:val="00F16125"/>
    <w:rsid w:val="00F20D0A"/>
    <w:rsid w:val="00F223DA"/>
    <w:rsid w:val="00F26151"/>
    <w:rsid w:val="00F2625E"/>
    <w:rsid w:val="00F321C5"/>
    <w:rsid w:val="00F32768"/>
    <w:rsid w:val="00F33647"/>
    <w:rsid w:val="00F3500D"/>
    <w:rsid w:val="00F359BB"/>
    <w:rsid w:val="00F360E4"/>
    <w:rsid w:val="00F47452"/>
    <w:rsid w:val="00F53B0B"/>
    <w:rsid w:val="00F5552B"/>
    <w:rsid w:val="00F556E0"/>
    <w:rsid w:val="00F55B1F"/>
    <w:rsid w:val="00F61A7D"/>
    <w:rsid w:val="00F6792F"/>
    <w:rsid w:val="00F679E1"/>
    <w:rsid w:val="00F704F7"/>
    <w:rsid w:val="00F7134D"/>
    <w:rsid w:val="00F7177A"/>
    <w:rsid w:val="00F72367"/>
    <w:rsid w:val="00F7259B"/>
    <w:rsid w:val="00F74054"/>
    <w:rsid w:val="00F7674E"/>
    <w:rsid w:val="00F769AD"/>
    <w:rsid w:val="00F82C64"/>
    <w:rsid w:val="00F830A6"/>
    <w:rsid w:val="00F86156"/>
    <w:rsid w:val="00F87C2B"/>
    <w:rsid w:val="00F911FF"/>
    <w:rsid w:val="00F92142"/>
    <w:rsid w:val="00F943F7"/>
    <w:rsid w:val="00F954E7"/>
    <w:rsid w:val="00F96712"/>
    <w:rsid w:val="00F97DB9"/>
    <w:rsid w:val="00FA0325"/>
    <w:rsid w:val="00FA0972"/>
    <w:rsid w:val="00FA4001"/>
    <w:rsid w:val="00FA5759"/>
    <w:rsid w:val="00FA6BC6"/>
    <w:rsid w:val="00FB0938"/>
    <w:rsid w:val="00FB0F6F"/>
    <w:rsid w:val="00FB2111"/>
    <w:rsid w:val="00FB256F"/>
    <w:rsid w:val="00FB64C4"/>
    <w:rsid w:val="00FB7526"/>
    <w:rsid w:val="00FC3471"/>
    <w:rsid w:val="00FC4C66"/>
    <w:rsid w:val="00FD2BCE"/>
    <w:rsid w:val="00FD3D75"/>
    <w:rsid w:val="00FD4346"/>
    <w:rsid w:val="00FD4C42"/>
    <w:rsid w:val="00FD4C81"/>
    <w:rsid w:val="00FD70B5"/>
    <w:rsid w:val="00FE2731"/>
    <w:rsid w:val="00FE4D8A"/>
    <w:rsid w:val="00FE6644"/>
    <w:rsid w:val="00FE68E0"/>
    <w:rsid w:val="00FE78E8"/>
    <w:rsid w:val="00FE79D0"/>
    <w:rsid w:val="00FF0AB6"/>
    <w:rsid w:val="00FF190A"/>
    <w:rsid w:val="00FF1A0F"/>
    <w:rsid w:val="00FF7844"/>
    <w:rsid w:val="00FF7A4A"/>
    <w:rsid w:val="00FF7D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9531F-A03A-461E-A1CE-37A37A71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6C8F"/>
  </w:style>
  <w:style w:type="paragraph" w:styleId="Ttulo1">
    <w:name w:val="heading 1"/>
    <w:basedOn w:val="Normal"/>
    <w:next w:val="Normal"/>
    <w:link w:val="Ttulo1Char"/>
    <w:uiPriority w:val="9"/>
    <w:rsid w:val="00034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rsid w:val="000A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rsid w:val="00957F65"/>
    <w:pPr>
      <w:spacing w:after="120"/>
    </w:pPr>
  </w:style>
  <w:style w:type="character" w:customStyle="1" w:styleId="CorpodetextoChar">
    <w:name w:val="Corpo de texto Char"/>
    <w:basedOn w:val="Fontepargpadro"/>
    <w:link w:val="Corpodetexto"/>
    <w:uiPriority w:val="99"/>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B173C3"/>
    <w:pPr>
      <w:spacing w:line="240" w:lineRule="auto"/>
      <w:jc w:val="both"/>
    </w:pPr>
    <w:rPr>
      <w:rFonts w:eastAsia="Calibri"/>
      <w:b w:val="0"/>
      <w:bCs/>
    </w:rPr>
  </w:style>
  <w:style w:type="character" w:customStyle="1" w:styleId="RefChar">
    <w:name w:val="Ref Char"/>
    <w:basedOn w:val="1Char"/>
    <w:link w:val="Ref"/>
    <w:rsid w:val="00B173C3"/>
    <w:rPr>
      <w:rFonts w:ascii="Arial" w:eastAsia="Calibri" w:hAnsi="Arial" w:cs="Arial"/>
      <w:b w:val="0"/>
      <w:bCs/>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34"/>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rsid w:val="008C3722"/>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Fontepargpadro"/>
    <w:link w:val="T1"/>
    <w:rsid w:val="008C3722"/>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rsid w:val="008C3722"/>
    <w:rPr>
      <w:b w:val="0"/>
      <w:caps/>
    </w:rPr>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8C3722"/>
    <w:rPr>
      <w:rFonts w:ascii="Arial" w:eastAsia="Calibri" w:hAnsi="Arial" w:cs="Arial"/>
      <w:b w:val="0"/>
      <w:caps/>
      <w:sz w:val="24"/>
      <w:szCs w:val="24"/>
    </w:rPr>
  </w:style>
  <w:style w:type="paragraph" w:customStyle="1" w:styleId="Cit">
    <w:name w:val="Cit"/>
    <w:basedOn w:val="Normal"/>
    <w:link w:val="CitChar"/>
    <w:qFormat/>
    <w:rsid w:val="00374F79"/>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374F79"/>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CF1E3F"/>
    <w:pPr>
      <w:spacing w:line="240" w:lineRule="auto"/>
      <w:ind w:left="2268"/>
      <w:jc w:val="both"/>
    </w:pPr>
    <w:rPr>
      <w:b w:val="0"/>
    </w:rPr>
  </w:style>
  <w:style w:type="paragraph" w:customStyle="1" w:styleId="texto0">
    <w:name w:val="texto"/>
    <w:basedOn w:val="1UEPB"/>
    <w:link w:val="textoChar0"/>
    <w:rsid w:val="00BD07A7"/>
    <w:pPr>
      <w:ind w:firstLine="709"/>
      <w:jc w:val="both"/>
    </w:pPr>
    <w:rPr>
      <w:b w:val="0"/>
    </w:rPr>
  </w:style>
  <w:style w:type="character" w:customStyle="1" w:styleId="Cit1Char">
    <w:name w:val="Cit 1 Char"/>
    <w:basedOn w:val="1UEPBChar"/>
    <w:link w:val="Cit1"/>
    <w:rsid w:val="00CF1E3F"/>
    <w:rPr>
      <w:rFonts w:ascii="Arial" w:eastAsia="Times New Roman" w:hAnsi="Arial" w:cs="Times New Roman"/>
      <w:b w:val="0"/>
      <w:sz w:val="24"/>
      <w:szCs w:val="24"/>
    </w:rPr>
  </w:style>
  <w:style w:type="character" w:customStyle="1" w:styleId="textoChar0">
    <w:name w:val="texto Char"/>
    <w:basedOn w:val="1UEPBChar"/>
    <w:link w:val="texto0"/>
    <w:rsid w:val="00BD07A7"/>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qFormat/>
    <w:rsid w:val="00460B8F"/>
    <w:rPr>
      <w:vertAlign w:val="superscript"/>
    </w:rPr>
  </w:style>
  <w:style w:type="character" w:customStyle="1" w:styleId="Ttulo3Char">
    <w:name w:val="Título 3 Char"/>
    <w:basedOn w:val="Fontepargpadro"/>
    <w:link w:val="Ttulo3"/>
    <w:uiPriority w:val="9"/>
    <w:rsid w:val="000A0405"/>
    <w:rPr>
      <w:rFonts w:asciiTheme="majorHAnsi" w:eastAsiaTheme="majorEastAsia" w:hAnsiTheme="majorHAnsi" w:cstheme="majorBidi"/>
      <w:b/>
      <w:bCs/>
      <w:color w:val="4F81BD" w:themeColor="accent1"/>
    </w:rPr>
  </w:style>
  <w:style w:type="paragraph" w:customStyle="1" w:styleId="tj">
    <w:name w:val="tj"/>
    <w:basedOn w:val="Normal"/>
    <w:rsid w:val="00FD3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rsid w:val="00AA1002"/>
    <w:pPr>
      <w:spacing w:line="240" w:lineRule="auto"/>
      <w:ind w:firstLine="0"/>
      <w:contextualSpacing/>
    </w:pPr>
    <w:rPr>
      <w:color w:val="000000"/>
    </w:rPr>
  </w:style>
  <w:style w:type="character" w:customStyle="1" w:styleId="TextoderefChar">
    <w:name w:val="Texto de ref Char"/>
    <w:basedOn w:val="TextoChar"/>
    <w:link w:val="Textoderef"/>
    <w:rsid w:val="00AA1002"/>
    <w:rPr>
      <w:rFonts w:ascii="Arial" w:eastAsia="Calibri" w:hAnsi="Arial" w:cs="Arial"/>
      <w:color w:val="000000"/>
      <w:sz w:val="24"/>
      <w:szCs w:val="24"/>
    </w:rPr>
  </w:style>
  <w:style w:type="paragraph" w:styleId="Ttulo">
    <w:name w:val="Title"/>
    <w:basedOn w:val="Normal"/>
    <w:next w:val="Normal"/>
    <w:link w:val="TtuloChar"/>
    <w:uiPriority w:val="10"/>
    <w:rsid w:val="00AA1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AA1002"/>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03459A"/>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E965E7"/>
    <w:rPr>
      <w:b/>
      <w:bCs/>
    </w:rPr>
  </w:style>
  <w:style w:type="character" w:customStyle="1" w:styleId="a-size-large">
    <w:name w:val="a-size-large"/>
    <w:basedOn w:val="Fontepargpadro"/>
    <w:rsid w:val="00D02611"/>
  </w:style>
  <w:style w:type="character" w:styleId="nfase">
    <w:name w:val="Emphasis"/>
    <w:basedOn w:val="Fontepargpadro"/>
    <w:uiPriority w:val="20"/>
    <w:qFormat/>
    <w:rsid w:val="004739DD"/>
    <w:rPr>
      <w:i/>
      <w:iCs/>
    </w:rPr>
  </w:style>
  <w:style w:type="character" w:customStyle="1" w:styleId="MenoPendente1">
    <w:name w:val="Menção Pendente1"/>
    <w:basedOn w:val="Fontepargpadro"/>
    <w:uiPriority w:val="99"/>
    <w:semiHidden/>
    <w:unhideWhenUsed/>
    <w:rsid w:val="003E07F3"/>
    <w:rPr>
      <w:color w:val="605E5C"/>
      <w:shd w:val="clear" w:color="auto" w:fill="E1DFDD"/>
    </w:rPr>
  </w:style>
  <w:style w:type="paragraph" w:customStyle="1" w:styleId="II">
    <w:name w:val="I.I"/>
    <w:basedOn w:val="Normal"/>
    <w:link w:val="IIChar"/>
    <w:qFormat/>
    <w:rsid w:val="007D6564"/>
    <w:pPr>
      <w:autoSpaceDE w:val="0"/>
      <w:autoSpaceDN w:val="0"/>
      <w:adjustRightInd w:val="0"/>
      <w:spacing w:after="0" w:line="360" w:lineRule="auto"/>
      <w:jc w:val="both"/>
    </w:pPr>
    <w:rPr>
      <w:rFonts w:ascii="Arial" w:eastAsia="Times New Roman" w:hAnsi="Arial" w:cs="Arial"/>
      <w:sz w:val="24"/>
      <w:szCs w:val="24"/>
    </w:rPr>
  </w:style>
  <w:style w:type="character" w:customStyle="1" w:styleId="IIChar">
    <w:name w:val="I.I Char"/>
    <w:basedOn w:val="Fontepargpadro"/>
    <w:link w:val="II"/>
    <w:rsid w:val="007D6564"/>
    <w:rPr>
      <w:rFonts w:ascii="Arial" w:eastAsia="Times New Roman" w:hAnsi="Arial" w:cs="Arial"/>
      <w:sz w:val="24"/>
      <w:szCs w:val="24"/>
    </w:rPr>
  </w:style>
  <w:style w:type="paragraph" w:styleId="Subttulo">
    <w:name w:val="Subtitle"/>
    <w:basedOn w:val="Normal"/>
    <w:next w:val="Normal"/>
    <w:link w:val="SubttuloChar"/>
    <w:uiPriority w:val="11"/>
    <w:rsid w:val="00002B5D"/>
    <w:pPr>
      <w:spacing w:after="60"/>
      <w:jc w:val="center"/>
      <w:outlineLvl w:val="1"/>
    </w:pPr>
    <w:rPr>
      <w:rFonts w:ascii="Calibri Light" w:eastAsia="Times New Roman" w:hAnsi="Calibri Light" w:cs="Times New Roman"/>
      <w:sz w:val="24"/>
      <w:szCs w:val="24"/>
      <w:lang w:eastAsia="en-US"/>
    </w:rPr>
  </w:style>
  <w:style w:type="character" w:customStyle="1" w:styleId="SubttuloChar">
    <w:name w:val="Subtítulo Char"/>
    <w:basedOn w:val="Fontepargpadro"/>
    <w:link w:val="Subttulo"/>
    <w:uiPriority w:val="11"/>
    <w:rsid w:val="00002B5D"/>
    <w:rPr>
      <w:rFonts w:ascii="Calibri Light" w:eastAsia="Times New Roman" w:hAnsi="Calibri Light" w:cs="Times New Roman"/>
      <w:sz w:val="24"/>
      <w:szCs w:val="24"/>
      <w:lang w:eastAsia="en-US"/>
    </w:rPr>
  </w:style>
  <w:style w:type="paragraph" w:customStyle="1" w:styleId="TextoRef">
    <w:name w:val="Texto Ref"/>
    <w:basedOn w:val="Texto"/>
    <w:link w:val="TextoRefChar"/>
    <w:rsid w:val="00FF7A4A"/>
    <w:pPr>
      <w:spacing w:line="240" w:lineRule="auto"/>
      <w:ind w:firstLine="0"/>
      <w:contextualSpacing/>
    </w:pPr>
    <w:rPr>
      <w:color w:val="000000"/>
      <w:lang w:eastAsia="en-US"/>
    </w:rPr>
  </w:style>
  <w:style w:type="character" w:customStyle="1" w:styleId="TextoRefChar">
    <w:name w:val="Texto Ref Char"/>
    <w:basedOn w:val="TextoChar"/>
    <w:link w:val="TextoRef"/>
    <w:rsid w:val="00FF7A4A"/>
    <w:rPr>
      <w:rFonts w:ascii="Arial" w:eastAsia="Calibri" w:hAnsi="Arial" w:cs="Arial"/>
      <w:color w:val="000000"/>
      <w:sz w:val="24"/>
      <w:szCs w:val="24"/>
      <w:lang w:eastAsia="en-US"/>
    </w:rPr>
  </w:style>
  <w:style w:type="character" w:customStyle="1" w:styleId="TextodeRefChar0">
    <w:name w:val="Texto de Ref Char"/>
    <w:basedOn w:val="Fontepargpadro"/>
    <w:link w:val="TextodeRef0"/>
    <w:locked/>
    <w:rsid w:val="00FF7A4A"/>
    <w:rPr>
      <w:rFonts w:ascii="Arial" w:eastAsia="Helvetica" w:hAnsi="Arial" w:cs="Arial"/>
      <w:sz w:val="24"/>
      <w:szCs w:val="24"/>
    </w:rPr>
  </w:style>
  <w:style w:type="paragraph" w:customStyle="1" w:styleId="TextodeRef0">
    <w:name w:val="Texto de Ref"/>
    <w:basedOn w:val="Normal"/>
    <w:link w:val="TextodeRefChar0"/>
    <w:rsid w:val="00FF7A4A"/>
    <w:pPr>
      <w:spacing w:after="0" w:line="240" w:lineRule="auto"/>
      <w:jc w:val="both"/>
    </w:pPr>
    <w:rPr>
      <w:rFonts w:ascii="Arial" w:eastAsia="Helvetica" w:hAnsi="Arial" w:cs="Arial"/>
      <w:sz w:val="24"/>
      <w:szCs w:val="24"/>
    </w:rPr>
  </w:style>
  <w:style w:type="paragraph" w:customStyle="1" w:styleId="I">
    <w:name w:val="I"/>
    <w:basedOn w:val="II"/>
    <w:link w:val="IChar"/>
    <w:qFormat/>
    <w:rsid w:val="00DC0807"/>
    <w:rPr>
      <w:b/>
      <w:caps/>
    </w:rPr>
  </w:style>
  <w:style w:type="character" w:customStyle="1" w:styleId="IChar">
    <w:name w:val="I Char"/>
    <w:basedOn w:val="IIChar"/>
    <w:link w:val="I"/>
    <w:rsid w:val="00DC0807"/>
    <w:rPr>
      <w:rFonts w:ascii="Arial" w:eastAsia="Times New Roman" w:hAnsi="Arial" w:cs="Arial"/>
      <w:b/>
      <w:caps/>
      <w:sz w:val="24"/>
      <w:szCs w:val="24"/>
    </w:rPr>
  </w:style>
  <w:style w:type="paragraph" w:styleId="Textodebalo">
    <w:name w:val="Balloon Text"/>
    <w:basedOn w:val="Normal"/>
    <w:link w:val="TextodebaloChar"/>
    <w:uiPriority w:val="99"/>
    <w:semiHidden/>
    <w:unhideWhenUsed/>
    <w:rsid w:val="00B517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17CC"/>
    <w:rPr>
      <w:rFonts w:ascii="Segoe UI" w:hAnsi="Segoe UI" w:cs="Segoe UI"/>
      <w:sz w:val="18"/>
      <w:szCs w:val="18"/>
    </w:rPr>
  </w:style>
  <w:style w:type="paragraph" w:customStyle="1" w:styleId="Resumo">
    <w:name w:val="Resumo"/>
    <w:basedOn w:val="Normal"/>
    <w:link w:val="ResumoChar"/>
    <w:qFormat/>
    <w:rsid w:val="00E0510D"/>
    <w:pPr>
      <w:tabs>
        <w:tab w:val="left" w:pos="708"/>
      </w:tabs>
      <w:suppressAutoHyphens/>
      <w:spacing w:after="0"/>
      <w:jc w:val="both"/>
    </w:pPr>
    <w:rPr>
      <w:rFonts w:ascii="Arial" w:eastAsia="Calibri" w:hAnsi="Arial" w:cs="Arial"/>
      <w:sz w:val="24"/>
      <w:szCs w:val="24"/>
    </w:rPr>
  </w:style>
  <w:style w:type="character" w:customStyle="1" w:styleId="UnresolvedMention">
    <w:name w:val="Unresolved Mention"/>
    <w:basedOn w:val="Fontepargpadro"/>
    <w:uiPriority w:val="99"/>
    <w:semiHidden/>
    <w:unhideWhenUsed/>
    <w:rsid w:val="0005784B"/>
    <w:rPr>
      <w:color w:val="605E5C"/>
      <w:shd w:val="clear" w:color="auto" w:fill="E1DFDD"/>
    </w:rPr>
  </w:style>
  <w:style w:type="character" w:customStyle="1" w:styleId="ResumoChar">
    <w:name w:val="Resumo Char"/>
    <w:basedOn w:val="Fontepargpadro"/>
    <w:link w:val="Resumo"/>
    <w:rsid w:val="00E0510D"/>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75171740">
      <w:bodyDiv w:val="1"/>
      <w:marLeft w:val="0"/>
      <w:marRight w:val="0"/>
      <w:marTop w:val="0"/>
      <w:marBottom w:val="0"/>
      <w:divBdr>
        <w:top w:val="none" w:sz="0" w:space="0" w:color="auto"/>
        <w:left w:val="none" w:sz="0" w:space="0" w:color="auto"/>
        <w:bottom w:val="none" w:sz="0" w:space="0" w:color="auto"/>
        <w:right w:val="none" w:sz="0" w:space="0" w:color="auto"/>
      </w:divBdr>
    </w:div>
    <w:div w:id="106168777">
      <w:bodyDiv w:val="1"/>
      <w:marLeft w:val="0"/>
      <w:marRight w:val="0"/>
      <w:marTop w:val="0"/>
      <w:marBottom w:val="0"/>
      <w:divBdr>
        <w:top w:val="none" w:sz="0" w:space="0" w:color="auto"/>
        <w:left w:val="none" w:sz="0" w:space="0" w:color="auto"/>
        <w:bottom w:val="none" w:sz="0" w:space="0" w:color="auto"/>
        <w:right w:val="none" w:sz="0" w:space="0" w:color="auto"/>
      </w:divBdr>
    </w:div>
    <w:div w:id="114565279">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230359329">
      <w:bodyDiv w:val="1"/>
      <w:marLeft w:val="0"/>
      <w:marRight w:val="0"/>
      <w:marTop w:val="0"/>
      <w:marBottom w:val="0"/>
      <w:divBdr>
        <w:top w:val="none" w:sz="0" w:space="0" w:color="auto"/>
        <w:left w:val="none" w:sz="0" w:space="0" w:color="auto"/>
        <w:bottom w:val="none" w:sz="0" w:space="0" w:color="auto"/>
        <w:right w:val="none" w:sz="0" w:space="0" w:color="auto"/>
      </w:divBdr>
    </w:div>
    <w:div w:id="253052002">
      <w:bodyDiv w:val="1"/>
      <w:marLeft w:val="0"/>
      <w:marRight w:val="0"/>
      <w:marTop w:val="0"/>
      <w:marBottom w:val="0"/>
      <w:divBdr>
        <w:top w:val="none" w:sz="0" w:space="0" w:color="auto"/>
        <w:left w:val="none" w:sz="0" w:space="0" w:color="auto"/>
        <w:bottom w:val="none" w:sz="0" w:space="0" w:color="auto"/>
        <w:right w:val="none" w:sz="0" w:space="0" w:color="auto"/>
      </w:divBdr>
    </w:div>
    <w:div w:id="253904882">
      <w:bodyDiv w:val="1"/>
      <w:marLeft w:val="0"/>
      <w:marRight w:val="0"/>
      <w:marTop w:val="0"/>
      <w:marBottom w:val="0"/>
      <w:divBdr>
        <w:top w:val="none" w:sz="0" w:space="0" w:color="auto"/>
        <w:left w:val="none" w:sz="0" w:space="0" w:color="auto"/>
        <w:bottom w:val="none" w:sz="0" w:space="0" w:color="auto"/>
        <w:right w:val="none" w:sz="0" w:space="0" w:color="auto"/>
      </w:divBdr>
    </w:div>
    <w:div w:id="312376183">
      <w:bodyDiv w:val="1"/>
      <w:marLeft w:val="0"/>
      <w:marRight w:val="0"/>
      <w:marTop w:val="0"/>
      <w:marBottom w:val="0"/>
      <w:divBdr>
        <w:top w:val="none" w:sz="0" w:space="0" w:color="auto"/>
        <w:left w:val="none" w:sz="0" w:space="0" w:color="auto"/>
        <w:bottom w:val="none" w:sz="0" w:space="0" w:color="auto"/>
        <w:right w:val="none" w:sz="0" w:space="0" w:color="auto"/>
      </w:divBdr>
    </w:div>
    <w:div w:id="346637778">
      <w:bodyDiv w:val="1"/>
      <w:marLeft w:val="0"/>
      <w:marRight w:val="0"/>
      <w:marTop w:val="0"/>
      <w:marBottom w:val="0"/>
      <w:divBdr>
        <w:top w:val="none" w:sz="0" w:space="0" w:color="auto"/>
        <w:left w:val="none" w:sz="0" w:space="0" w:color="auto"/>
        <w:bottom w:val="none" w:sz="0" w:space="0" w:color="auto"/>
        <w:right w:val="none" w:sz="0" w:space="0" w:color="auto"/>
      </w:divBdr>
    </w:div>
    <w:div w:id="377555333">
      <w:bodyDiv w:val="1"/>
      <w:marLeft w:val="0"/>
      <w:marRight w:val="0"/>
      <w:marTop w:val="0"/>
      <w:marBottom w:val="0"/>
      <w:divBdr>
        <w:top w:val="none" w:sz="0" w:space="0" w:color="auto"/>
        <w:left w:val="none" w:sz="0" w:space="0" w:color="auto"/>
        <w:bottom w:val="none" w:sz="0" w:space="0" w:color="auto"/>
        <w:right w:val="none" w:sz="0" w:space="0" w:color="auto"/>
      </w:divBdr>
    </w:div>
    <w:div w:id="382368472">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548035315">
      <w:bodyDiv w:val="1"/>
      <w:marLeft w:val="0"/>
      <w:marRight w:val="0"/>
      <w:marTop w:val="0"/>
      <w:marBottom w:val="0"/>
      <w:divBdr>
        <w:top w:val="none" w:sz="0" w:space="0" w:color="auto"/>
        <w:left w:val="none" w:sz="0" w:space="0" w:color="auto"/>
        <w:bottom w:val="none" w:sz="0" w:space="0" w:color="auto"/>
        <w:right w:val="none" w:sz="0" w:space="0" w:color="auto"/>
      </w:divBdr>
    </w:div>
    <w:div w:id="582615081">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622271528">
      <w:bodyDiv w:val="1"/>
      <w:marLeft w:val="0"/>
      <w:marRight w:val="0"/>
      <w:marTop w:val="0"/>
      <w:marBottom w:val="0"/>
      <w:divBdr>
        <w:top w:val="none" w:sz="0" w:space="0" w:color="auto"/>
        <w:left w:val="none" w:sz="0" w:space="0" w:color="auto"/>
        <w:bottom w:val="none" w:sz="0" w:space="0" w:color="auto"/>
        <w:right w:val="none" w:sz="0" w:space="0" w:color="auto"/>
      </w:divBdr>
    </w:div>
    <w:div w:id="704333635">
      <w:bodyDiv w:val="1"/>
      <w:marLeft w:val="0"/>
      <w:marRight w:val="0"/>
      <w:marTop w:val="0"/>
      <w:marBottom w:val="0"/>
      <w:divBdr>
        <w:top w:val="none" w:sz="0" w:space="0" w:color="auto"/>
        <w:left w:val="none" w:sz="0" w:space="0" w:color="auto"/>
        <w:bottom w:val="none" w:sz="0" w:space="0" w:color="auto"/>
        <w:right w:val="none" w:sz="0" w:space="0" w:color="auto"/>
      </w:divBdr>
    </w:div>
    <w:div w:id="712968602">
      <w:bodyDiv w:val="1"/>
      <w:marLeft w:val="0"/>
      <w:marRight w:val="0"/>
      <w:marTop w:val="0"/>
      <w:marBottom w:val="0"/>
      <w:divBdr>
        <w:top w:val="none" w:sz="0" w:space="0" w:color="auto"/>
        <w:left w:val="none" w:sz="0" w:space="0" w:color="auto"/>
        <w:bottom w:val="none" w:sz="0" w:space="0" w:color="auto"/>
        <w:right w:val="none" w:sz="0" w:space="0" w:color="auto"/>
      </w:divBdr>
    </w:div>
    <w:div w:id="755707434">
      <w:bodyDiv w:val="1"/>
      <w:marLeft w:val="0"/>
      <w:marRight w:val="0"/>
      <w:marTop w:val="0"/>
      <w:marBottom w:val="0"/>
      <w:divBdr>
        <w:top w:val="none" w:sz="0" w:space="0" w:color="auto"/>
        <w:left w:val="none" w:sz="0" w:space="0" w:color="auto"/>
        <w:bottom w:val="none" w:sz="0" w:space="0" w:color="auto"/>
        <w:right w:val="none" w:sz="0" w:space="0" w:color="auto"/>
      </w:divBdr>
    </w:div>
    <w:div w:id="768042166">
      <w:bodyDiv w:val="1"/>
      <w:marLeft w:val="0"/>
      <w:marRight w:val="0"/>
      <w:marTop w:val="0"/>
      <w:marBottom w:val="0"/>
      <w:divBdr>
        <w:top w:val="none" w:sz="0" w:space="0" w:color="auto"/>
        <w:left w:val="none" w:sz="0" w:space="0" w:color="auto"/>
        <w:bottom w:val="none" w:sz="0" w:space="0" w:color="auto"/>
        <w:right w:val="none" w:sz="0" w:space="0" w:color="auto"/>
      </w:divBdr>
    </w:div>
    <w:div w:id="781072628">
      <w:bodyDiv w:val="1"/>
      <w:marLeft w:val="0"/>
      <w:marRight w:val="0"/>
      <w:marTop w:val="0"/>
      <w:marBottom w:val="0"/>
      <w:divBdr>
        <w:top w:val="none" w:sz="0" w:space="0" w:color="auto"/>
        <w:left w:val="none" w:sz="0" w:space="0" w:color="auto"/>
        <w:bottom w:val="none" w:sz="0" w:space="0" w:color="auto"/>
        <w:right w:val="none" w:sz="0" w:space="0" w:color="auto"/>
      </w:divBdr>
    </w:div>
    <w:div w:id="795221042">
      <w:bodyDiv w:val="1"/>
      <w:marLeft w:val="0"/>
      <w:marRight w:val="0"/>
      <w:marTop w:val="0"/>
      <w:marBottom w:val="0"/>
      <w:divBdr>
        <w:top w:val="none" w:sz="0" w:space="0" w:color="auto"/>
        <w:left w:val="none" w:sz="0" w:space="0" w:color="auto"/>
        <w:bottom w:val="none" w:sz="0" w:space="0" w:color="auto"/>
        <w:right w:val="none" w:sz="0" w:space="0" w:color="auto"/>
      </w:divBdr>
    </w:div>
    <w:div w:id="814177864">
      <w:bodyDiv w:val="1"/>
      <w:marLeft w:val="0"/>
      <w:marRight w:val="0"/>
      <w:marTop w:val="0"/>
      <w:marBottom w:val="0"/>
      <w:divBdr>
        <w:top w:val="none" w:sz="0" w:space="0" w:color="auto"/>
        <w:left w:val="none" w:sz="0" w:space="0" w:color="auto"/>
        <w:bottom w:val="none" w:sz="0" w:space="0" w:color="auto"/>
        <w:right w:val="none" w:sz="0" w:space="0" w:color="auto"/>
      </w:divBdr>
    </w:div>
    <w:div w:id="831720902">
      <w:bodyDiv w:val="1"/>
      <w:marLeft w:val="0"/>
      <w:marRight w:val="0"/>
      <w:marTop w:val="0"/>
      <w:marBottom w:val="0"/>
      <w:divBdr>
        <w:top w:val="none" w:sz="0" w:space="0" w:color="auto"/>
        <w:left w:val="none" w:sz="0" w:space="0" w:color="auto"/>
        <w:bottom w:val="none" w:sz="0" w:space="0" w:color="auto"/>
        <w:right w:val="none" w:sz="0" w:space="0" w:color="auto"/>
      </w:divBdr>
    </w:div>
    <w:div w:id="836379813">
      <w:bodyDiv w:val="1"/>
      <w:marLeft w:val="0"/>
      <w:marRight w:val="0"/>
      <w:marTop w:val="0"/>
      <w:marBottom w:val="0"/>
      <w:divBdr>
        <w:top w:val="none" w:sz="0" w:space="0" w:color="auto"/>
        <w:left w:val="none" w:sz="0" w:space="0" w:color="auto"/>
        <w:bottom w:val="none" w:sz="0" w:space="0" w:color="auto"/>
        <w:right w:val="none" w:sz="0" w:space="0" w:color="auto"/>
      </w:divBdr>
    </w:div>
    <w:div w:id="955603157">
      <w:bodyDiv w:val="1"/>
      <w:marLeft w:val="0"/>
      <w:marRight w:val="0"/>
      <w:marTop w:val="0"/>
      <w:marBottom w:val="0"/>
      <w:divBdr>
        <w:top w:val="none" w:sz="0" w:space="0" w:color="auto"/>
        <w:left w:val="none" w:sz="0" w:space="0" w:color="auto"/>
        <w:bottom w:val="none" w:sz="0" w:space="0" w:color="auto"/>
        <w:right w:val="none" w:sz="0" w:space="0" w:color="auto"/>
      </w:divBdr>
    </w:div>
    <w:div w:id="999305802">
      <w:bodyDiv w:val="1"/>
      <w:marLeft w:val="0"/>
      <w:marRight w:val="0"/>
      <w:marTop w:val="0"/>
      <w:marBottom w:val="0"/>
      <w:divBdr>
        <w:top w:val="none" w:sz="0" w:space="0" w:color="auto"/>
        <w:left w:val="none" w:sz="0" w:space="0" w:color="auto"/>
        <w:bottom w:val="none" w:sz="0" w:space="0" w:color="auto"/>
        <w:right w:val="none" w:sz="0" w:space="0" w:color="auto"/>
      </w:divBdr>
    </w:div>
    <w:div w:id="1010452164">
      <w:bodyDiv w:val="1"/>
      <w:marLeft w:val="0"/>
      <w:marRight w:val="0"/>
      <w:marTop w:val="0"/>
      <w:marBottom w:val="0"/>
      <w:divBdr>
        <w:top w:val="none" w:sz="0" w:space="0" w:color="auto"/>
        <w:left w:val="none" w:sz="0" w:space="0" w:color="auto"/>
        <w:bottom w:val="none" w:sz="0" w:space="0" w:color="auto"/>
        <w:right w:val="none" w:sz="0" w:space="0" w:color="auto"/>
      </w:divBdr>
    </w:div>
    <w:div w:id="1040743410">
      <w:bodyDiv w:val="1"/>
      <w:marLeft w:val="0"/>
      <w:marRight w:val="0"/>
      <w:marTop w:val="0"/>
      <w:marBottom w:val="0"/>
      <w:divBdr>
        <w:top w:val="none" w:sz="0" w:space="0" w:color="auto"/>
        <w:left w:val="none" w:sz="0" w:space="0" w:color="auto"/>
        <w:bottom w:val="none" w:sz="0" w:space="0" w:color="auto"/>
        <w:right w:val="none" w:sz="0" w:space="0" w:color="auto"/>
      </w:divBdr>
    </w:div>
    <w:div w:id="1227495842">
      <w:bodyDiv w:val="1"/>
      <w:marLeft w:val="0"/>
      <w:marRight w:val="0"/>
      <w:marTop w:val="0"/>
      <w:marBottom w:val="0"/>
      <w:divBdr>
        <w:top w:val="none" w:sz="0" w:space="0" w:color="auto"/>
        <w:left w:val="none" w:sz="0" w:space="0" w:color="auto"/>
        <w:bottom w:val="none" w:sz="0" w:space="0" w:color="auto"/>
        <w:right w:val="none" w:sz="0" w:space="0" w:color="auto"/>
      </w:divBdr>
    </w:div>
    <w:div w:id="1298218509">
      <w:bodyDiv w:val="1"/>
      <w:marLeft w:val="0"/>
      <w:marRight w:val="0"/>
      <w:marTop w:val="0"/>
      <w:marBottom w:val="0"/>
      <w:divBdr>
        <w:top w:val="none" w:sz="0" w:space="0" w:color="auto"/>
        <w:left w:val="none" w:sz="0" w:space="0" w:color="auto"/>
        <w:bottom w:val="none" w:sz="0" w:space="0" w:color="auto"/>
        <w:right w:val="none" w:sz="0" w:space="0" w:color="auto"/>
      </w:divBdr>
    </w:div>
    <w:div w:id="1356615168">
      <w:bodyDiv w:val="1"/>
      <w:marLeft w:val="0"/>
      <w:marRight w:val="0"/>
      <w:marTop w:val="0"/>
      <w:marBottom w:val="0"/>
      <w:divBdr>
        <w:top w:val="none" w:sz="0" w:space="0" w:color="auto"/>
        <w:left w:val="none" w:sz="0" w:space="0" w:color="auto"/>
        <w:bottom w:val="none" w:sz="0" w:space="0" w:color="auto"/>
        <w:right w:val="none" w:sz="0" w:space="0" w:color="auto"/>
      </w:divBdr>
    </w:div>
    <w:div w:id="1364793672">
      <w:bodyDiv w:val="1"/>
      <w:marLeft w:val="0"/>
      <w:marRight w:val="0"/>
      <w:marTop w:val="0"/>
      <w:marBottom w:val="0"/>
      <w:divBdr>
        <w:top w:val="none" w:sz="0" w:space="0" w:color="auto"/>
        <w:left w:val="none" w:sz="0" w:space="0" w:color="auto"/>
        <w:bottom w:val="none" w:sz="0" w:space="0" w:color="auto"/>
        <w:right w:val="none" w:sz="0" w:space="0" w:color="auto"/>
      </w:divBdr>
    </w:div>
    <w:div w:id="1416900545">
      <w:bodyDiv w:val="1"/>
      <w:marLeft w:val="0"/>
      <w:marRight w:val="0"/>
      <w:marTop w:val="0"/>
      <w:marBottom w:val="0"/>
      <w:divBdr>
        <w:top w:val="none" w:sz="0" w:space="0" w:color="auto"/>
        <w:left w:val="none" w:sz="0" w:space="0" w:color="auto"/>
        <w:bottom w:val="none" w:sz="0" w:space="0" w:color="auto"/>
        <w:right w:val="none" w:sz="0" w:space="0" w:color="auto"/>
      </w:divBdr>
    </w:div>
    <w:div w:id="1418674807">
      <w:bodyDiv w:val="1"/>
      <w:marLeft w:val="0"/>
      <w:marRight w:val="0"/>
      <w:marTop w:val="0"/>
      <w:marBottom w:val="0"/>
      <w:divBdr>
        <w:top w:val="none" w:sz="0" w:space="0" w:color="auto"/>
        <w:left w:val="none" w:sz="0" w:space="0" w:color="auto"/>
        <w:bottom w:val="none" w:sz="0" w:space="0" w:color="auto"/>
        <w:right w:val="none" w:sz="0" w:space="0" w:color="auto"/>
      </w:divBdr>
    </w:div>
    <w:div w:id="1469277323">
      <w:bodyDiv w:val="1"/>
      <w:marLeft w:val="0"/>
      <w:marRight w:val="0"/>
      <w:marTop w:val="0"/>
      <w:marBottom w:val="0"/>
      <w:divBdr>
        <w:top w:val="none" w:sz="0" w:space="0" w:color="auto"/>
        <w:left w:val="none" w:sz="0" w:space="0" w:color="auto"/>
        <w:bottom w:val="none" w:sz="0" w:space="0" w:color="auto"/>
        <w:right w:val="none" w:sz="0" w:space="0" w:color="auto"/>
      </w:divBdr>
    </w:div>
    <w:div w:id="1548296210">
      <w:bodyDiv w:val="1"/>
      <w:marLeft w:val="0"/>
      <w:marRight w:val="0"/>
      <w:marTop w:val="0"/>
      <w:marBottom w:val="0"/>
      <w:divBdr>
        <w:top w:val="none" w:sz="0" w:space="0" w:color="auto"/>
        <w:left w:val="none" w:sz="0" w:space="0" w:color="auto"/>
        <w:bottom w:val="none" w:sz="0" w:space="0" w:color="auto"/>
        <w:right w:val="none" w:sz="0" w:space="0" w:color="auto"/>
      </w:divBdr>
    </w:div>
    <w:div w:id="1569683953">
      <w:bodyDiv w:val="1"/>
      <w:marLeft w:val="0"/>
      <w:marRight w:val="0"/>
      <w:marTop w:val="0"/>
      <w:marBottom w:val="0"/>
      <w:divBdr>
        <w:top w:val="none" w:sz="0" w:space="0" w:color="auto"/>
        <w:left w:val="none" w:sz="0" w:space="0" w:color="auto"/>
        <w:bottom w:val="none" w:sz="0" w:space="0" w:color="auto"/>
        <w:right w:val="none" w:sz="0" w:space="0" w:color="auto"/>
      </w:divBdr>
    </w:div>
    <w:div w:id="1627660902">
      <w:bodyDiv w:val="1"/>
      <w:marLeft w:val="0"/>
      <w:marRight w:val="0"/>
      <w:marTop w:val="0"/>
      <w:marBottom w:val="0"/>
      <w:divBdr>
        <w:top w:val="none" w:sz="0" w:space="0" w:color="auto"/>
        <w:left w:val="none" w:sz="0" w:space="0" w:color="auto"/>
        <w:bottom w:val="none" w:sz="0" w:space="0" w:color="auto"/>
        <w:right w:val="none" w:sz="0" w:space="0" w:color="auto"/>
      </w:divBdr>
    </w:div>
    <w:div w:id="1708409458">
      <w:bodyDiv w:val="1"/>
      <w:marLeft w:val="0"/>
      <w:marRight w:val="0"/>
      <w:marTop w:val="0"/>
      <w:marBottom w:val="0"/>
      <w:divBdr>
        <w:top w:val="none" w:sz="0" w:space="0" w:color="auto"/>
        <w:left w:val="none" w:sz="0" w:space="0" w:color="auto"/>
        <w:bottom w:val="none" w:sz="0" w:space="0" w:color="auto"/>
        <w:right w:val="none" w:sz="0" w:space="0" w:color="auto"/>
      </w:divBdr>
    </w:div>
    <w:div w:id="1721782111">
      <w:bodyDiv w:val="1"/>
      <w:marLeft w:val="0"/>
      <w:marRight w:val="0"/>
      <w:marTop w:val="0"/>
      <w:marBottom w:val="0"/>
      <w:divBdr>
        <w:top w:val="none" w:sz="0" w:space="0" w:color="auto"/>
        <w:left w:val="none" w:sz="0" w:space="0" w:color="auto"/>
        <w:bottom w:val="none" w:sz="0" w:space="0" w:color="auto"/>
        <w:right w:val="none" w:sz="0" w:space="0" w:color="auto"/>
      </w:divBdr>
    </w:div>
    <w:div w:id="1761682649">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03229829">
      <w:bodyDiv w:val="1"/>
      <w:marLeft w:val="0"/>
      <w:marRight w:val="0"/>
      <w:marTop w:val="0"/>
      <w:marBottom w:val="0"/>
      <w:divBdr>
        <w:top w:val="none" w:sz="0" w:space="0" w:color="auto"/>
        <w:left w:val="none" w:sz="0" w:space="0" w:color="auto"/>
        <w:bottom w:val="none" w:sz="0" w:space="0" w:color="auto"/>
        <w:right w:val="none" w:sz="0" w:space="0" w:color="auto"/>
      </w:divBdr>
    </w:div>
    <w:div w:id="1809587665">
      <w:bodyDiv w:val="1"/>
      <w:marLeft w:val="0"/>
      <w:marRight w:val="0"/>
      <w:marTop w:val="0"/>
      <w:marBottom w:val="0"/>
      <w:divBdr>
        <w:top w:val="none" w:sz="0" w:space="0" w:color="auto"/>
        <w:left w:val="none" w:sz="0" w:space="0" w:color="auto"/>
        <w:bottom w:val="none" w:sz="0" w:space="0" w:color="auto"/>
        <w:right w:val="none" w:sz="0" w:space="0" w:color="auto"/>
      </w:divBdr>
    </w:div>
    <w:div w:id="1819423407">
      <w:bodyDiv w:val="1"/>
      <w:marLeft w:val="0"/>
      <w:marRight w:val="0"/>
      <w:marTop w:val="0"/>
      <w:marBottom w:val="0"/>
      <w:divBdr>
        <w:top w:val="none" w:sz="0" w:space="0" w:color="auto"/>
        <w:left w:val="none" w:sz="0" w:space="0" w:color="auto"/>
        <w:bottom w:val="none" w:sz="0" w:space="0" w:color="auto"/>
        <w:right w:val="none" w:sz="0" w:space="0" w:color="auto"/>
      </w:divBdr>
    </w:div>
    <w:div w:id="1820031227">
      <w:bodyDiv w:val="1"/>
      <w:marLeft w:val="0"/>
      <w:marRight w:val="0"/>
      <w:marTop w:val="0"/>
      <w:marBottom w:val="0"/>
      <w:divBdr>
        <w:top w:val="none" w:sz="0" w:space="0" w:color="auto"/>
        <w:left w:val="none" w:sz="0" w:space="0" w:color="auto"/>
        <w:bottom w:val="none" w:sz="0" w:space="0" w:color="auto"/>
        <w:right w:val="none" w:sz="0" w:space="0" w:color="auto"/>
      </w:divBdr>
    </w:div>
    <w:div w:id="1866753381">
      <w:bodyDiv w:val="1"/>
      <w:marLeft w:val="0"/>
      <w:marRight w:val="0"/>
      <w:marTop w:val="0"/>
      <w:marBottom w:val="0"/>
      <w:divBdr>
        <w:top w:val="none" w:sz="0" w:space="0" w:color="auto"/>
        <w:left w:val="none" w:sz="0" w:space="0" w:color="auto"/>
        <w:bottom w:val="none" w:sz="0" w:space="0" w:color="auto"/>
        <w:right w:val="none" w:sz="0" w:space="0" w:color="auto"/>
      </w:divBdr>
    </w:div>
    <w:div w:id="1913077075">
      <w:bodyDiv w:val="1"/>
      <w:marLeft w:val="0"/>
      <w:marRight w:val="0"/>
      <w:marTop w:val="0"/>
      <w:marBottom w:val="0"/>
      <w:divBdr>
        <w:top w:val="none" w:sz="0" w:space="0" w:color="auto"/>
        <w:left w:val="none" w:sz="0" w:space="0" w:color="auto"/>
        <w:bottom w:val="none" w:sz="0" w:space="0" w:color="auto"/>
        <w:right w:val="none" w:sz="0" w:space="0" w:color="auto"/>
      </w:divBdr>
    </w:div>
    <w:div w:id="1919554133">
      <w:bodyDiv w:val="1"/>
      <w:marLeft w:val="0"/>
      <w:marRight w:val="0"/>
      <w:marTop w:val="0"/>
      <w:marBottom w:val="0"/>
      <w:divBdr>
        <w:top w:val="none" w:sz="0" w:space="0" w:color="auto"/>
        <w:left w:val="none" w:sz="0" w:space="0" w:color="auto"/>
        <w:bottom w:val="none" w:sz="0" w:space="0" w:color="auto"/>
        <w:right w:val="none" w:sz="0" w:space="0" w:color="auto"/>
      </w:divBdr>
    </w:div>
    <w:div w:id="1953783574">
      <w:bodyDiv w:val="1"/>
      <w:marLeft w:val="0"/>
      <w:marRight w:val="0"/>
      <w:marTop w:val="0"/>
      <w:marBottom w:val="0"/>
      <w:divBdr>
        <w:top w:val="none" w:sz="0" w:space="0" w:color="auto"/>
        <w:left w:val="none" w:sz="0" w:space="0" w:color="auto"/>
        <w:bottom w:val="none" w:sz="0" w:space="0" w:color="auto"/>
        <w:right w:val="none" w:sz="0" w:space="0" w:color="auto"/>
      </w:divBdr>
    </w:div>
    <w:div w:id="1990404330">
      <w:bodyDiv w:val="1"/>
      <w:marLeft w:val="0"/>
      <w:marRight w:val="0"/>
      <w:marTop w:val="0"/>
      <w:marBottom w:val="0"/>
      <w:divBdr>
        <w:top w:val="none" w:sz="0" w:space="0" w:color="auto"/>
        <w:left w:val="none" w:sz="0" w:space="0" w:color="auto"/>
        <w:bottom w:val="none" w:sz="0" w:space="0" w:color="auto"/>
        <w:right w:val="none" w:sz="0" w:space="0" w:color="auto"/>
      </w:divBdr>
    </w:div>
    <w:div w:id="2052340339">
      <w:bodyDiv w:val="1"/>
      <w:marLeft w:val="0"/>
      <w:marRight w:val="0"/>
      <w:marTop w:val="0"/>
      <w:marBottom w:val="0"/>
      <w:divBdr>
        <w:top w:val="none" w:sz="0" w:space="0" w:color="auto"/>
        <w:left w:val="none" w:sz="0" w:space="0" w:color="auto"/>
        <w:bottom w:val="none" w:sz="0" w:space="0" w:color="auto"/>
        <w:right w:val="none" w:sz="0" w:space="0" w:color="auto"/>
      </w:divBdr>
    </w:div>
    <w:div w:id="2134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j.jus.br/cartorios-serao-integrados-ao-combate-a-corrupcao-e-lavagem-de-dinhe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CD80D-6A44-4111-A107-F99D704B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309</TotalTime>
  <Pages>23</Pages>
  <Words>7147</Words>
  <Characters>38594</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Adm</cp:lastModifiedBy>
  <cp:revision>19</cp:revision>
  <dcterms:created xsi:type="dcterms:W3CDTF">2019-11-08T02:18:00Z</dcterms:created>
  <dcterms:modified xsi:type="dcterms:W3CDTF">2019-11-10T03:04:00Z</dcterms:modified>
</cp:coreProperties>
</file>