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746" w:rsidRPr="000A038B" w:rsidRDefault="00397746" w:rsidP="00397746">
      <w:pPr>
        <w:pStyle w:val="NormalWeb"/>
        <w:spacing w:before="0" w:after="0" w:line="360" w:lineRule="auto"/>
        <w:rPr>
          <w:b/>
        </w:rPr>
      </w:pPr>
      <w:r w:rsidRPr="000A038B">
        <w:rPr>
          <w:b/>
        </w:rPr>
        <w:t>CESED – CENTRO DE ENSINO SUPERIOR E DESENVOLVIMENTO</w:t>
      </w:r>
    </w:p>
    <w:p w:rsidR="00397746" w:rsidRPr="000A038B" w:rsidRDefault="00397746" w:rsidP="00397746">
      <w:pPr>
        <w:pStyle w:val="NormalWeb"/>
        <w:spacing w:before="0" w:after="0" w:line="360" w:lineRule="auto"/>
        <w:rPr>
          <w:b/>
        </w:rPr>
      </w:pPr>
      <w:r w:rsidRPr="000A038B">
        <w:rPr>
          <w:b/>
        </w:rPr>
        <w:t>UNIFACISA – CENTRO UNIVERSITÁRIO</w:t>
      </w:r>
    </w:p>
    <w:p w:rsidR="00397746" w:rsidRDefault="00397746" w:rsidP="00397746">
      <w:pPr>
        <w:pStyle w:val="NormalWeb"/>
        <w:spacing w:before="0" w:after="0" w:line="360" w:lineRule="auto"/>
        <w:rPr>
          <w:b/>
        </w:rPr>
      </w:pPr>
      <w:r w:rsidRPr="000A038B">
        <w:rPr>
          <w:b/>
        </w:rPr>
        <w:t>CURSO DE BACHARELADO EM DIREITO</w:t>
      </w:r>
    </w:p>
    <w:p w:rsidR="000F6850" w:rsidRDefault="000F6850" w:rsidP="00397746">
      <w:pPr>
        <w:pStyle w:val="NormalWeb"/>
        <w:spacing w:before="0" w:after="0" w:line="360" w:lineRule="auto"/>
        <w:rPr>
          <w:b/>
        </w:rPr>
      </w:pPr>
    </w:p>
    <w:p w:rsidR="000F6850" w:rsidRPr="000A038B" w:rsidRDefault="000F6850"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r>
        <w:rPr>
          <w:b/>
        </w:rPr>
        <w:t>KAREN CAROLINE DE LIMA LEITE</w:t>
      </w: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Pr="000A038B" w:rsidRDefault="00397746" w:rsidP="003977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ESTUPRO DE VULNERÁVEL: A PRESUNÇÃO DE VIOLÊNCIA SOB A ÓTICA DO ESTATUTO DA CRIANÇA E DO ADOLESCENTE</w:t>
      </w:r>
    </w:p>
    <w:p w:rsidR="00397746" w:rsidRPr="000A038B" w:rsidRDefault="00397746" w:rsidP="00397746">
      <w:pPr>
        <w:pStyle w:val="NormalWeb"/>
        <w:spacing w:before="0" w:after="0" w:line="360" w:lineRule="auto"/>
        <w:rPr>
          <w:b/>
        </w:rPr>
      </w:pPr>
    </w:p>
    <w:p w:rsidR="00397746" w:rsidRPr="000A038B" w:rsidRDefault="00397746" w:rsidP="00397746">
      <w:pPr>
        <w:pStyle w:val="NormalWeb"/>
        <w:spacing w:before="0" w:after="0" w:line="360" w:lineRule="auto"/>
        <w:rPr>
          <w:b/>
        </w:rPr>
      </w:pPr>
    </w:p>
    <w:p w:rsidR="00397746" w:rsidRDefault="00397746">
      <w:pPr>
        <w:pStyle w:val="Padro"/>
        <w:spacing w:after="0" w:line="360" w:lineRule="auto"/>
      </w:pPr>
    </w:p>
    <w:p w:rsidR="00397746" w:rsidRDefault="00397746">
      <w:pPr>
        <w:pStyle w:val="Padro"/>
        <w:spacing w:after="0" w:line="360" w:lineRule="auto"/>
      </w:pPr>
    </w:p>
    <w:p w:rsidR="00397746" w:rsidRDefault="00397746">
      <w:pPr>
        <w:pStyle w:val="Padro"/>
        <w:spacing w:after="0" w:line="360" w:lineRule="auto"/>
      </w:pPr>
    </w:p>
    <w:p w:rsidR="00C338F5" w:rsidRDefault="00C338F5" w:rsidP="00397746">
      <w:pPr>
        <w:pStyle w:val="Padro"/>
        <w:spacing w:after="0" w:line="100" w:lineRule="atLeast"/>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D666B7" w:rsidRDefault="00D666B7">
      <w:pPr>
        <w:pStyle w:val="Padro"/>
        <w:spacing w:after="0" w:line="100" w:lineRule="atLeast"/>
        <w:jc w:val="center"/>
      </w:pPr>
    </w:p>
    <w:p w:rsidR="00D666B7" w:rsidRDefault="00D666B7">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ind w:right="-568"/>
        <w:jc w:val="center"/>
      </w:pPr>
    </w:p>
    <w:p w:rsidR="00C338F5" w:rsidRDefault="00C338F5">
      <w:pPr>
        <w:pStyle w:val="Padro"/>
        <w:spacing w:after="0" w:line="100" w:lineRule="atLeast"/>
        <w:jc w:val="center"/>
      </w:pPr>
    </w:p>
    <w:p w:rsidR="000F3521" w:rsidRDefault="000F3521">
      <w:pPr>
        <w:pStyle w:val="Padro"/>
        <w:spacing w:after="0" w:line="100" w:lineRule="atLeast"/>
        <w:jc w:val="center"/>
      </w:pPr>
    </w:p>
    <w:p w:rsidR="000F3521" w:rsidRDefault="000F3521">
      <w:pPr>
        <w:pStyle w:val="Padro"/>
        <w:spacing w:after="0" w:line="100" w:lineRule="atLeast"/>
        <w:jc w:val="center"/>
      </w:pPr>
    </w:p>
    <w:p w:rsidR="000F3521" w:rsidRDefault="000F3521">
      <w:pPr>
        <w:pStyle w:val="Padro"/>
        <w:spacing w:after="0" w:line="100" w:lineRule="atLeast"/>
        <w:jc w:val="center"/>
      </w:pPr>
    </w:p>
    <w:p w:rsidR="000F3521" w:rsidRDefault="000F3521">
      <w:pPr>
        <w:pStyle w:val="Padro"/>
        <w:spacing w:after="0" w:line="100" w:lineRule="atLeast"/>
        <w:jc w:val="center"/>
      </w:pPr>
    </w:p>
    <w:p w:rsidR="00C338F5" w:rsidRDefault="00C338F5" w:rsidP="006A574C">
      <w:pPr>
        <w:pStyle w:val="Padro"/>
        <w:spacing w:after="0" w:line="100" w:lineRule="atLeast"/>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Pr="00397746" w:rsidRDefault="000F3521">
      <w:pPr>
        <w:pStyle w:val="Padro"/>
        <w:spacing w:after="0" w:line="100" w:lineRule="atLeast"/>
        <w:jc w:val="center"/>
        <w:rPr>
          <w:b/>
          <w:sz w:val="20"/>
        </w:rPr>
      </w:pPr>
      <w:r w:rsidRPr="00397746">
        <w:rPr>
          <w:rFonts w:ascii="Times New Roman" w:hAnsi="Times New Roman"/>
          <w:b/>
          <w:sz w:val="24"/>
          <w:szCs w:val="28"/>
        </w:rPr>
        <w:t>CAMPINA GRANDE-PB</w:t>
      </w:r>
    </w:p>
    <w:p w:rsidR="000F6850" w:rsidRDefault="000F3521" w:rsidP="000F6850">
      <w:pPr>
        <w:pStyle w:val="Padro"/>
        <w:spacing w:after="0" w:line="100" w:lineRule="atLeast"/>
        <w:jc w:val="center"/>
        <w:rPr>
          <w:rFonts w:ascii="Times New Roman" w:hAnsi="Times New Roman"/>
          <w:b/>
          <w:sz w:val="24"/>
          <w:szCs w:val="28"/>
        </w:rPr>
      </w:pPr>
      <w:r w:rsidRPr="00397746">
        <w:rPr>
          <w:rFonts w:ascii="Times New Roman" w:hAnsi="Times New Roman"/>
          <w:b/>
          <w:sz w:val="24"/>
          <w:szCs w:val="28"/>
        </w:rPr>
        <w:t>201</w:t>
      </w:r>
      <w:r w:rsidR="00862089" w:rsidRPr="00397746">
        <w:rPr>
          <w:rFonts w:ascii="Times New Roman" w:hAnsi="Times New Roman"/>
          <w:b/>
          <w:sz w:val="24"/>
          <w:szCs w:val="28"/>
        </w:rPr>
        <w:t>9</w:t>
      </w:r>
    </w:p>
    <w:p w:rsidR="00397746" w:rsidRDefault="00862089" w:rsidP="000F6850">
      <w:pPr>
        <w:pStyle w:val="Padro"/>
        <w:spacing w:after="0" w:line="100" w:lineRule="atLeast"/>
        <w:jc w:val="center"/>
        <w:rPr>
          <w:rFonts w:ascii="Times New Roman" w:hAnsi="Times New Roman"/>
          <w:b/>
          <w:sz w:val="24"/>
          <w:szCs w:val="28"/>
        </w:rPr>
      </w:pPr>
      <w:r w:rsidRPr="006A574C">
        <w:rPr>
          <w:rFonts w:ascii="Times New Roman" w:hAnsi="Times New Roman"/>
          <w:sz w:val="24"/>
          <w:szCs w:val="32"/>
        </w:rPr>
        <w:lastRenderedPageBreak/>
        <w:t>KAREN CAROLINE DE LIMA LEITE</w:t>
      </w:r>
    </w:p>
    <w:p w:rsidR="000F6850" w:rsidRDefault="000F6850" w:rsidP="000F6850">
      <w:pPr>
        <w:pStyle w:val="Padro"/>
        <w:spacing w:after="0" w:line="100" w:lineRule="atLeast"/>
        <w:jc w:val="center"/>
        <w:rPr>
          <w:rFonts w:ascii="Times New Roman" w:hAnsi="Times New Roman"/>
          <w:b/>
          <w:sz w:val="24"/>
          <w:szCs w:val="28"/>
        </w:rPr>
      </w:pPr>
    </w:p>
    <w:p w:rsidR="000F6850" w:rsidRDefault="000F6850" w:rsidP="000F6850">
      <w:pPr>
        <w:pStyle w:val="Padro"/>
        <w:spacing w:after="0" w:line="100" w:lineRule="atLeast"/>
        <w:jc w:val="center"/>
        <w:rPr>
          <w:rFonts w:ascii="Times New Roman" w:hAnsi="Times New Roman"/>
          <w:b/>
          <w:sz w:val="24"/>
          <w:szCs w:val="28"/>
        </w:rPr>
      </w:pPr>
    </w:p>
    <w:p w:rsidR="000F6850" w:rsidRDefault="000F6850" w:rsidP="000F6850">
      <w:pPr>
        <w:pStyle w:val="Padro"/>
        <w:spacing w:after="0" w:line="100" w:lineRule="atLeast"/>
        <w:jc w:val="center"/>
        <w:rPr>
          <w:rFonts w:ascii="Times New Roman" w:hAnsi="Times New Roman"/>
          <w:b/>
          <w:sz w:val="24"/>
          <w:szCs w:val="28"/>
        </w:rPr>
      </w:pPr>
    </w:p>
    <w:p w:rsidR="000F6850" w:rsidRDefault="000F6850" w:rsidP="000F6850">
      <w:pPr>
        <w:pStyle w:val="Padro"/>
        <w:spacing w:after="0" w:line="100" w:lineRule="atLeast"/>
        <w:jc w:val="center"/>
        <w:rPr>
          <w:rFonts w:ascii="Times New Roman" w:hAnsi="Times New Roman"/>
          <w:b/>
          <w:sz w:val="24"/>
          <w:szCs w:val="28"/>
        </w:rPr>
      </w:pPr>
    </w:p>
    <w:p w:rsidR="000F6850" w:rsidRDefault="000F6850" w:rsidP="000F6850">
      <w:pPr>
        <w:pStyle w:val="Padro"/>
        <w:spacing w:after="0" w:line="100" w:lineRule="atLeast"/>
        <w:jc w:val="center"/>
        <w:rPr>
          <w:rFonts w:ascii="Times New Roman" w:hAnsi="Times New Roman"/>
          <w:b/>
          <w:sz w:val="24"/>
          <w:szCs w:val="28"/>
        </w:rPr>
      </w:pPr>
    </w:p>
    <w:p w:rsidR="000F6850" w:rsidRPr="000F6850" w:rsidRDefault="000F6850" w:rsidP="000F6850">
      <w:pPr>
        <w:pStyle w:val="Padro"/>
        <w:spacing w:after="0" w:line="100" w:lineRule="atLeast"/>
        <w:jc w:val="center"/>
        <w:rPr>
          <w:rFonts w:ascii="Times New Roman" w:hAnsi="Times New Roman"/>
          <w:b/>
          <w:sz w:val="24"/>
          <w:szCs w:val="28"/>
        </w:rPr>
      </w:pPr>
    </w:p>
    <w:p w:rsidR="00397746" w:rsidRPr="000A038B" w:rsidRDefault="00397746" w:rsidP="003977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ESTUPRO DE VULNERÁVEL: A PRESUNÇÃO DE VIOLÊNCIA SOB A ÓTICA DO ESTATUTO DA CRIANÇA E DO ADOLESCENTE</w:t>
      </w:r>
    </w:p>
    <w:p w:rsidR="00397746" w:rsidRPr="000A038B" w:rsidRDefault="00397746" w:rsidP="00397746">
      <w:pPr>
        <w:pStyle w:val="NormalWeb"/>
        <w:spacing w:before="0" w:after="0" w:line="360" w:lineRule="auto"/>
        <w:rPr>
          <w:b/>
        </w:rPr>
      </w:pPr>
    </w:p>
    <w:p w:rsidR="00C338F5" w:rsidRPr="006A574C" w:rsidRDefault="00C338F5">
      <w:pPr>
        <w:pStyle w:val="Padro"/>
        <w:spacing w:after="0" w:line="100" w:lineRule="atLeast"/>
        <w:jc w:val="center"/>
        <w:rPr>
          <w:sz w:val="20"/>
        </w:rPr>
      </w:pPr>
    </w:p>
    <w:p w:rsidR="00C338F5" w:rsidRDefault="00C338F5">
      <w:pPr>
        <w:pStyle w:val="Padro"/>
        <w:spacing w:after="0" w:line="100" w:lineRule="atLeast"/>
        <w:jc w:val="center"/>
        <w:rPr>
          <w:sz w:val="20"/>
        </w:rPr>
      </w:pPr>
    </w:p>
    <w:p w:rsidR="00397746" w:rsidRPr="006A574C" w:rsidRDefault="00397746">
      <w:pPr>
        <w:pStyle w:val="Padro"/>
        <w:spacing w:after="0" w:line="100" w:lineRule="atLeast"/>
        <w:jc w:val="center"/>
        <w:rPr>
          <w:sz w:val="20"/>
        </w:rPr>
      </w:pPr>
    </w:p>
    <w:p w:rsidR="00C338F5" w:rsidRDefault="00C338F5">
      <w:pPr>
        <w:pStyle w:val="Padro"/>
        <w:spacing w:after="0" w:line="100" w:lineRule="atLeast"/>
        <w:jc w:val="center"/>
      </w:pPr>
    </w:p>
    <w:p w:rsidR="00C338F5" w:rsidRDefault="00C338F5">
      <w:pPr>
        <w:pStyle w:val="Padro"/>
        <w:spacing w:after="0" w:line="100" w:lineRule="atLeast"/>
        <w:ind w:left="4536"/>
        <w:jc w:val="both"/>
      </w:pPr>
    </w:p>
    <w:p w:rsidR="00C338F5" w:rsidRDefault="00C338F5">
      <w:pPr>
        <w:pStyle w:val="Padro"/>
        <w:spacing w:after="0" w:line="100" w:lineRule="atLeast"/>
        <w:ind w:left="4536"/>
        <w:jc w:val="both"/>
      </w:pPr>
    </w:p>
    <w:p w:rsidR="00C338F5" w:rsidRDefault="00C338F5">
      <w:pPr>
        <w:pStyle w:val="Padro"/>
        <w:spacing w:after="0" w:line="100" w:lineRule="atLeast"/>
        <w:ind w:left="4536"/>
        <w:jc w:val="both"/>
      </w:pPr>
    </w:p>
    <w:p w:rsidR="00C338F5" w:rsidRDefault="006373B1" w:rsidP="006373B1">
      <w:pPr>
        <w:pStyle w:val="Padro"/>
        <w:spacing w:after="0" w:line="100" w:lineRule="atLeast"/>
        <w:ind w:left="4536"/>
        <w:jc w:val="both"/>
        <w:rPr>
          <w:rFonts w:ascii="Times New Roman" w:hAnsi="Times New Roman"/>
          <w:sz w:val="24"/>
          <w:szCs w:val="24"/>
        </w:rPr>
      </w:pPr>
      <w:r>
        <w:rPr>
          <w:rFonts w:ascii="Times New Roman" w:hAnsi="Times New Roman"/>
          <w:sz w:val="24"/>
          <w:szCs w:val="24"/>
        </w:rPr>
        <w:t xml:space="preserve">Trabalho de Conclusão de Curso, apresentado na modalidade de </w:t>
      </w:r>
      <w:r w:rsidR="00D666B7">
        <w:rPr>
          <w:rFonts w:ascii="Times New Roman" w:hAnsi="Times New Roman"/>
          <w:sz w:val="24"/>
          <w:szCs w:val="24"/>
        </w:rPr>
        <w:t>Artigo C</w:t>
      </w:r>
      <w:r>
        <w:rPr>
          <w:rFonts w:ascii="Times New Roman" w:hAnsi="Times New Roman"/>
          <w:sz w:val="24"/>
          <w:szCs w:val="24"/>
        </w:rPr>
        <w:t>ientifico como crité</w:t>
      </w:r>
      <w:r w:rsidR="00D666B7">
        <w:rPr>
          <w:rFonts w:ascii="Times New Roman" w:hAnsi="Times New Roman"/>
          <w:sz w:val="24"/>
          <w:szCs w:val="24"/>
        </w:rPr>
        <w:t>rio obrigatório para obtenção de título de B</w:t>
      </w:r>
      <w:r>
        <w:rPr>
          <w:rFonts w:ascii="Times New Roman" w:hAnsi="Times New Roman"/>
          <w:sz w:val="24"/>
          <w:szCs w:val="24"/>
        </w:rPr>
        <w:t>acharel</w:t>
      </w:r>
      <w:r w:rsidR="00D666B7">
        <w:rPr>
          <w:rFonts w:ascii="Times New Roman" w:hAnsi="Times New Roman"/>
          <w:sz w:val="24"/>
          <w:szCs w:val="24"/>
        </w:rPr>
        <w:t xml:space="preserve">ado em </w:t>
      </w:r>
      <w:r>
        <w:rPr>
          <w:rFonts w:ascii="Times New Roman" w:hAnsi="Times New Roman"/>
          <w:sz w:val="24"/>
          <w:szCs w:val="24"/>
        </w:rPr>
        <w:t xml:space="preserve">Direito pela </w:t>
      </w:r>
      <w:r w:rsidR="00E65DBD">
        <w:rPr>
          <w:rFonts w:ascii="Times New Roman" w:hAnsi="Times New Roman"/>
          <w:sz w:val="24"/>
          <w:szCs w:val="24"/>
        </w:rPr>
        <w:t>UniFacisa- Centro Universitário</w:t>
      </w:r>
      <w:r>
        <w:rPr>
          <w:rFonts w:ascii="Times New Roman" w:hAnsi="Times New Roman"/>
          <w:sz w:val="24"/>
          <w:szCs w:val="24"/>
        </w:rPr>
        <w:t>.</w:t>
      </w:r>
    </w:p>
    <w:p w:rsidR="00C338F5" w:rsidRDefault="00D666B7" w:rsidP="00D666B7">
      <w:pPr>
        <w:pStyle w:val="Padro"/>
        <w:spacing w:after="0" w:line="100" w:lineRule="atLeast"/>
        <w:ind w:left="4536"/>
        <w:jc w:val="both"/>
      </w:pPr>
      <w:r>
        <w:rPr>
          <w:rFonts w:ascii="Times New Roman" w:hAnsi="Times New Roman"/>
          <w:sz w:val="24"/>
          <w:szCs w:val="24"/>
        </w:rPr>
        <w:t>Área de Concentração: Direito Público</w:t>
      </w:r>
      <w:r w:rsidR="00E65DBD">
        <w:rPr>
          <w:rFonts w:ascii="Times New Roman" w:hAnsi="Times New Roman"/>
          <w:sz w:val="24"/>
          <w:szCs w:val="24"/>
        </w:rPr>
        <w:t xml:space="preserve"> Penal e Políticas Públicas de Inserção S</w:t>
      </w:r>
      <w:r>
        <w:rPr>
          <w:rFonts w:ascii="Times New Roman" w:hAnsi="Times New Roman"/>
          <w:sz w:val="24"/>
          <w:szCs w:val="24"/>
        </w:rPr>
        <w:t>ocial.</w:t>
      </w:r>
    </w:p>
    <w:p w:rsidR="00C338F5" w:rsidRDefault="00555F0B">
      <w:pPr>
        <w:pStyle w:val="Padro"/>
        <w:spacing w:after="0" w:line="100" w:lineRule="atLeast"/>
        <w:ind w:left="4536"/>
        <w:jc w:val="both"/>
      </w:pPr>
      <w:r>
        <w:rPr>
          <w:rFonts w:ascii="Times New Roman" w:hAnsi="Times New Roman"/>
          <w:sz w:val="24"/>
          <w:szCs w:val="24"/>
        </w:rPr>
        <w:t>Orientador:</w:t>
      </w:r>
      <w:r w:rsidR="000F3521">
        <w:rPr>
          <w:rFonts w:ascii="Times New Roman" w:hAnsi="Times New Roman"/>
          <w:sz w:val="24"/>
          <w:szCs w:val="24"/>
        </w:rPr>
        <w:t xml:space="preserve"> </w:t>
      </w:r>
      <w:r w:rsidR="00D666B7">
        <w:rPr>
          <w:rFonts w:ascii="Times New Roman" w:hAnsi="Times New Roman"/>
          <w:sz w:val="24"/>
          <w:szCs w:val="24"/>
        </w:rPr>
        <w:t xml:space="preserve">Prof. </w:t>
      </w:r>
      <w:r w:rsidR="00E65DBD">
        <w:rPr>
          <w:rFonts w:ascii="Times New Roman" w:hAnsi="Times New Roman"/>
          <w:sz w:val="24"/>
          <w:szCs w:val="24"/>
        </w:rPr>
        <w:t>da UniFacisa</w:t>
      </w:r>
      <w:r w:rsidR="00D666B7">
        <w:rPr>
          <w:rFonts w:ascii="Times New Roman" w:hAnsi="Times New Roman"/>
          <w:sz w:val="24"/>
          <w:szCs w:val="24"/>
        </w:rPr>
        <w:t xml:space="preserve"> </w:t>
      </w:r>
      <w:r>
        <w:rPr>
          <w:rFonts w:ascii="Times New Roman" w:hAnsi="Times New Roman"/>
          <w:sz w:val="24"/>
          <w:szCs w:val="24"/>
        </w:rPr>
        <w:t>Felix Araújo Neto</w:t>
      </w:r>
      <w:r w:rsidR="00D666B7">
        <w:rPr>
          <w:rFonts w:ascii="Times New Roman" w:hAnsi="Times New Roman"/>
          <w:sz w:val="24"/>
          <w:szCs w:val="24"/>
        </w:rPr>
        <w:t>.</w:t>
      </w:r>
    </w:p>
    <w:p w:rsidR="00C338F5" w:rsidRDefault="00C338F5">
      <w:pPr>
        <w:pStyle w:val="Padro"/>
        <w:spacing w:after="0" w:line="100" w:lineRule="atLeast"/>
        <w:ind w:left="4536"/>
        <w:jc w:val="both"/>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jc w:val="center"/>
      </w:pPr>
    </w:p>
    <w:p w:rsidR="006A574C" w:rsidRDefault="006A574C">
      <w:pPr>
        <w:pStyle w:val="Padro"/>
        <w:spacing w:after="0" w:line="100" w:lineRule="atLeast"/>
        <w:jc w:val="center"/>
      </w:pPr>
    </w:p>
    <w:p w:rsidR="006A574C" w:rsidRDefault="006A574C">
      <w:pPr>
        <w:pStyle w:val="Padro"/>
        <w:spacing w:after="0" w:line="100" w:lineRule="atLeast"/>
        <w:jc w:val="center"/>
      </w:pPr>
    </w:p>
    <w:p w:rsidR="00C338F5" w:rsidRDefault="00C338F5">
      <w:pPr>
        <w:pStyle w:val="Padro"/>
        <w:spacing w:after="0" w:line="100" w:lineRule="atLeast"/>
        <w:jc w:val="center"/>
      </w:pPr>
    </w:p>
    <w:p w:rsidR="00C338F5" w:rsidRDefault="00C338F5">
      <w:pPr>
        <w:pStyle w:val="Padro"/>
        <w:spacing w:after="0" w:line="100" w:lineRule="atLeast"/>
      </w:pPr>
    </w:p>
    <w:p w:rsidR="000F6850" w:rsidRDefault="000F6850">
      <w:pPr>
        <w:pStyle w:val="Padro"/>
        <w:spacing w:after="0" w:line="100" w:lineRule="atLeast"/>
      </w:pPr>
    </w:p>
    <w:p w:rsidR="000F6850" w:rsidRDefault="000F6850">
      <w:pPr>
        <w:pStyle w:val="Padro"/>
        <w:spacing w:after="0" w:line="100" w:lineRule="atLeast"/>
      </w:pPr>
    </w:p>
    <w:p w:rsidR="000F6850" w:rsidRDefault="000F6850">
      <w:pPr>
        <w:pStyle w:val="Padro"/>
        <w:spacing w:after="0" w:line="100" w:lineRule="atLeast"/>
      </w:pPr>
    </w:p>
    <w:p w:rsidR="00C338F5" w:rsidRDefault="00C338F5">
      <w:pPr>
        <w:pStyle w:val="Padro"/>
        <w:spacing w:after="0" w:line="100" w:lineRule="atLeast"/>
      </w:pPr>
    </w:p>
    <w:p w:rsidR="00C338F5" w:rsidRDefault="00C338F5">
      <w:pPr>
        <w:pStyle w:val="Padro"/>
        <w:spacing w:after="0" w:line="100" w:lineRule="atLeast"/>
      </w:pPr>
    </w:p>
    <w:p w:rsidR="00C338F5" w:rsidRDefault="00C338F5">
      <w:pPr>
        <w:pStyle w:val="Padro"/>
        <w:spacing w:after="0" w:line="100" w:lineRule="atLeast"/>
        <w:jc w:val="center"/>
      </w:pPr>
    </w:p>
    <w:p w:rsidR="00C338F5" w:rsidRDefault="00C338F5">
      <w:pPr>
        <w:pStyle w:val="Padro"/>
        <w:spacing w:after="0" w:line="100" w:lineRule="atLeast"/>
      </w:pPr>
    </w:p>
    <w:p w:rsidR="006A574C" w:rsidRPr="006A574C" w:rsidRDefault="000F3521" w:rsidP="006A574C">
      <w:pPr>
        <w:pStyle w:val="Padro"/>
        <w:spacing w:after="0" w:line="100" w:lineRule="atLeast"/>
        <w:jc w:val="center"/>
      </w:pPr>
      <w:r>
        <w:rPr>
          <w:rFonts w:ascii="Times New Roman" w:hAnsi="Times New Roman"/>
          <w:sz w:val="24"/>
          <w:szCs w:val="24"/>
        </w:rPr>
        <w:t>CAMPINA GRANDE</w:t>
      </w:r>
    </w:p>
    <w:p w:rsidR="00C338F5" w:rsidRDefault="000F3521">
      <w:pPr>
        <w:pStyle w:val="Padro"/>
        <w:spacing w:after="0" w:line="100" w:lineRule="atLeast"/>
        <w:jc w:val="center"/>
      </w:pPr>
      <w:r>
        <w:rPr>
          <w:rFonts w:ascii="Times New Roman" w:hAnsi="Times New Roman"/>
          <w:sz w:val="24"/>
          <w:szCs w:val="24"/>
        </w:rPr>
        <w:t>201</w:t>
      </w:r>
      <w:r w:rsidR="00862089">
        <w:rPr>
          <w:rFonts w:ascii="Times New Roman" w:hAnsi="Times New Roman"/>
          <w:sz w:val="24"/>
          <w:szCs w:val="24"/>
        </w:rPr>
        <w:t>9</w:t>
      </w:r>
    </w:p>
    <w:p w:rsidR="00C338F5" w:rsidRDefault="00C338F5">
      <w:pPr>
        <w:pStyle w:val="Padro"/>
        <w:spacing w:after="0" w:line="100" w:lineRule="atLeast"/>
      </w:pPr>
    </w:p>
    <w:p w:rsidR="006A574C" w:rsidRDefault="006A574C">
      <w:pPr>
        <w:pStyle w:val="Padro"/>
        <w:spacing w:after="0" w:line="100" w:lineRule="atLeast"/>
      </w:pPr>
    </w:p>
    <w:p w:rsidR="00211058" w:rsidRDefault="00211058" w:rsidP="00211058">
      <w:pPr>
        <w:spacing w:after="0" w:line="360" w:lineRule="auto"/>
        <w:rPr>
          <w:rFonts w:ascii="Calibri" w:eastAsia="Calibri" w:hAnsi="Calibri" w:cs="Times New Roman"/>
          <w:lang w:eastAsia="en-US"/>
        </w:rPr>
      </w:pPr>
    </w:p>
    <w:p w:rsidR="00211058" w:rsidRPr="00F80F5C" w:rsidRDefault="00211058" w:rsidP="00211058">
      <w:pPr>
        <w:spacing w:after="0" w:line="360" w:lineRule="auto"/>
        <w:rPr>
          <w:rFonts w:ascii="Times New Roman" w:eastAsia="Times New Roman" w:hAnsi="Times New Roman" w:cs="Times New Roman"/>
          <w:b/>
          <w:bCs/>
          <w:sz w:val="24"/>
          <w:szCs w:val="24"/>
          <w:shd w:val="clear" w:color="auto" w:fill="FFFFFF"/>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Default="00211058" w:rsidP="00707758">
      <w:pPr>
        <w:spacing w:after="0"/>
        <w:rPr>
          <w:rFonts w:ascii="Times New Roman" w:hAnsi="Times New Roman" w:cs="Times New Roman"/>
          <w:sz w:val="24"/>
          <w:szCs w:val="24"/>
        </w:rPr>
      </w:pPr>
    </w:p>
    <w:p w:rsidR="000F6850" w:rsidRDefault="000F6850" w:rsidP="00707758">
      <w:pPr>
        <w:spacing w:after="0"/>
        <w:rPr>
          <w:rFonts w:ascii="Times New Roman" w:hAnsi="Times New Roman" w:cs="Times New Roman"/>
          <w:sz w:val="24"/>
          <w:szCs w:val="24"/>
        </w:rPr>
      </w:pPr>
    </w:p>
    <w:p w:rsidR="000F6850" w:rsidRPr="00F80F5C" w:rsidRDefault="000F6850" w:rsidP="00707758">
      <w:pPr>
        <w:spacing w:after="0"/>
        <w:rPr>
          <w:rFonts w:ascii="Times New Roman" w:hAnsi="Times New Roman" w:cs="Times New Roman"/>
          <w:sz w:val="24"/>
          <w:szCs w:val="24"/>
        </w:rPr>
      </w:pPr>
    </w:p>
    <w:p w:rsidR="00707758" w:rsidRPr="00F80F5C" w:rsidRDefault="00707758" w:rsidP="00211058">
      <w:pPr>
        <w:spacing w:after="0"/>
        <w:jc w:val="center"/>
        <w:rPr>
          <w:rFonts w:ascii="Times New Roman" w:hAnsi="Times New Roman" w:cs="Times New Roman"/>
          <w:sz w:val="24"/>
          <w:szCs w:val="24"/>
        </w:rPr>
      </w:pPr>
    </w:p>
    <w:p w:rsidR="00211058" w:rsidRPr="00F80F5C" w:rsidRDefault="00211058" w:rsidP="00707758">
      <w:pPr>
        <w:spacing w:after="0"/>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sz w:val="24"/>
          <w:szCs w:val="24"/>
        </w:rPr>
      </w:pPr>
    </w:p>
    <w:p w:rsidR="00211058" w:rsidRPr="00F80F5C" w:rsidRDefault="00211058" w:rsidP="00211058">
      <w:pPr>
        <w:spacing w:after="0"/>
        <w:jc w:val="center"/>
        <w:rPr>
          <w:rFonts w:ascii="Times New Roman" w:hAnsi="Times New Roman" w:cs="Times New Roman"/>
        </w:rPr>
      </w:pPr>
      <w:r w:rsidRPr="00F80F5C">
        <w:rPr>
          <w:rFonts w:ascii="Times New Roman" w:hAnsi="Times New Roman" w:cs="Times New Roman"/>
        </w:rPr>
        <w:t>Dados Internacionais de Catalogação na Publicação</w:t>
      </w:r>
      <w:r w:rsidRPr="00F80F5C">
        <w:rPr>
          <w:rFonts w:ascii="Times New Roman" w:hAnsi="Times New Roman" w:cs="Times New Roman"/>
        </w:rPr>
        <w:br/>
        <w:t xml:space="preserve">(Biblioteca da </w:t>
      </w:r>
      <w:r w:rsidR="00E65DBD">
        <w:rPr>
          <w:rFonts w:ascii="Times New Roman" w:hAnsi="Times New Roman" w:cs="Times New Roman"/>
        </w:rPr>
        <w:t>Uni</w:t>
      </w:r>
      <w:r w:rsidRPr="00F80F5C">
        <w:rPr>
          <w:rFonts w:ascii="Times New Roman" w:hAnsi="Times New Roman" w:cs="Times New Roman"/>
        </w:rPr>
        <w:t>Facisa)</w:t>
      </w:r>
    </w:p>
    <w:p w:rsidR="00211058" w:rsidRPr="00F80F5C" w:rsidRDefault="00211058" w:rsidP="00211058">
      <w:pPr>
        <w:spacing w:after="0" w:line="240" w:lineRule="auto"/>
        <w:contextualSpacing/>
        <w:rPr>
          <w:rFonts w:ascii="Times New Roman" w:hAnsi="Times New Roman" w:cs="Times New Roman"/>
        </w:rPr>
      </w:pPr>
      <w:r>
        <w:rPr>
          <w:rFonts w:ascii="Times New Roman" w:hAnsi="Times New Roman" w:cs="Times New Roman"/>
        </w:rPr>
        <w:t>XXXXX</w:t>
      </w:r>
    </w:p>
    <w:p w:rsidR="00211058" w:rsidRPr="00F80F5C" w:rsidRDefault="00211058" w:rsidP="00211058">
      <w:pPr>
        <w:spacing w:after="0" w:line="240" w:lineRule="auto"/>
        <w:ind w:firstLine="284"/>
        <w:contextualSpacing/>
        <w:rPr>
          <w:rFonts w:ascii="Times New Roman" w:hAnsi="Times New Roman" w:cs="Times New Roman"/>
        </w:rPr>
      </w:pPr>
      <w:r>
        <w:rPr>
          <w:rFonts w:ascii="Times New Roman" w:hAnsi="Times New Roman" w:cs="Times New Roman"/>
        </w:rPr>
        <w:t>Leite, Karen Caroline de Lima.</w:t>
      </w:r>
    </w:p>
    <w:p w:rsidR="00211058" w:rsidRDefault="00211058" w:rsidP="00211058">
      <w:pPr>
        <w:spacing w:after="0" w:line="240" w:lineRule="auto"/>
        <w:ind w:firstLine="567"/>
        <w:contextualSpacing/>
        <w:rPr>
          <w:rFonts w:ascii="Times New Roman" w:hAnsi="Times New Roman" w:cs="Times New Roman"/>
        </w:rPr>
      </w:pPr>
      <w:r>
        <w:rPr>
          <w:rFonts w:ascii="Times New Roman" w:hAnsi="Times New Roman" w:cs="Times New Roman"/>
        </w:rPr>
        <w:t>ESTUPRO DE VULNERÁVEL: A PRESUNÇÃO DE VIOLÊNCIA SOB A ÓTICA DO ESTATUTO DA CRIANÇA E DO ADOLESCENTE /</w:t>
      </w:r>
      <w:r w:rsidR="00707758">
        <w:rPr>
          <w:rFonts w:ascii="Times New Roman" w:hAnsi="Times New Roman" w:cs="Times New Roman"/>
        </w:rPr>
        <w:t xml:space="preserve"> </w:t>
      </w:r>
      <w:r>
        <w:rPr>
          <w:rFonts w:ascii="Times New Roman" w:hAnsi="Times New Roman" w:cs="Times New Roman"/>
        </w:rPr>
        <w:t>Karen Caroline de Lima Leite – Campina Grande/PB, 2019.</w:t>
      </w:r>
    </w:p>
    <w:p w:rsidR="00211058" w:rsidRPr="00F80F5C" w:rsidRDefault="00211058" w:rsidP="00211058">
      <w:pPr>
        <w:spacing w:after="0" w:line="240" w:lineRule="auto"/>
        <w:ind w:firstLine="567"/>
        <w:contextualSpacing/>
        <w:rPr>
          <w:rFonts w:ascii="Times New Roman" w:hAnsi="Times New Roman" w:cs="Times New Roman"/>
        </w:rPr>
      </w:pPr>
    </w:p>
    <w:p w:rsidR="00211058" w:rsidRPr="00F80F5C" w:rsidRDefault="00211058" w:rsidP="00211058">
      <w:pPr>
        <w:spacing w:after="0"/>
        <w:ind w:firstLine="567"/>
        <w:contextualSpacing/>
        <w:rPr>
          <w:rFonts w:ascii="Times New Roman" w:hAnsi="Times New Roman" w:cs="Times New Roman"/>
        </w:rPr>
      </w:pPr>
      <w:r>
        <w:rPr>
          <w:rFonts w:ascii="Times New Roman" w:hAnsi="Times New Roman" w:cs="Times New Roman"/>
        </w:rPr>
        <w:t>Originalmente apresentado</w:t>
      </w:r>
      <w:r w:rsidRPr="00F80F5C">
        <w:rPr>
          <w:rFonts w:ascii="Times New Roman" w:hAnsi="Times New Roman" w:cs="Times New Roman"/>
        </w:rPr>
        <w:t xml:space="preserve"> como Artigo Científico de bacharelado em Direito do autor (bacharel – Faculdade de Ciências Sociais Aplicadas, 2019).</w:t>
      </w:r>
    </w:p>
    <w:p w:rsidR="00211058" w:rsidRPr="00F80F5C" w:rsidRDefault="00211058" w:rsidP="00211058">
      <w:pPr>
        <w:spacing w:after="0"/>
        <w:ind w:firstLine="567"/>
        <w:rPr>
          <w:rFonts w:ascii="Times New Roman" w:hAnsi="Times New Roman" w:cs="Times New Roman"/>
        </w:rPr>
      </w:pPr>
      <w:r w:rsidRPr="00F80F5C">
        <w:rPr>
          <w:rFonts w:ascii="Times New Roman" w:hAnsi="Times New Roman" w:cs="Times New Roman"/>
        </w:rPr>
        <w:t>Referências.</w:t>
      </w:r>
    </w:p>
    <w:p w:rsidR="00211058" w:rsidRDefault="00707758" w:rsidP="00707758">
      <w:pPr>
        <w:pStyle w:val="PargrafodaLista"/>
        <w:numPr>
          <w:ilvl w:val="0"/>
          <w:numId w:val="7"/>
        </w:numPr>
        <w:spacing w:after="0"/>
        <w:jc w:val="center"/>
        <w:rPr>
          <w:rFonts w:ascii="Times New Roman" w:hAnsi="Times New Roman"/>
          <w:sz w:val="24"/>
          <w:szCs w:val="24"/>
        </w:rPr>
      </w:pPr>
      <w:r>
        <w:rPr>
          <w:rFonts w:ascii="Times New Roman" w:hAnsi="Times New Roman"/>
          <w:sz w:val="24"/>
          <w:szCs w:val="24"/>
        </w:rPr>
        <w:t>Vulnerabilidade. 2. Presunção de violência. 3. Crime de Estupro</w:t>
      </w:r>
      <w:r w:rsidR="00081776">
        <w:rPr>
          <w:rFonts w:ascii="Times New Roman" w:hAnsi="Times New Roman"/>
          <w:sz w:val="24"/>
          <w:szCs w:val="24"/>
        </w:rPr>
        <w:t xml:space="preserve"> de vulnerável</w:t>
      </w:r>
      <w:r w:rsidR="00211058" w:rsidRPr="00F80F5C">
        <w:rPr>
          <w:rFonts w:ascii="Times New Roman" w:hAnsi="Times New Roman"/>
          <w:sz w:val="24"/>
          <w:szCs w:val="24"/>
        </w:rPr>
        <w:t>.</w:t>
      </w:r>
      <w:r>
        <w:rPr>
          <w:rFonts w:ascii="Times New Roman" w:hAnsi="Times New Roman"/>
          <w:sz w:val="24"/>
          <w:szCs w:val="24"/>
        </w:rPr>
        <w:t xml:space="preserve"> 4. Criança e Adolescente.</w:t>
      </w:r>
      <w:r w:rsidR="000F6850">
        <w:rPr>
          <w:rFonts w:ascii="Times New Roman" w:hAnsi="Times New Roman"/>
          <w:sz w:val="24"/>
          <w:szCs w:val="24"/>
        </w:rPr>
        <w:t xml:space="preserve"> I. Título</w:t>
      </w:r>
    </w:p>
    <w:p w:rsidR="00707758" w:rsidRPr="00F80F5C" w:rsidRDefault="00707758" w:rsidP="00707758">
      <w:pPr>
        <w:pStyle w:val="PargrafodaLista"/>
        <w:spacing w:after="0"/>
        <w:ind w:left="1571"/>
        <w:rPr>
          <w:rFonts w:ascii="Times New Roman" w:hAnsi="Times New Roman"/>
        </w:rPr>
      </w:pPr>
    </w:p>
    <w:p w:rsidR="00211058" w:rsidRPr="00F80F5C" w:rsidRDefault="00211058" w:rsidP="00211058">
      <w:pPr>
        <w:pStyle w:val="PargrafodaLista"/>
        <w:spacing w:after="0"/>
        <w:ind w:left="1211"/>
        <w:jc w:val="right"/>
        <w:rPr>
          <w:rFonts w:ascii="Times New Roman" w:hAnsi="Times New Roman"/>
        </w:rPr>
      </w:pPr>
      <w:r w:rsidRPr="00F80F5C">
        <w:rPr>
          <w:rFonts w:ascii="Times New Roman" w:hAnsi="Times New Roman"/>
        </w:rPr>
        <w:t>CDU-XXXX(XXX)(XXX)</w:t>
      </w:r>
    </w:p>
    <w:p w:rsidR="00211058" w:rsidRDefault="00211058" w:rsidP="00211058">
      <w:pPr>
        <w:pStyle w:val="PargrafodaLista"/>
        <w:spacing w:after="0"/>
        <w:ind w:left="1211"/>
        <w:jc w:val="right"/>
        <w:rPr>
          <w:rFonts w:ascii="Times New Roman" w:hAnsi="Times New Roman"/>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Default="000F6850" w:rsidP="00E65DBD">
      <w:pPr>
        <w:spacing w:after="0" w:line="240" w:lineRule="auto"/>
        <w:ind w:left="4536"/>
        <w:jc w:val="both"/>
        <w:rPr>
          <w:rFonts w:ascii="Times New Roman" w:eastAsia="Times New Roman" w:hAnsi="Times New Roman" w:cs="Times New Roman"/>
          <w:sz w:val="24"/>
          <w:szCs w:val="24"/>
        </w:rPr>
      </w:pPr>
    </w:p>
    <w:p w:rsidR="000F6850" w:rsidRPr="000A038B" w:rsidRDefault="000F6850"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 xml:space="preserve">Trabalho de Conclusão de Curso – Artigo Científico – </w:t>
      </w:r>
      <w:r>
        <w:rPr>
          <w:rFonts w:ascii="Times New Roman" w:hAnsi="Times New Roman" w:cs="Times New Roman"/>
          <w:sz w:val="24"/>
          <w:szCs w:val="24"/>
        </w:rPr>
        <w:t>Estupro de Vulner</w:t>
      </w:r>
      <w:r w:rsidR="004F2A89">
        <w:rPr>
          <w:rFonts w:ascii="Times New Roman" w:hAnsi="Times New Roman" w:cs="Times New Roman"/>
          <w:sz w:val="24"/>
          <w:szCs w:val="24"/>
        </w:rPr>
        <w:t xml:space="preserve">ável: A presunção de violência </w:t>
      </w:r>
      <w:r>
        <w:rPr>
          <w:rFonts w:ascii="Times New Roman" w:hAnsi="Times New Roman" w:cs="Times New Roman"/>
          <w:sz w:val="24"/>
          <w:szCs w:val="24"/>
        </w:rPr>
        <w:t xml:space="preserve">sob a ótica do Estatuto da Criança e do Adolescente </w:t>
      </w:r>
      <w:r w:rsidRPr="000A038B">
        <w:rPr>
          <w:rFonts w:ascii="Times New Roman" w:eastAsia="Times New Roman" w:hAnsi="Times New Roman" w:cs="Times New Roman"/>
          <w:sz w:val="24"/>
          <w:szCs w:val="24"/>
        </w:rPr>
        <w:t>como parte dos requisitos para obtenção do título de Bacharelado em Direito, outorgado pela UniFacisa – Centro Universitário.</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Default="00E65DBD" w:rsidP="00E65DBD">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 </w:t>
      </w:r>
      <w:r w:rsidRPr="000A038B">
        <w:rPr>
          <w:rFonts w:ascii="Times New Roman" w:eastAsia="Times New Roman" w:hAnsi="Times New Roman" w:cs="Times New Roman"/>
          <w:sz w:val="24"/>
          <w:szCs w:val="24"/>
        </w:rPr>
        <w:t>_____/______/______</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BANCA EXAMINADORA:</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highlight w:val="yellow"/>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highlight w:val="yellow"/>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 xml:space="preserve"> _________________________________</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Prof</w:t>
      </w:r>
      <w:r>
        <w:rPr>
          <w:rFonts w:ascii="Times New Roman" w:eastAsia="Times New Roman" w:hAnsi="Times New Roman" w:cs="Times New Roman"/>
          <w:sz w:val="24"/>
          <w:szCs w:val="24"/>
        </w:rPr>
        <w:t>. da UniFacisa</w:t>
      </w:r>
      <w:r>
        <w:rPr>
          <w:rFonts w:ascii="Times New Roman" w:hAnsi="Times New Roman" w:cs="Times New Roman"/>
          <w:sz w:val="24"/>
          <w:szCs w:val="24"/>
        </w:rPr>
        <w:t xml:space="preserve"> Félix Araújo Neto</w:t>
      </w:r>
    </w:p>
    <w:p w:rsidR="00E65DBD" w:rsidRPr="000A038B" w:rsidRDefault="00E65DBD" w:rsidP="00E65DBD">
      <w:pPr>
        <w:spacing w:after="0" w:line="240" w:lineRule="auto"/>
        <w:ind w:left="4536"/>
        <w:jc w:val="center"/>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Orientador</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highlight w:val="yellow"/>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highlight w:val="yellow"/>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_________________________________</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Prof. da UniFacisa</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highlight w:val="yellow"/>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highlight w:val="yellow"/>
        </w:rPr>
      </w:pP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________________________________</w:t>
      </w:r>
    </w:p>
    <w:p w:rsidR="00E65DBD" w:rsidRPr="000A038B" w:rsidRDefault="00E65DBD" w:rsidP="00E65DBD">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 xml:space="preserve">Prof. da UniFacisa </w:t>
      </w:r>
    </w:p>
    <w:p w:rsidR="00E65DBD" w:rsidRPr="000A038B" w:rsidRDefault="00E65DBD" w:rsidP="00E65DBD">
      <w:pPr>
        <w:keepNext/>
        <w:spacing w:after="0" w:line="360" w:lineRule="auto"/>
        <w:ind w:right="-143"/>
        <w:jc w:val="both"/>
        <w:rPr>
          <w:rFonts w:ascii="Times New Roman" w:hAnsi="Times New Roman" w:cs="Times New Roman"/>
          <w:sz w:val="24"/>
          <w:szCs w:val="24"/>
        </w:rPr>
      </w:pPr>
    </w:p>
    <w:p w:rsidR="00211058" w:rsidRDefault="00211058" w:rsidP="00211058">
      <w:pPr>
        <w:pStyle w:val="Padro"/>
        <w:spacing w:after="0" w:line="100" w:lineRule="atLeast"/>
      </w:pPr>
    </w:p>
    <w:p w:rsidR="00211058" w:rsidRPr="006A574C" w:rsidRDefault="00211058" w:rsidP="00211058">
      <w:pPr>
        <w:pStyle w:val="Padro"/>
        <w:spacing w:after="0" w:line="100" w:lineRule="atLeast"/>
        <w:jc w:val="center"/>
        <w:rPr>
          <w:sz w:val="20"/>
        </w:rPr>
      </w:pPr>
    </w:p>
    <w:p w:rsidR="00397746" w:rsidRPr="00397746" w:rsidRDefault="00397746" w:rsidP="00397746">
      <w:pPr>
        <w:spacing w:line="360" w:lineRule="auto"/>
        <w:jc w:val="center"/>
        <w:rPr>
          <w:rFonts w:ascii="Times New Roman" w:hAnsi="Times New Roman" w:cs="Times New Roman"/>
          <w:sz w:val="24"/>
          <w:szCs w:val="24"/>
        </w:rPr>
      </w:pPr>
      <w:r w:rsidRPr="00397746">
        <w:rPr>
          <w:rFonts w:ascii="Times New Roman" w:hAnsi="Times New Roman" w:cs="Times New Roman"/>
          <w:sz w:val="24"/>
          <w:szCs w:val="24"/>
        </w:rPr>
        <w:t>ESTUPRO DE VULNERÁVEL:</w:t>
      </w:r>
      <w:r w:rsidR="00336F17" w:rsidRPr="00397746">
        <w:rPr>
          <w:rFonts w:ascii="Times New Roman" w:hAnsi="Times New Roman" w:cs="Times New Roman"/>
          <w:sz w:val="24"/>
          <w:szCs w:val="24"/>
        </w:rPr>
        <w:t xml:space="preserve"> a presunção de vi</w:t>
      </w:r>
      <w:r w:rsidR="00336F17">
        <w:rPr>
          <w:rFonts w:ascii="Times New Roman" w:hAnsi="Times New Roman" w:cs="Times New Roman"/>
          <w:sz w:val="24"/>
          <w:szCs w:val="24"/>
        </w:rPr>
        <w:t>olência sob a ótica do E</w:t>
      </w:r>
      <w:r w:rsidR="00336F17" w:rsidRPr="00397746">
        <w:rPr>
          <w:rFonts w:ascii="Times New Roman" w:hAnsi="Times New Roman" w:cs="Times New Roman"/>
          <w:sz w:val="24"/>
          <w:szCs w:val="24"/>
        </w:rPr>
        <w:t>statuto da criança e do adolescente</w:t>
      </w:r>
    </w:p>
    <w:p w:rsidR="00397746" w:rsidRPr="000A038B" w:rsidRDefault="00397746" w:rsidP="00397746">
      <w:pPr>
        <w:pStyle w:val="NormalWeb"/>
        <w:spacing w:before="0" w:after="0" w:line="360" w:lineRule="auto"/>
        <w:rPr>
          <w:b/>
        </w:rPr>
      </w:pPr>
    </w:p>
    <w:p w:rsidR="00E65DBD" w:rsidRPr="00E65DBD" w:rsidRDefault="00E65DBD" w:rsidP="00E65DBD">
      <w:pPr>
        <w:spacing w:after="0" w:line="360" w:lineRule="auto"/>
        <w:ind w:right="-143"/>
        <w:rPr>
          <w:rFonts w:ascii="Times New Roman" w:hAnsi="Times New Roman" w:cs="Times New Roman"/>
          <w:color w:val="FF0000"/>
          <w:sz w:val="24"/>
          <w:szCs w:val="24"/>
        </w:rPr>
      </w:pPr>
    </w:p>
    <w:p w:rsidR="00E65DBD" w:rsidRPr="00397746" w:rsidRDefault="00397746" w:rsidP="00E65DBD">
      <w:pPr>
        <w:pStyle w:val="NormalWeb"/>
        <w:spacing w:before="0" w:after="0" w:line="360" w:lineRule="auto"/>
        <w:jc w:val="right"/>
        <w:rPr>
          <w:color w:val="000000" w:themeColor="text1"/>
        </w:rPr>
      </w:pPr>
      <w:r w:rsidRPr="00397746">
        <w:rPr>
          <w:color w:val="000000" w:themeColor="text1"/>
        </w:rPr>
        <w:t>Karen Caroline de Lima Leite</w:t>
      </w:r>
      <w:r w:rsidR="00E65DBD" w:rsidRPr="00397746">
        <w:rPr>
          <w:rStyle w:val="Refdenotaderodap"/>
          <w:color w:val="000000" w:themeColor="text1"/>
        </w:rPr>
        <w:footnoteReference w:customMarkFollows="1" w:id="1"/>
        <w:sym w:font="Symbol" w:char="F02A"/>
      </w:r>
    </w:p>
    <w:p w:rsidR="00E65DBD" w:rsidRPr="00397746" w:rsidRDefault="00397746" w:rsidP="00E65DBD">
      <w:pPr>
        <w:pStyle w:val="NormalWeb"/>
        <w:spacing w:before="0" w:after="0" w:line="360" w:lineRule="auto"/>
        <w:jc w:val="right"/>
        <w:rPr>
          <w:color w:val="000000" w:themeColor="text1"/>
        </w:rPr>
      </w:pPr>
      <w:r w:rsidRPr="00397746">
        <w:rPr>
          <w:color w:val="000000" w:themeColor="text1"/>
        </w:rPr>
        <w:t>Félix Araújo Neto</w:t>
      </w:r>
      <w:r w:rsidR="00E65DBD" w:rsidRPr="00397746">
        <w:rPr>
          <w:rStyle w:val="Refdenotaderodap"/>
          <w:color w:val="000000" w:themeColor="text1"/>
        </w:rPr>
        <w:footnoteReference w:customMarkFollows="1" w:id="2"/>
        <w:sym w:font="Symbol" w:char="F02A"/>
      </w:r>
      <w:r w:rsidR="00E65DBD" w:rsidRPr="00397746">
        <w:rPr>
          <w:rStyle w:val="Refdenotaderodap"/>
          <w:color w:val="000000" w:themeColor="text1"/>
        </w:rPr>
        <w:sym w:font="Symbol" w:char="F02A"/>
      </w:r>
    </w:p>
    <w:p w:rsidR="00E65DBD" w:rsidRPr="00E65DBD" w:rsidRDefault="00E65DBD" w:rsidP="00E65DBD">
      <w:pPr>
        <w:spacing w:after="0" w:line="360" w:lineRule="auto"/>
        <w:rPr>
          <w:rFonts w:ascii="Times New Roman" w:hAnsi="Times New Roman" w:cs="Times New Roman"/>
          <w:color w:val="FF0000"/>
          <w:sz w:val="24"/>
          <w:szCs w:val="24"/>
        </w:rPr>
      </w:pPr>
    </w:p>
    <w:p w:rsidR="00E65DBD" w:rsidRPr="00E65DBD" w:rsidRDefault="00E65DBD" w:rsidP="00E65DBD">
      <w:pPr>
        <w:spacing w:after="0" w:line="360" w:lineRule="auto"/>
        <w:rPr>
          <w:rFonts w:ascii="Times New Roman" w:hAnsi="Times New Roman" w:cs="Times New Roman"/>
          <w:color w:val="FF0000"/>
          <w:sz w:val="24"/>
          <w:szCs w:val="24"/>
        </w:rPr>
      </w:pPr>
    </w:p>
    <w:p w:rsidR="00E65DBD" w:rsidRPr="00336F17" w:rsidRDefault="00E65DBD" w:rsidP="00E65DBD">
      <w:pPr>
        <w:spacing w:after="0" w:line="360" w:lineRule="auto"/>
        <w:jc w:val="center"/>
        <w:rPr>
          <w:rFonts w:ascii="Times New Roman" w:hAnsi="Times New Roman" w:cs="Times New Roman"/>
          <w:b/>
          <w:sz w:val="24"/>
          <w:szCs w:val="24"/>
        </w:rPr>
      </w:pPr>
      <w:r w:rsidRPr="00336F17">
        <w:rPr>
          <w:rFonts w:ascii="Times New Roman" w:hAnsi="Times New Roman" w:cs="Times New Roman"/>
          <w:b/>
          <w:sz w:val="24"/>
          <w:szCs w:val="24"/>
        </w:rPr>
        <w:t>RESUMO</w:t>
      </w:r>
    </w:p>
    <w:p w:rsidR="00E65DBD" w:rsidRPr="00336F17" w:rsidRDefault="00E65DBD" w:rsidP="00E65DBD">
      <w:pPr>
        <w:spacing w:after="0" w:line="360" w:lineRule="auto"/>
        <w:rPr>
          <w:rFonts w:ascii="Times New Roman" w:hAnsi="Times New Roman" w:cs="Times New Roman"/>
          <w:b/>
          <w:sz w:val="24"/>
          <w:szCs w:val="24"/>
        </w:rPr>
      </w:pPr>
    </w:p>
    <w:p w:rsidR="00336F17" w:rsidRDefault="00E65DBD" w:rsidP="00E65DBD">
      <w:pPr>
        <w:spacing w:after="0" w:line="360" w:lineRule="auto"/>
        <w:jc w:val="both"/>
        <w:rPr>
          <w:rFonts w:ascii="Times New Roman" w:hAnsi="Times New Roman" w:cs="Times New Roman"/>
          <w:sz w:val="24"/>
          <w:szCs w:val="24"/>
          <w:shd w:val="clear" w:color="auto" w:fill="FFFFFF"/>
        </w:rPr>
      </w:pPr>
      <w:r w:rsidRPr="00336F17">
        <w:rPr>
          <w:rFonts w:ascii="Times New Roman" w:hAnsi="Times New Roman" w:cs="Times New Roman"/>
          <w:sz w:val="24"/>
          <w:szCs w:val="24"/>
          <w:shd w:val="clear" w:color="auto" w:fill="FFFFFF"/>
        </w:rPr>
        <w:t>O presente artigo obje</w:t>
      </w:r>
      <w:r w:rsidR="00336F17">
        <w:rPr>
          <w:rFonts w:ascii="Times New Roman" w:hAnsi="Times New Roman" w:cs="Times New Roman"/>
          <w:sz w:val="24"/>
          <w:szCs w:val="24"/>
          <w:shd w:val="clear" w:color="auto" w:fill="FFFFFF"/>
        </w:rPr>
        <w:t>tiva relatar acerca da presunção de violência nos crimes de estupro de vulnerável sob a ótica do Estatuto da Criança e do Adolescente. Evidenciando o estudo no critério “etário” estabelecido para definir a vulnerabilidade no crime em comento, mas com estudo central para os casos em que os adolescentes figuram como sujeito passivo. Em primeiro momento, define o que seria “criança e adolescente” e por consequência analisou a presunção de violência com</w:t>
      </w:r>
      <w:r w:rsidR="007B554B">
        <w:rPr>
          <w:rFonts w:ascii="Times New Roman" w:hAnsi="Times New Roman" w:cs="Times New Roman"/>
          <w:sz w:val="24"/>
          <w:szCs w:val="24"/>
          <w:shd w:val="clear" w:color="auto" w:fill="FFFFFF"/>
        </w:rPr>
        <w:t>o critério relativo e não</w:t>
      </w:r>
      <w:r w:rsidR="00336F17">
        <w:rPr>
          <w:rFonts w:ascii="Times New Roman" w:hAnsi="Times New Roman" w:cs="Times New Roman"/>
          <w:sz w:val="24"/>
          <w:szCs w:val="24"/>
          <w:shd w:val="clear" w:color="auto" w:fill="FFFFFF"/>
        </w:rPr>
        <w:t xml:space="preserve"> absoluto nesse cenário</w:t>
      </w:r>
      <w:r w:rsidR="007B554B">
        <w:rPr>
          <w:rFonts w:ascii="Times New Roman" w:hAnsi="Times New Roman" w:cs="Times New Roman"/>
          <w:sz w:val="24"/>
          <w:szCs w:val="24"/>
          <w:shd w:val="clear" w:color="auto" w:fill="FFFFFF"/>
        </w:rPr>
        <w:t>, discutindo qual seria a medida mais justa a ser aplicada</w:t>
      </w:r>
      <w:r w:rsidR="00336F17">
        <w:rPr>
          <w:rFonts w:ascii="Times New Roman" w:hAnsi="Times New Roman" w:cs="Times New Roman"/>
          <w:sz w:val="24"/>
          <w:szCs w:val="24"/>
          <w:shd w:val="clear" w:color="auto" w:fill="FFFFFF"/>
        </w:rPr>
        <w:t>. Diante dessa realidade e discussão que se tem no mundo jurídico, observam-se princípios que fazem refer</w:t>
      </w:r>
      <w:r w:rsidR="007B554B">
        <w:rPr>
          <w:rFonts w:ascii="Times New Roman" w:hAnsi="Times New Roman" w:cs="Times New Roman"/>
          <w:sz w:val="24"/>
          <w:szCs w:val="24"/>
          <w:shd w:val="clear" w:color="auto" w:fill="FFFFFF"/>
        </w:rPr>
        <w:t xml:space="preserve">ência à importância de se admitir a presunção de violência como critério relativo nos crimes de estupro de vulnerável, se tratando de vítimas adolescentes, analisam-se discussões doutrinarias e jurisprudenciais no tocante a vulnerabilidade, delineando-se a vulnerabilidade como absoluta quando figurar no polo passivo crianças, mas relativa quando se tratar de adolescentes </w:t>
      </w:r>
      <w:r w:rsidR="00980702">
        <w:rPr>
          <w:rFonts w:ascii="Times New Roman" w:hAnsi="Times New Roman" w:cs="Times New Roman"/>
          <w:sz w:val="24"/>
          <w:szCs w:val="24"/>
          <w:shd w:val="clear" w:color="auto" w:fill="FFFFFF"/>
        </w:rPr>
        <w:t>no polo em questão.</w:t>
      </w:r>
      <w:r w:rsidR="00072C52">
        <w:rPr>
          <w:rFonts w:ascii="Times New Roman" w:hAnsi="Times New Roman" w:cs="Times New Roman"/>
          <w:sz w:val="24"/>
          <w:szCs w:val="24"/>
          <w:shd w:val="clear" w:color="auto" w:fill="FFFFFF"/>
        </w:rPr>
        <w:t xml:space="preserve"> Ademais, utilizou-se de princípios penais, posicionamentos doutrinários e jurisprudenciais </w:t>
      </w:r>
      <w:r w:rsidR="00DA6F54">
        <w:rPr>
          <w:rFonts w:ascii="Times New Roman" w:hAnsi="Times New Roman" w:cs="Times New Roman"/>
          <w:sz w:val="24"/>
          <w:szCs w:val="24"/>
          <w:shd w:val="clear" w:color="auto" w:fill="FFFFFF"/>
        </w:rPr>
        <w:t xml:space="preserve">para </w:t>
      </w:r>
      <w:r w:rsidR="00072C52">
        <w:rPr>
          <w:rFonts w:ascii="Times New Roman" w:hAnsi="Times New Roman" w:cs="Times New Roman"/>
          <w:sz w:val="24"/>
          <w:szCs w:val="24"/>
          <w:shd w:val="clear" w:color="auto" w:fill="FFFFFF"/>
        </w:rPr>
        <w:t>discorrer acerca da presunção de violência e defender a sua relatividade.</w:t>
      </w:r>
    </w:p>
    <w:p w:rsidR="00081776" w:rsidRPr="000F6850" w:rsidRDefault="00E65DBD" w:rsidP="00E65DBD">
      <w:pPr>
        <w:spacing w:after="0" w:line="360" w:lineRule="auto"/>
        <w:jc w:val="both"/>
        <w:rPr>
          <w:rFonts w:ascii="Times New Roman" w:hAnsi="Times New Roman" w:cs="Times New Roman"/>
          <w:sz w:val="24"/>
          <w:szCs w:val="24"/>
          <w:lang w:val="en-US"/>
        </w:rPr>
      </w:pPr>
      <w:r w:rsidRPr="00081776">
        <w:rPr>
          <w:rFonts w:ascii="Times New Roman" w:hAnsi="Times New Roman" w:cs="Times New Roman"/>
          <w:sz w:val="24"/>
          <w:szCs w:val="24"/>
        </w:rPr>
        <w:t xml:space="preserve">PALAVRAS - CHAVE: Vulnerabilidade. </w:t>
      </w:r>
      <w:r w:rsidR="00081776" w:rsidRPr="00081776">
        <w:rPr>
          <w:rFonts w:ascii="Times New Roman" w:hAnsi="Times New Roman" w:cs="Times New Roman"/>
          <w:sz w:val="24"/>
          <w:szCs w:val="24"/>
        </w:rPr>
        <w:t>Presunção de Violência.</w:t>
      </w:r>
      <w:r w:rsidRPr="00081776">
        <w:rPr>
          <w:rFonts w:ascii="Times New Roman" w:hAnsi="Times New Roman" w:cs="Times New Roman"/>
          <w:sz w:val="24"/>
          <w:szCs w:val="24"/>
        </w:rPr>
        <w:t xml:space="preserve"> </w:t>
      </w:r>
      <w:r w:rsidR="00081776" w:rsidRPr="00081776">
        <w:rPr>
          <w:rFonts w:ascii="Times New Roman" w:hAnsi="Times New Roman" w:cs="Times New Roman"/>
          <w:sz w:val="24"/>
          <w:szCs w:val="24"/>
        </w:rPr>
        <w:t xml:space="preserve">Crime de Estupro de Vulnerável. </w:t>
      </w:r>
      <w:r w:rsidR="00081776" w:rsidRPr="00081776">
        <w:rPr>
          <w:rFonts w:ascii="Times New Roman" w:hAnsi="Times New Roman" w:cs="Times New Roman"/>
          <w:sz w:val="24"/>
          <w:szCs w:val="24"/>
          <w:lang w:val="en-US"/>
        </w:rPr>
        <w:t xml:space="preserve"> </w:t>
      </w:r>
      <w:r w:rsidR="00D92EBA">
        <w:rPr>
          <w:rFonts w:ascii="Times New Roman" w:hAnsi="Times New Roman" w:cs="Times New Roman"/>
          <w:sz w:val="24"/>
          <w:szCs w:val="24"/>
          <w:lang w:val="en-US"/>
        </w:rPr>
        <w:t xml:space="preserve">Criança e Adolescente. </w:t>
      </w:r>
    </w:p>
    <w:p w:rsidR="00081776" w:rsidRPr="000F6850" w:rsidRDefault="00081776" w:rsidP="00E65DBD">
      <w:pPr>
        <w:spacing w:after="0" w:line="360" w:lineRule="auto"/>
        <w:jc w:val="both"/>
        <w:rPr>
          <w:rFonts w:ascii="Times New Roman" w:hAnsi="Times New Roman" w:cs="Times New Roman"/>
          <w:sz w:val="24"/>
          <w:szCs w:val="24"/>
          <w:lang w:val="en-US"/>
        </w:rPr>
      </w:pPr>
    </w:p>
    <w:p w:rsidR="00E65DBD" w:rsidRPr="000F6850" w:rsidRDefault="00E65DBD" w:rsidP="00E6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rPr>
      </w:pPr>
      <w:r w:rsidRPr="000F6850">
        <w:rPr>
          <w:rFonts w:ascii="Times New Roman" w:eastAsia="Times New Roman" w:hAnsi="Times New Roman" w:cs="Times New Roman"/>
          <w:b/>
          <w:sz w:val="24"/>
          <w:szCs w:val="24"/>
          <w:lang w:val="en-US"/>
        </w:rPr>
        <w:t>ABSTRACT</w:t>
      </w:r>
    </w:p>
    <w:p w:rsidR="00E65DBD" w:rsidRPr="000F6850" w:rsidRDefault="00E65DBD" w:rsidP="00E65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p>
    <w:p w:rsidR="000F6850" w:rsidRPr="000F6850" w:rsidRDefault="000F6850" w:rsidP="00E65DBD">
      <w:pPr>
        <w:spacing w:after="0" w:line="360" w:lineRule="auto"/>
        <w:jc w:val="both"/>
        <w:rPr>
          <w:rFonts w:ascii="Times New Roman" w:hAnsi="Times New Roman" w:cs="Times New Roman"/>
          <w:sz w:val="24"/>
          <w:szCs w:val="24"/>
          <w:shd w:val="clear" w:color="auto" w:fill="FFFFFF"/>
          <w:lang w:val="en-US"/>
        </w:rPr>
      </w:pPr>
      <w:r w:rsidRPr="000F6850">
        <w:rPr>
          <w:rFonts w:ascii="Times New Roman" w:hAnsi="Times New Roman" w:cs="Times New Roman"/>
          <w:sz w:val="24"/>
          <w:szCs w:val="24"/>
          <w:shd w:val="clear" w:color="auto" w:fill="FFFFFF"/>
          <w:lang w:val="en-US"/>
        </w:rPr>
        <w:t>This article aims to report about the presumption of violence in the crimes of rape of vulnerable under the perspective of the Statute of the Child and the Adolescent. Highlighting the study on the “age” criterion established to define vulnerability in the commented crime, but with a central study for the cases in which adolescents appear as a passive subject. Firstly, it defines what would be “child and adolescent” and consequently analyzed the presumption of violence as a relative and not absolute criterion in this scenario, discussing what would be the fairest measure to apply. Given this reality and the discussion in the legal world, we observe principles that refer to the importance of admitting the presumption of violence as a relative criterion in the crimes of rape of the vulnerable, in the case of adolescent victims, and doctrinal discussions. case law regarding vulnerability, delineating vulnerability as absolute when it appears in the passive pole children, but relative when it comes to adolescents in the pole in question. In addition, it used criminal principles, doctrinal and jurisprudential positions to discuss the presumption of violence and defend its relativity.</w:t>
      </w:r>
    </w:p>
    <w:p w:rsidR="00E65DBD" w:rsidRDefault="000F6850" w:rsidP="00E65DBD">
      <w:pPr>
        <w:spacing w:after="0" w:line="360" w:lineRule="auto"/>
        <w:jc w:val="both"/>
        <w:rPr>
          <w:rFonts w:ascii="Times New Roman" w:hAnsi="Times New Roman" w:cs="Times New Roman"/>
          <w:sz w:val="24"/>
          <w:szCs w:val="24"/>
          <w:shd w:val="clear" w:color="auto" w:fill="FFFFFF"/>
          <w:lang w:val="en-US"/>
        </w:rPr>
      </w:pPr>
      <w:r w:rsidRPr="000F6850">
        <w:rPr>
          <w:rFonts w:ascii="Times New Roman" w:hAnsi="Times New Roman" w:cs="Times New Roman"/>
          <w:sz w:val="24"/>
          <w:szCs w:val="24"/>
          <w:shd w:val="clear" w:color="auto" w:fill="FFFFFF"/>
          <w:lang w:val="en-US"/>
        </w:rPr>
        <w:t>KEY WORDS: Vulnerability. Presumption of Violence. Vulnerable Rape Crime. Child and teenager.</w:t>
      </w:r>
    </w:p>
    <w:p w:rsidR="000F6850" w:rsidRPr="000F6850" w:rsidRDefault="000F6850" w:rsidP="00E65DBD">
      <w:pPr>
        <w:spacing w:after="0" w:line="360" w:lineRule="auto"/>
        <w:jc w:val="both"/>
        <w:rPr>
          <w:rFonts w:ascii="Times New Roman" w:hAnsi="Times New Roman" w:cs="Times New Roman"/>
          <w:sz w:val="24"/>
          <w:szCs w:val="24"/>
        </w:rPr>
      </w:pPr>
    </w:p>
    <w:p w:rsidR="00C338F5" w:rsidRDefault="00E65DBD" w:rsidP="00397746">
      <w:pPr>
        <w:spacing w:after="0" w:line="360" w:lineRule="auto"/>
        <w:jc w:val="both"/>
        <w:rPr>
          <w:rFonts w:ascii="Times New Roman" w:hAnsi="Times New Roman" w:cs="Times New Roman"/>
          <w:b/>
          <w:sz w:val="24"/>
          <w:szCs w:val="24"/>
        </w:rPr>
      </w:pPr>
      <w:r w:rsidRPr="000A038B">
        <w:rPr>
          <w:rFonts w:ascii="Times New Roman" w:hAnsi="Times New Roman" w:cs="Times New Roman"/>
          <w:b/>
          <w:sz w:val="24"/>
          <w:szCs w:val="24"/>
        </w:rPr>
        <w:t>1</w:t>
      </w:r>
      <w:r w:rsidR="00F650C0">
        <w:rPr>
          <w:rFonts w:ascii="Times New Roman" w:hAnsi="Times New Roman" w:cs="Times New Roman"/>
          <w:b/>
          <w:sz w:val="24"/>
          <w:szCs w:val="24"/>
        </w:rPr>
        <w:t>.</w:t>
      </w:r>
      <w:r w:rsidRPr="000A038B">
        <w:rPr>
          <w:rFonts w:ascii="Times New Roman" w:hAnsi="Times New Roman" w:cs="Times New Roman"/>
          <w:b/>
          <w:sz w:val="24"/>
          <w:szCs w:val="24"/>
        </w:rPr>
        <w:t xml:space="preserve"> INTRODUÇÃO</w:t>
      </w:r>
    </w:p>
    <w:p w:rsidR="00397746" w:rsidRPr="00397746" w:rsidRDefault="00397746" w:rsidP="00397746">
      <w:pPr>
        <w:spacing w:after="0" w:line="360" w:lineRule="auto"/>
        <w:jc w:val="both"/>
        <w:rPr>
          <w:rFonts w:ascii="Times New Roman" w:hAnsi="Times New Roman" w:cs="Times New Roman"/>
          <w:b/>
          <w:sz w:val="24"/>
          <w:szCs w:val="24"/>
        </w:rPr>
      </w:pPr>
    </w:p>
    <w:p w:rsidR="00D50419" w:rsidRDefault="000F3521"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r>
      <w:r w:rsidR="00236885">
        <w:rPr>
          <w:rFonts w:ascii="Times New Roman" w:hAnsi="Times New Roman"/>
          <w:color w:val="000000"/>
          <w:sz w:val="24"/>
          <w:szCs w:val="24"/>
        </w:rPr>
        <w:t xml:space="preserve">A princípio, </w:t>
      </w:r>
      <w:r w:rsidR="006373B1">
        <w:rPr>
          <w:rFonts w:ascii="Times New Roman" w:hAnsi="Times New Roman"/>
          <w:color w:val="000000"/>
          <w:sz w:val="24"/>
          <w:szCs w:val="24"/>
        </w:rPr>
        <w:t xml:space="preserve">pretende-se abordar acerca da presunção de violência nos </w:t>
      </w:r>
      <w:r w:rsidR="00D50419">
        <w:rPr>
          <w:rFonts w:ascii="Times New Roman" w:hAnsi="Times New Roman"/>
          <w:color w:val="000000"/>
          <w:sz w:val="24"/>
          <w:szCs w:val="24"/>
        </w:rPr>
        <w:t xml:space="preserve">crimes de estupro de vulnerável, tipificado no artigo 217-A, </w:t>
      </w:r>
      <w:r w:rsidR="00D50419" w:rsidRPr="00D50419">
        <w:rPr>
          <w:rFonts w:ascii="Times New Roman" w:hAnsi="Times New Roman"/>
          <w:i/>
          <w:color w:val="000000"/>
          <w:sz w:val="24"/>
          <w:szCs w:val="24"/>
        </w:rPr>
        <w:t>caput,</w:t>
      </w:r>
      <w:r w:rsidR="00D50419">
        <w:rPr>
          <w:rFonts w:ascii="Times New Roman" w:hAnsi="Times New Roman"/>
          <w:color w:val="000000"/>
          <w:sz w:val="24"/>
          <w:szCs w:val="24"/>
        </w:rPr>
        <w:t xml:space="preserve"> do Código Penal Brasileiro, sob a perspectiva do Estatuto da Criança e do Adolescente (Lei nº 8.069/90), tendo por base os conceito</w:t>
      </w:r>
      <w:r w:rsidR="00541F51">
        <w:rPr>
          <w:rFonts w:ascii="Times New Roman" w:hAnsi="Times New Roman"/>
          <w:color w:val="000000"/>
          <w:sz w:val="24"/>
          <w:szCs w:val="24"/>
        </w:rPr>
        <w:t>s do que seria</w:t>
      </w:r>
      <w:r w:rsidR="00D50419">
        <w:rPr>
          <w:rFonts w:ascii="Times New Roman" w:hAnsi="Times New Roman"/>
          <w:color w:val="000000"/>
          <w:sz w:val="24"/>
          <w:szCs w:val="24"/>
        </w:rPr>
        <w:t xml:space="preserve"> criança e adolescente advindo</w:t>
      </w:r>
      <w:r w:rsidR="00541F51">
        <w:rPr>
          <w:rFonts w:ascii="Times New Roman" w:hAnsi="Times New Roman"/>
          <w:color w:val="000000"/>
          <w:sz w:val="24"/>
          <w:szCs w:val="24"/>
        </w:rPr>
        <w:t>s</w:t>
      </w:r>
      <w:r w:rsidR="00D50419">
        <w:rPr>
          <w:rFonts w:ascii="Times New Roman" w:hAnsi="Times New Roman"/>
          <w:color w:val="000000"/>
          <w:sz w:val="24"/>
          <w:szCs w:val="24"/>
        </w:rPr>
        <w:t xml:space="preserve"> da supramencionada legislação. </w:t>
      </w:r>
    </w:p>
    <w:p w:rsidR="00EF2320" w:rsidRDefault="00D50419"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r>
      <w:r w:rsidR="00D666B7">
        <w:rPr>
          <w:rFonts w:ascii="Times New Roman" w:hAnsi="Times New Roman"/>
          <w:color w:val="000000"/>
          <w:sz w:val="24"/>
          <w:szCs w:val="24"/>
        </w:rPr>
        <w:t xml:space="preserve">O crime de estupro de vulnerável se encontra </w:t>
      </w:r>
      <w:r w:rsidR="00EF2320">
        <w:rPr>
          <w:rFonts w:ascii="Times New Roman" w:hAnsi="Times New Roman"/>
          <w:color w:val="000000"/>
          <w:sz w:val="24"/>
          <w:szCs w:val="24"/>
        </w:rPr>
        <w:t xml:space="preserve">na legislação penal </w:t>
      </w:r>
      <w:r w:rsidR="00D666B7">
        <w:rPr>
          <w:rFonts w:ascii="Times New Roman" w:hAnsi="Times New Roman"/>
          <w:color w:val="000000"/>
          <w:sz w:val="24"/>
          <w:szCs w:val="24"/>
        </w:rPr>
        <w:t>no capitulo de delitos contra a dignidade sexual, tendo como caracterização</w:t>
      </w:r>
      <w:r w:rsidR="00EF2320">
        <w:rPr>
          <w:rFonts w:ascii="Times New Roman" w:hAnsi="Times New Roman"/>
          <w:color w:val="000000"/>
          <w:sz w:val="24"/>
          <w:szCs w:val="24"/>
        </w:rPr>
        <w:t xml:space="preserve"> </w:t>
      </w:r>
      <w:r w:rsidR="00D666B7">
        <w:rPr>
          <w:rFonts w:ascii="Times New Roman" w:hAnsi="Times New Roman"/>
          <w:color w:val="000000"/>
          <w:sz w:val="24"/>
          <w:szCs w:val="24"/>
        </w:rPr>
        <w:t xml:space="preserve">a conjunção carnal ou ato libidinoso diverso com pessoa menor de 14 (catorze) anos, </w:t>
      </w:r>
      <w:r w:rsidR="00EF2320">
        <w:rPr>
          <w:rFonts w:ascii="Times New Roman" w:hAnsi="Times New Roman"/>
          <w:color w:val="000000"/>
          <w:sz w:val="24"/>
          <w:szCs w:val="24"/>
        </w:rPr>
        <w:t xml:space="preserve">pouco importando o consentimento da vítima, sua eventual experiência sexual anterior ou a existência de relacionamento amoroso entre o agente e a vítima.  </w:t>
      </w:r>
    </w:p>
    <w:p w:rsidR="00EF2320" w:rsidRDefault="00EF2320"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r>
      <w:r w:rsidR="003A14A4">
        <w:rPr>
          <w:rFonts w:ascii="Times New Roman" w:hAnsi="Times New Roman"/>
          <w:color w:val="000000"/>
          <w:sz w:val="24"/>
          <w:szCs w:val="24"/>
        </w:rPr>
        <w:t xml:space="preserve">Com o advento da nova redação e implantação do artigo 217-A, </w:t>
      </w:r>
      <w:r w:rsidR="003A14A4" w:rsidRPr="00541F51">
        <w:rPr>
          <w:rFonts w:ascii="Times New Roman" w:hAnsi="Times New Roman"/>
          <w:i/>
          <w:color w:val="000000"/>
          <w:sz w:val="24"/>
          <w:szCs w:val="24"/>
        </w:rPr>
        <w:t>caput,</w:t>
      </w:r>
      <w:r w:rsidR="003A14A4">
        <w:rPr>
          <w:rFonts w:ascii="Times New Roman" w:hAnsi="Times New Roman"/>
          <w:color w:val="000000"/>
          <w:sz w:val="24"/>
          <w:szCs w:val="24"/>
        </w:rPr>
        <w:t xml:space="preserve"> do Código Penal, suscitou-se muitos questionamentos casuísticos no tocante a presunção de violência nos crimes dessa natureza, uma vez que, embora não esteja consagrada explicitamente no tipo </w:t>
      </w:r>
      <w:r w:rsidR="003A14A4">
        <w:rPr>
          <w:rFonts w:ascii="Times New Roman" w:hAnsi="Times New Roman"/>
          <w:color w:val="000000"/>
          <w:sz w:val="24"/>
          <w:szCs w:val="24"/>
        </w:rPr>
        <w:lastRenderedPageBreak/>
        <w:t>penal, a presunção de violência é implícita ao fato da vítima ser pessoa menor de 14 (catorze) anos de idade, como bem foi firmado pela Súmula 593</w:t>
      </w:r>
      <w:r w:rsidR="0008723A">
        <w:rPr>
          <w:rFonts w:ascii="Times New Roman" w:hAnsi="Times New Roman"/>
          <w:color w:val="000000"/>
          <w:sz w:val="24"/>
          <w:szCs w:val="24"/>
        </w:rPr>
        <w:t xml:space="preserve"> do Superior</w:t>
      </w:r>
      <w:r w:rsidR="003A14A4">
        <w:rPr>
          <w:rFonts w:ascii="Times New Roman" w:hAnsi="Times New Roman"/>
          <w:color w:val="000000"/>
          <w:sz w:val="24"/>
          <w:szCs w:val="24"/>
        </w:rPr>
        <w:t xml:space="preserve"> Tribunal de Justiça.</w:t>
      </w:r>
    </w:p>
    <w:p w:rsidR="003A14A4" w:rsidRDefault="003A14A4"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t>No entanto, no que tange a essa presunção é necessário enxergar além do que aduz a súmula e os posicionamentos majoritários, deve</w:t>
      </w:r>
      <w:r w:rsidR="005B7F3A">
        <w:rPr>
          <w:rFonts w:ascii="Times New Roman" w:hAnsi="Times New Roman"/>
          <w:color w:val="000000"/>
          <w:sz w:val="24"/>
          <w:szCs w:val="24"/>
        </w:rPr>
        <w:t>mos</w:t>
      </w:r>
      <w:r>
        <w:rPr>
          <w:rFonts w:ascii="Times New Roman" w:hAnsi="Times New Roman"/>
          <w:color w:val="000000"/>
          <w:sz w:val="24"/>
          <w:szCs w:val="24"/>
        </w:rPr>
        <w:t xml:space="preserve"> compreender e observar o ramo do Direito</w:t>
      </w:r>
      <w:r w:rsidR="005B7F3A">
        <w:rPr>
          <w:rFonts w:ascii="Times New Roman" w:hAnsi="Times New Roman"/>
          <w:color w:val="000000"/>
          <w:sz w:val="24"/>
          <w:szCs w:val="24"/>
        </w:rPr>
        <w:t xml:space="preserve"> como um instrumento voltado</w:t>
      </w:r>
      <w:r>
        <w:rPr>
          <w:rFonts w:ascii="Times New Roman" w:hAnsi="Times New Roman"/>
          <w:color w:val="000000"/>
          <w:sz w:val="24"/>
          <w:szCs w:val="24"/>
        </w:rPr>
        <w:t xml:space="preserve"> a atender as necessidade</w:t>
      </w:r>
      <w:r w:rsidR="005B7F3A">
        <w:rPr>
          <w:rFonts w:ascii="Times New Roman" w:hAnsi="Times New Roman"/>
          <w:color w:val="000000"/>
          <w:sz w:val="24"/>
          <w:szCs w:val="24"/>
        </w:rPr>
        <w:t>s do homem e as consequências das práticas humanas advindo do mundo real que, utiliza-se das normas para estabelecer parâmetros de condutas humanas permissivas ou proibitivas, em busca de uma verdadeira justiça, mas, antes, deve-se buscar uma integração entre a norma e os fatos</w:t>
      </w:r>
      <w:r w:rsidR="00CC7F96">
        <w:rPr>
          <w:rFonts w:ascii="Times New Roman" w:hAnsi="Times New Roman"/>
          <w:color w:val="000000"/>
          <w:sz w:val="24"/>
          <w:szCs w:val="24"/>
        </w:rPr>
        <w:t xml:space="preserve">, o que é conhecido no mundo jurídico por </w:t>
      </w:r>
      <w:r w:rsidR="00CC7F96" w:rsidRPr="00CC7F96">
        <w:rPr>
          <w:rFonts w:ascii="Times New Roman" w:hAnsi="Times New Roman"/>
          <w:color w:val="000000"/>
          <w:sz w:val="24"/>
          <w:szCs w:val="24"/>
        </w:rPr>
        <w:t>tridimensionalidade do direito</w:t>
      </w:r>
      <w:r w:rsidR="005B7F3A">
        <w:rPr>
          <w:rFonts w:ascii="Times New Roman" w:hAnsi="Times New Roman"/>
          <w:color w:val="000000"/>
          <w:sz w:val="24"/>
          <w:szCs w:val="24"/>
        </w:rPr>
        <w:t>.</w:t>
      </w:r>
    </w:p>
    <w:p w:rsidR="005B7F3A" w:rsidRDefault="005B7F3A"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t>Desta feita, surge a imposição de interpretar as normas conforme cada conduta humana, em cada espaço e em cada época, tendo em vista que, embora muitas vezes as condutas se apresentem como aparentemente iguais, dicotomicamente guardam uma diferença social, moral e emocional.</w:t>
      </w:r>
    </w:p>
    <w:p w:rsidR="000C42D3" w:rsidRDefault="00541F51"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t>Assim, esse estudo busca</w:t>
      </w:r>
      <w:r w:rsidR="000C42D3">
        <w:rPr>
          <w:rFonts w:ascii="Times New Roman" w:hAnsi="Times New Roman"/>
          <w:color w:val="000000"/>
          <w:sz w:val="24"/>
          <w:szCs w:val="24"/>
        </w:rPr>
        <w:t xml:space="preserve"> contribuir com as atuais discussões acerca da aplicação da presunção relativa de violência nos crimes de estupro de vulnerável sob a ótica do Estatuto da Criança e do Adolescente, o qual </w:t>
      </w:r>
      <w:r w:rsidR="00CC7F96">
        <w:rPr>
          <w:rFonts w:ascii="Times New Roman" w:hAnsi="Times New Roman"/>
          <w:color w:val="000000"/>
          <w:sz w:val="24"/>
          <w:szCs w:val="24"/>
        </w:rPr>
        <w:t>traz conceitos do que seria</w:t>
      </w:r>
      <w:r w:rsidR="000C42D3">
        <w:rPr>
          <w:rFonts w:ascii="Times New Roman" w:hAnsi="Times New Roman"/>
          <w:color w:val="000000"/>
          <w:sz w:val="24"/>
          <w:szCs w:val="24"/>
        </w:rPr>
        <w:t xml:space="preserve"> </w:t>
      </w:r>
      <w:r w:rsidR="00CC7F96">
        <w:rPr>
          <w:rFonts w:ascii="Times New Roman" w:hAnsi="Times New Roman"/>
          <w:color w:val="000000"/>
          <w:sz w:val="24"/>
          <w:szCs w:val="24"/>
        </w:rPr>
        <w:t>“criança” e</w:t>
      </w:r>
      <w:r w:rsidR="000C42D3">
        <w:rPr>
          <w:rFonts w:ascii="Times New Roman" w:hAnsi="Times New Roman"/>
          <w:color w:val="000000"/>
          <w:sz w:val="24"/>
          <w:szCs w:val="24"/>
        </w:rPr>
        <w:t xml:space="preserve"> </w:t>
      </w:r>
      <w:r w:rsidR="00CC7F96">
        <w:rPr>
          <w:rFonts w:ascii="Times New Roman" w:hAnsi="Times New Roman"/>
          <w:color w:val="000000"/>
          <w:sz w:val="24"/>
          <w:szCs w:val="24"/>
        </w:rPr>
        <w:t>“</w:t>
      </w:r>
      <w:r w:rsidR="000C42D3">
        <w:rPr>
          <w:rFonts w:ascii="Times New Roman" w:hAnsi="Times New Roman"/>
          <w:color w:val="000000"/>
          <w:sz w:val="24"/>
          <w:szCs w:val="24"/>
        </w:rPr>
        <w:t>adolescente</w:t>
      </w:r>
      <w:r w:rsidR="00CC7F96">
        <w:rPr>
          <w:rFonts w:ascii="Times New Roman" w:hAnsi="Times New Roman"/>
          <w:color w:val="000000"/>
          <w:sz w:val="24"/>
          <w:szCs w:val="24"/>
        </w:rPr>
        <w:t>”</w:t>
      </w:r>
      <w:r w:rsidR="003A496C">
        <w:rPr>
          <w:rFonts w:ascii="Times New Roman" w:hAnsi="Times New Roman"/>
          <w:color w:val="000000"/>
          <w:sz w:val="24"/>
          <w:szCs w:val="24"/>
        </w:rPr>
        <w:t>, bem como</w:t>
      </w:r>
      <w:r w:rsidR="000C42D3">
        <w:rPr>
          <w:rFonts w:ascii="Times New Roman" w:hAnsi="Times New Roman"/>
          <w:color w:val="000000"/>
          <w:sz w:val="24"/>
          <w:szCs w:val="24"/>
        </w:rPr>
        <w:t xml:space="preserve"> </w:t>
      </w:r>
      <w:r w:rsidR="00CC7F96">
        <w:rPr>
          <w:rFonts w:ascii="Times New Roman" w:hAnsi="Times New Roman"/>
          <w:color w:val="000000"/>
          <w:sz w:val="24"/>
          <w:szCs w:val="24"/>
        </w:rPr>
        <w:t xml:space="preserve">quais são seus </w:t>
      </w:r>
      <w:r w:rsidR="000C42D3">
        <w:rPr>
          <w:rFonts w:ascii="Times New Roman" w:hAnsi="Times New Roman"/>
          <w:color w:val="000000"/>
          <w:sz w:val="24"/>
          <w:szCs w:val="24"/>
        </w:rPr>
        <w:t>direitos e</w:t>
      </w:r>
      <w:r w:rsidR="003A496C">
        <w:rPr>
          <w:rFonts w:ascii="Times New Roman" w:hAnsi="Times New Roman"/>
          <w:color w:val="000000"/>
          <w:sz w:val="24"/>
          <w:szCs w:val="24"/>
        </w:rPr>
        <w:t xml:space="preserve"> suas</w:t>
      </w:r>
      <w:r w:rsidR="000C42D3">
        <w:rPr>
          <w:rFonts w:ascii="Times New Roman" w:hAnsi="Times New Roman"/>
          <w:color w:val="000000"/>
          <w:sz w:val="24"/>
          <w:szCs w:val="24"/>
        </w:rPr>
        <w:t xml:space="preserve"> garantias</w:t>
      </w:r>
      <w:r w:rsidR="003A496C">
        <w:rPr>
          <w:rFonts w:ascii="Times New Roman" w:hAnsi="Times New Roman"/>
          <w:color w:val="000000"/>
          <w:sz w:val="24"/>
          <w:szCs w:val="24"/>
        </w:rPr>
        <w:t>, voltado o estudo apenas aos adolescentes</w:t>
      </w:r>
      <w:r w:rsidR="000C42D3">
        <w:rPr>
          <w:rFonts w:ascii="Times New Roman" w:hAnsi="Times New Roman"/>
          <w:color w:val="000000"/>
          <w:sz w:val="24"/>
          <w:szCs w:val="24"/>
        </w:rPr>
        <w:t xml:space="preserve">. </w:t>
      </w:r>
    </w:p>
    <w:p w:rsidR="000C42D3" w:rsidRDefault="000C42D3"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t>Nesse sentido, tendo por base posicionamentos doutrinários e jurisprudência há necessidade de refletir acerca do crime de estupro de vulnerável e sua aplicabilidade no mundo jurídico com base nas seguintes questões, vejamos: a)</w:t>
      </w:r>
      <w:r w:rsidR="00317CF3">
        <w:rPr>
          <w:rFonts w:ascii="Times New Roman" w:hAnsi="Times New Roman"/>
          <w:color w:val="000000"/>
          <w:sz w:val="24"/>
          <w:szCs w:val="24"/>
        </w:rPr>
        <w:t xml:space="preserve"> O que é vulnerabilidade e qual critério utilizado para tipificar o crime de estupro de vulnerável?</w:t>
      </w:r>
      <w:r w:rsidR="003A496C">
        <w:rPr>
          <w:rFonts w:ascii="Times New Roman" w:hAnsi="Times New Roman"/>
          <w:color w:val="000000"/>
          <w:sz w:val="24"/>
          <w:szCs w:val="24"/>
        </w:rPr>
        <w:t>;</w:t>
      </w:r>
      <w:r w:rsidR="00317CF3">
        <w:rPr>
          <w:rFonts w:ascii="Times New Roman" w:hAnsi="Times New Roman"/>
          <w:color w:val="000000"/>
          <w:sz w:val="24"/>
          <w:szCs w:val="24"/>
        </w:rPr>
        <w:t xml:space="preserve"> b) O que é criança e adolescente na visão do Estatuto da Criança e </w:t>
      </w:r>
      <w:r w:rsidR="003A496C">
        <w:rPr>
          <w:rFonts w:ascii="Times New Roman" w:hAnsi="Times New Roman"/>
          <w:color w:val="000000"/>
          <w:sz w:val="24"/>
          <w:szCs w:val="24"/>
        </w:rPr>
        <w:t xml:space="preserve">do Adolescente?; </w:t>
      </w:r>
      <w:r w:rsidR="00317CF3">
        <w:rPr>
          <w:rFonts w:ascii="Times New Roman" w:hAnsi="Times New Roman"/>
          <w:color w:val="000000"/>
          <w:sz w:val="24"/>
          <w:szCs w:val="24"/>
        </w:rPr>
        <w:t xml:space="preserve">c) A dignidade sexual é um direito maior que a liberdade de escolha? d) Até que ponto a presunção absoluta no crime em questão é benéfica? São estas as indagações trazidas pelo presente trabalho, com vistas a assegurar a discussão acerca da presunção de violência como critério relativo </w:t>
      </w:r>
      <w:r w:rsidR="00CC7F96">
        <w:rPr>
          <w:rFonts w:ascii="Times New Roman" w:hAnsi="Times New Roman"/>
          <w:color w:val="000000"/>
          <w:sz w:val="24"/>
          <w:szCs w:val="24"/>
        </w:rPr>
        <w:t xml:space="preserve">ao crime em tela </w:t>
      </w:r>
      <w:r w:rsidR="00317CF3">
        <w:rPr>
          <w:rFonts w:ascii="Times New Roman" w:hAnsi="Times New Roman"/>
          <w:color w:val="000000"/>
          <w:sz w:val="24"/>
          <w:szCs w:val="24"/>
        </w:rPr>
        <w:t>tendo por base os princípios do Direito Penal Brasileiro, a saber, o princípio da inocência, da adequação social, do “</w:t>
      </w:r>
      <w:r w:rsidR="00317CF3" w:rsidRPr="00317CF3">
        <w:rPr>
          <w:rFonts w:ascii="Times New Roman" w:hAnsi="Times New Roman"/>
          <w:i/>
          <w:color w:val="000000"/>
          <w:sz w:val="24"/>
          <w:szCs w:val="24"/>
        </w:rPr>
        <w:t>in dubio pro reo</w:t>
      </w:r>
      <w:r w:rsidR="00317CF3">
        <w:rPr>
          <w:rFonts w:ascii="Times New Roman" w:hAnsi="Times New Roman"/>
          <w:i/>
          <w:color w:val="000000"/>
          <w:sz w:val="24"/>
          <w:szCs w:val="24"/>
        </w:rPr>
        <w:t xml:space="preserve">”, </w:t>
      </w:r>
      <w:r w:rsidR="00317CF3">
        <w:rPr>
          <w:rFonts w:ascii="Times New Roman" w:hAnsi="Times New Roman"/>
          <w:color w:val="000000"/>
          <w:sz w:val="24"/>
          <w:szCs w:val="24"/>
        </w:rPr>
        <w:t>o princípio da of</w:t>
      </w:r>
      <w:r w:rsidR="00630061">
        <w:rPr>
          <w:rFonts w:ascii="Times New Roman" w:hAnsi="Times New Roman"/>
          <w:color w:val="000000"/>
          <w:sz w:val="24"/>
          <w:szCs w:val="24"/>
        </w:rPr>
        <w:t>ensividade e proporcionalidade.</w:t>
      </w:r>
    </w:p>
    <w:p w:rsidR="00C14129" w:rsidRDefault="00C14129" w:rsidP="00223676">
      <w:pPr>
        <w:pStyle w:val="Padro"/>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t xml:space="preserve">Buscou-se ostentar a importância da discussão na medida em que </w:t>
      </w:r>
      <w:r w:rsidR="00CC7F96">
        <w:rPr>
          <w:rFonts w:ascii="Times New Roman" w:hAnsi="Times New Roman"/>
          <w:color w:val="000000"/>
          <w:sz w:val="24"/>
          <w:szCs w:val="24"/>
        </w:rPr>
        <w:t>se procura</w:t>
      </w:r>
      <w:r>
        <w:rPr>
          <w:rFonts w:ascii="Times New Roman" w:hAnsi="Times New Roman"/>
          <w:color w:val="000000"/>
          <w:sz w:val="24"/>
          <w:szCs w:val="24"/>
        </w:rPr>
        <w:t xml:space="preserve"> debater e avançar conhecimentos sobre as transformações da realidade sob o contexto do princípio da adequação social, bem como analisar acerca da relevância jurídica da palavra da vítima nos crimes dessa natureza.</w:t>
      </w:r>
    </w:p>
    <w:p w:rsidR="00CC7F96" w:rsidRDefault="00C14129" w:rsidP="00223676">
      <w:pPr>
        <w:pStyle w:val="Padro"/>
        <w:spacing w:after="0" w:line="360" w:lineRule="auto"/>
        <w:ind w:right="-143"/>
        <w:jc w:val="both"/>
        <w:rPr>
          <w:rFonts w:ascii="Times New Roman" w:hAnsi="Times New Roman"/>
          <w:sz w:val="24"/>
          <w:szCs w:val="24"/>
        </w:rPr>
      </w:pPr>
      <w:r>
        <w:rPr>
          <w:rFonts w:ascii="Times New Roman" w:hAnsi="Times New Roman"/>
          <w:color w:val="000000"/>
          <w:sz w:val="24"/>
          <w:szCs w:val="24"/>
        </w:rPr>
        <w:tab/>
        <w:t xml:space="preserve">No tocante a metodologia utilizada no trabalho, vislumbra-se que a mesma é um estudo exploratório de reflexão crítica, com abordagem compreensiva-interpretativa, </w:t>
      </w:r>
      <w:r>
        <w:rPr>
          <w:rFonts w:ascii="Times New Roman" w:hAnsi="Times New Roman"/>
          <w:sz w:val="24"/>
          <w:szCs w:val="24"/>
        </w:rPr>
        <w:t xml:space="preserve">visto que, o objetivo do trabalho é proporcionar maior conhecimento juntamente com o problema, para </w:t>
      </w:r>
      <w:r>
        <w:rPr>
          <w:rFonts w:ascii="Times New Roman" w:hAnsi="Times New Roman"/>
          <w:sz w:val="24"/>
          <w:szCs w:val="24"/>
        </w:rPr>
        <w:lastRenderedPageBreak/>
        <w:t xml:space="preserve">assim tornar mais explícito, com isso para a atingir os objetivos desse estudo o método utilizado foi o dedutivo, uma vez que  partira de uma situação geral para </w:t>
      </w:r>
      <w:r w:rsidR="00CC7F96">
        <w:rPr>
          <w:rFonts w:ascii="Times New Roman" w:hAnsi="Times New Roman"/>
          <w:sz w:val="24"/>
          <w:szCs w:val="24"/>
        </w:rPr>
        <w:t>o especifico, ou seja, observou</w:t>
      </w:r>
      <w:r>
        <w:rPr>
          <w:rFonts w:ascii="Times New Roman" w:hAnsi="Times New Roman"/>
          <w:sz w:val="24"/>
          <w:szCs w:val="24"/>
        </w:rPr>
        <w:t xml:space="preserve"> as transformações ocorridas quanto ao julgamento das decisões, a transformação social e as soluções viáveis em caso de estupro de vulnerável.  </w:t>
      </w:r>
    </w:p>
    <w:p w:rsidR="00C14129" w:rsidRDefault="00CC7F96" w:rsidP="00223676">
      <w:pPr>
        <w:pStyle w:val="Padro"/>
        <w:spacing w:after="0" w:line="360" w:lineRule="auto"/>
        <w:ind w:right="-143"/>
        <w:jc w:val="both"/>
        <w:rPr>
          <w:rFonts w:ascii="Times New Roman" w:hAnsi="Times New Roman"/>
          <w:color w:val="000000"/>
          <w:sz w:val="24"/>
          <w:szCs w:val="24"/>
        </w:rPr>
      </w:pPr>
      <w:r>
        <w:rPr>
          <w:rFonts w:ascii="Times New Roman" w:hAnsi="Times New Roman"/>
          <w:sz w:val="24"/>
          <w:szCs w:val="24"/>
        </w:rPr>
        <w:tab/>
        <w:t>Por fim, o</w:t>
      </w:r>
      <w:r w:rsidR="00C14129">
        <w:rPr>
          <w:rFonts w:ascii="Times New Roman" w:hAnsi="Times New Roman"/>
          <w:color w:val="000000"/>
          <w:sz w:val="24"/>
          <w:szCs w:val="24"/>
        </w:rPr>
        <w:t xml:space="preserve"> procedimento técnico será a revisão bibliográfica, na qual serão obtidos in</w:t>
      </w:r>
      <w:r>
        <w:rPr>
          <w:rFonts w:ascii="Times New Roman" w:hAnsi="Times New Roman"/>
          <w:color w:val="000000"/>
          <w:sz w:val="24"/>
          <w:szCs w:val="24"/>
        </w:rPr>
        <w:t>formações e contextos de doutrinas,</w:t>
      </w:r>
      <w:r w:rsidR="00C14129">
        <w:rPr>
          <w:rFonts w:ascii="Times New Roman" w:hAnsi="Times New Roman"/>
          <w:color w:val="000000"/>
          <w:sz w:val="24"/>
          <w:szCs w:val="24"/>
        </w:rPr>
        <w:t xml:space="preserve"> </w:t>
      </w:r>
      <w:r>
        <w:rPr>
          <w:rFonts w:ascii="Times New Roman" w:hAnsi="Times New Roman"/>
          <w:color w:val="000000"/>
          <w:sz w:val="24"/>
          <w:szCs w:val="24"/>
        </w:rPr>
        <w:t>artigos científicos, revistas e jornais para a realização da pesquisa e uma reflexão crítica acerca do tema em questão.</w:t>
      </w:r>
    </w:p>
    <w:p w:rsidR="00397746" w:rsidRDefault="00397746" w:rsidP="003A496C">
      <w:pPr>
        <w:pStyle w:val="tj"/>
        <w:spacing w:line="360" w:lineRule="auto"/>
        <w:jc w:val="both"/>
        <w:rPr>
          <w:rFonts w:eastAsia="Calibri"/>
          <w:color w:val="000000"/>
          <w:lang w:eastAsia="en-US"/>
        </w:rPr>
      </w:pPr>
    </w:p>
    <w:p w:rsidR="00C338F5" w:rsidRDefault="00397746">
      <w:pPr>
        <w:pStyle w:val="tj"/>
        <w:spacing w:line="360" w:lineRule="auto"/>
        <w:jc w:val="both"/>
        <w:rPr>
          <w:b/>
        </w:rPr>
      </w:pPr>
      <w:r>
        <w:rPr>
          <w:b/>
        </w:rPr>
        <w:t>2</w:t>
      </w:r>
      <w:r w:rsidR="00F650C0">
        <w:rPr>
          <w:b/>
        </w:rPr>
        <w:t>.</w:t>
      </w:r>
      <w:r w:rsidRPr="000A038B">
        <w:rPr>
          <w:b/>
        </w:rPr>
        <w:t xml:space="preserve"> </w:t>
      </w:r>
      <w:r>
        <w:rPr>
          <w:b/>
        </w:rPr>
        <w:t>CRIME DE ESTUPRO DE VULNERÁVEL</w:t>
      </w:r>
    </w:p>
    <w:p w:rsidR="00397746" w:rsidRPr="008F4924" w:rsidRDefault="00397746">
      <w:pPr>
        <w:pStyle w:val="tj"/>
        <w:spacing w:line="360" w:lineRule="auto"/>
        <w:jc w:val="both"/>
        <w:rPr>
          <w:b/>
        </w:rPr>
      </w:pPr>
    </w:p>
    <w:p w:rsidR="00DB31C8" w:rsidRDefault="00397746" w:rsidP="00DB31C8">
      <w:pPr>
        <w:pStyle w:val="tj"/>
        <w:spacing w:line="360" w:lineRule="auto"/>
        <w:jc w:val="both"/>
        <w:rPr>
          <w:color w:val="000000"/>
        </w:rPr>
      </w:pPr>
      <w:r w:rsidRPr="008F4924">
        <w:rPr>
          <w:b/>
        </w:rPr>
        <w:tab/>
      </w:r>
      <w:r w:rsidRPr="008F4924">
        <w:t xml:space="preserve">O crime de estupro de vulnerável é tipificado no artigo 217-A, caput, do Código Penal Brasileiro, </w:t>
      </w:r>
      <w:r w:rsidR="00DB31C8" w:rsidRPr="008F4924">
        <w:t>o qual tem a seguinte redação: “ter conjunção carnal ou praticar outro ato libidinoso com menor de 14 (catorze) anos</w:t>
      </w:r>
      <w:r w:rsidR="00DB31C8" w:rsidRPr="00DB31C8">
        <w:rPr>
          <w:i/>
        </w:rPr>
        <w:t>”.</w:t>
      </w:r>
      <w:r w:rsidR="00DB31C8">
        <w:rPr>
          <w:i/>
        </w:rPr>
        <w:t xml:space="preserve"> </w:t>
      </w:r>
      <w:r w:rsidR="00DB31C8">
        <w:t>Vislumbra-se assim que, para a c</w:t>
      </w:r>
      <w:r w:rsidR="007058F0">
        <w:t xml:space="preserve">onsumação </w:t>
      </w:r>
      <w:r w:rsidR="00DB31C8">
        <w:t>do delito em estudo basta</w:t>
      </w:r>
      <w:r w:rsidR="00DB31C8">
        <w:rPr>
          <w:color w:val="000000"/>
        </w:rPr>
        <w:t xml:space="preserve"> </w:t>
      </w:r>
      <w:r w:rsidR="00F37D9B">
        <w:rPr>
          <w:color w:val="000000"/>
        </w:rPr>
        <w:t>à</w:t>
      </w:r>
      <w:r w:rsidR="00DB31C8">
        <w:rPr>
          <w:color w:val="000000"/>
        </w:rPr>
        <w:t xml:space="preserve"> conjunção carnal ou ato libidinoso diverso com </w:t>
      </w:r>
      <w:r w:rsidR="00BF5889">
        <w:rPr>
          <w:color w:val="000000"/>
        </w:rPr>
        <w:t>criança ou adolescente desde q</w:t>
      </w:r>
      <w:r w:rsidR="007058F0">
        <w:rPr>
          <w:color w:val="000000"/>
        </w:rPr>
        <w:t>ue com idade inferior</w:t>
      </w:r>
      <w:r w:rsidR="00DB31C8">
        <w:rPr>
          <w:color w:val="000000"/>
        </w:rPr>
        <w:t xml:space="preserve"> </w:t>
      </w:r>
      <w:r w:rsidR="007058F0">
        <w:rPr>
          <w:color w:val="000000"/>
        </w:rPr>
        <w:t>à</w:t>
      </w:r>
      <w:r w:rsidR="00DB31C8">
        <w:rPr>
          <w:color w:val="000000"/>
        </w:rPr>
        <w:t xml:space="preserve"> 14 (catorze) anos, pouco importando o consentimento da vítima, </w:t>
      </w:r>
      <w:r w:rsidR="007058F0">
        <w:rPr>
          <w:color w:val="000000"/>
        </w:rPr>
        <w:t>a</w:t>
      </w:r>
      <w:r w:rsidR="00DB31C8">
        <w:rPr>
          <w:color w:val="000000"/>
        </w:rPr>
        <w:t xml:space="preserve"> existência de relacionamento amoroso entre o agente e a vítima</w:t>
      </w:r>
      <w:r w:rsidR="007058F0">
        <w:rPr>
          <w:color w:val="000000"/>
        </w:rPr>
        <w:t xml:space="preserve"> ou sua eventual experiência sexual</w:t>
      </w:r>
      <w:r w:rsidR="00DB31C8">
        <w:rPr>
          <w:color w:val="000000"/>
        </w:rPr>
        <w:t xml:space="preserve"> </w:t>
      </w:r>
      <w:r w:rsidR="007058F0">
        <w:rPr>
          <w:color w:val="000000"/>
        </w:rPr>
        <w:t>anterior ao ato.</w:t>
      </w:r>
    </w:p>
    <w:p w:rsidR="00DB31C8" w:rsidRDefault="00F37D9B" w:rsidP="00DB31C8">
      <w:pPr>
        <w:pStyle w:val="tj"/>
        <w:spacing w:line="360" w:lineRule="auto"/>
        <w:jc w:val="both"/>
        <w:rPr>
          <w:color w:val="000000"/>
        </w:rPr>
      </w:pPr>
      <w:r>
        <w:rPr>
          <w:color w:val="000000"/>
        </w:rPr>
        <w:tab/>
        <w:t>Nesta linha, mostra-se que para fins penais é considerada vulnerável a pessoa menor de 14 (catorze) anos, com base no artigo em comento, não obstante, a legislação amplia o rol de vulnerabilidade e alcança a pessoa que possui enfermidade ou deficiência mental que não tem o discernimento para a prática do ato, ou que, por qualq</w:t>
      </w:r>
      <w:r w:rsidR="003A496C">
        <w:rPr>
          <w:color w:val="000000"/>
        </w:rPr>
        <w:t>uer outra causa, não possa</w:t>
      </w:r>
      <w:r>
        <w:rPr>
          <w:color w:val="000000"/>
        </w:rPr>
        <w:t xml:space="preserve"> oferecer resistência. No entanto, nesse estudo nos concentramos apenas na vulnerabilidade pela faixa etária, qual seja a disponível no </w:t>
      </w:r>
      <w:r w:rsidRPr="00F37D9B">
        <w:rPr>
          <w:i/>
          <w:color w:val="000000"/>
        </w:rPr>
        <w:t>caput</w:t>
      </w:r>
      <w:r>
        <w:rPr>
          <w:color w:val="000000"/>
        </w:rPr>
        <w:t xml:space="preserve"> do crime de estupro de vulnerável.</w:t>
      </w:r>
    </w:p>
    <w:p w:rsidR="00F37D9B" w:rsidRDefault="00F37D9B" w:rsidP="00F37D9B">
      <w:pPr>
        <w:pStyle w:val="tj"/>
        <w:spacing w:line="360" w:lineRule="auto"/>
        <w:jc w:val="both"/>
        <w:rPr>
          <w:color w:val="000000"/>
        </w:rPr>
      </w:pPr>
      <w:r>
        <w:rPr>
          <w:color w:val="000000"/>
        </w:rPr>
        <w:tab/>
        <w:t>Desta feita, o referido delito é</w:t>
      </w:r>
      <w:r w:rsidR="00DB31C8">
        <w:rPr>
          <w:color w:val="000000"/>
        </w:rPr>
        <w:t xml:space="preserve"> classificado pela doutrina como crime comum (pode ser praticado por qualquer agente penalmente responsável), de manifestação livre e instantâneo (consumação imediata, desde que reunidos os elementos do crime</w:t>
      </w:r>
      <w:r>
        <w:rPr>
          <w:color w:val="000000"/>
        </w:rPr>
        <w:t>).</w:t>
      </w:r>
    </w:p>
    <w:p w:rsidR="00F06393" w:rsidRDefault="00F06393" w:rsidP="00F37D9B">
      <w:pPr>
        <w:pStyle w:val="tj"/>
        <w:spacing w:line="360" w:lineRule="auto"/>
        <w:jc w:val="both"/>
        <w:rPr>
          <w:color w:val="000000"/>
        </w:rPr>
      </w:pPr>
      <w:r>
        <w:rPr>
          <w:color w:val="000000"/>
        </w:rPr>
        <w:tab/>
        <w:t xml:space="preserve">É possível perceber assim que, para </w:t>
      </w:r>
      <w:r w:rsidR="000D27A9">
        <w:rPr>
          <w:color w:val="000000"/>
        </w:rPr>
        <w:t>indicação</w:t>
      </w:r>
      <w:r>
        <w:rPr>
          <w:color w:val="000000"/>
        </w:rPr>
        <w:t xml:space="preserve"> do crime</w:t>
      </w:r>
      <w:r w:rsidR="000D27A9">
        <w:rPr>
          <w:color w:val="000000"/>
        </w:rPr>
        <w:t xml:space="preserve"> em tela</w:t>
      </w:r>
      <w:r>
        <w:rPr>
          <w:color w:val="000000"/>
        </w:rPr>
        <w:t xml:space="preserve"> pouco importa o agente ativo da ação, o delito se volta a alcançar a vítima do intento criminoso, ou seja, o sujeito passivo, o qual se encontra em vulnerabilidade, sendo penalmente punível o agente que tem conjunção carnal ou pratica ato libidinoso diverso em pessoa menor de 14 (catorze) anos.</w:t>
      </w:r>
    </w:p>
    <w:p w:rsidR="00F06393" w:rsidRDefault="00F06393" w:rsidP="00F37D9B">
      <w:pPr>
        <w:pStyle w:val="tj"/>
        <w:spacing w:line="360" w:lineRule="auto"/>
        <w:jc w:val="both"/>
        <w:rPr>
          <w:color w:val="000000"/>
        </w:rPr>
      </w:pPr>
    </w:p>
    <w:p w:rsidR="00F06393" w:rsidRDefault="00F06393" w:rsidP="00F37D9B">
      <w:pPr>
        <w:pStyle w:val="tj"/>
        <w:spacing w:line="360" w:lineRule="auto"/>
        <w:jc w:val="both"/>
        <w:rPr>
          <w:b/>
        </w:rPr>
      </w:pPr>
      <w:r>
        <w:rPr>
          <w:b/>
        </w:rPr>
        <w:t>3</w:t>
      </w:r>
      <w:r w:rsidR="00F650C0">
        <w:rPr>
          <w:b/>
        </w:rPr>
        <w:t>.</w:t>
      </w:r>
      <w:r>
        <w:rPr>
          <w:b/>
        </w:rPr>
        <w:t xml:space="preserve"> VULNERÁBILIDADE</w:t>
      </w:r>
      <w:r w:rsidR="00864299">
        <w:rPr>
          <w:b/>
        </w:rPr>
        <w:t xml:space="preserve"> E O ESTATUTO DA CRIANÇA E DO ADOLESCENTE</w:t>
      </w:r>
    </w:p>
    <w:p w:rsidR="00F06393" w:rsidRDefault="00F06393" w:rsidP="00F37D9B">
      <w:pPr>
        <w:pStyle w:val="tj"/>
        <w:spacing w:line="360" w:lineRule="auto"/>
        <w:jc w:val="both"/>
        <w:rPr>
          <w:b/>
        </w:rPr>
      </w:pPr>
    </w:p>
    <w:p w:rsidR="0008723A" w:rsidRPr="004F2A89" w:rsidRDefault="00F06393" w:rsidP="0008723A">
      <w:pPr>
        <w:pStyle w:val="tj"/>
        <w:spacing w:line="360" w:lineRule="auto"/>
        <w:jc w:val="both"/>
      </w:pPr>
      <w:r>
        <w:rPr>
          <w:b/>
        </w:rPr>
        <w:tab/>
      </w:r>
      <w:r w:rsidR="0008723A">
        <w:t>Em primeiro plano vale destacar que, o Superior Tribunal de Justiça, no ano de 2017, definiu o entendimento no tocante ao estupro de vulnerável através da Súmula 593, a qual aduz que “</w:t>
      </w:r>
      <w:r w:rsidR="0008723A" w:rsidRPr="004F2A89">
        <w:t>o crime de estupro de vulnerável configura-se com a conjunção carnal ou prática de ato libidinoso com menor de 14 anos, sendo irrelevante o eventual consentimento da vítima para a prática do ato, experiência sexual anterior ou existência de relacionamento com o agente”</w:t>
      </w:r>
      <w:r w:rsidR="00555D07">
        <w:t xml:space="preserve"> (STJ, Súmula 593, 2017)</w:t>
      </w:r>
      <w:r w:rsidR="0008723A" w:rsidRPr="004F2A89">
        <w:t>.</w:t>
      </w:r>
    </w:p>
    <w:p w:rsidR="0008723A" w:rsidRDefault="0008723A" w:rsidP="0008723A">
      <w:pPr>
        <w:pStyle w:val="tj"/>
        <w:spacing w:line="360" w:lineRule="auto"/>
        <w:jc w:val="both"/>
      </w:pPr>
      <w:r>
        <w:rPr>
          <w:i/>
        </w:rPr>
        <w:tab/>
      </w:r>
      <w:r>
        <w:t xml:space="preserve">Dessa maneira, em conformidade com </w:t>
      </w:r>
      <w:r w:rsidR="00555D07">
        <w:t>o entendimento sumulado</w:t>
      </w:r>
      <w:r>
        <w:t xml:space="preserve">, verifica-se que a presunção de violência no caso do delito em tela é absoluta, pouco importando as variações de consentimento, experiência, vontade, tempo, etc. Ou seja, para caracterizar o crime basta à conjunção carnal ou ato libidinoso diverso com vítima </w:t>
      </w:r>
      <w:r w:rsidR="00555D07">
        <w:t xml:space="preserve">criança ou adolescente desde que tenha idade inferior à </w:t>
      </w:r>
      <w:r>
        <w:t>14 (catorze) anos de idade. Assim, presume-se que toda vítima menor de 14 anos é vulnerável.</w:t>
      </w:r>
    </w:p>
    <w:p w:rsidR="0008723A" w:rsidRDefault="00205162" w:rsidP="0008723A">
      <w:pPr>
        <w:pStyle w:val="tj"/>
        <w:spacing w:line="360" w:lineRule="auto"/>
        <w:jc w:val="both"/>
      </w:pPr>
      <w:r>
        <w:tab/>
        <w:t xml:space="preserve">Nas lições de Fernando Capaz, 2012: </w:t>
      </w:r>
    </w:p>
    <w:p w:rsidR="00205162" w:rsidRPr="00DD5086" w:rsidRDefault="00205162" w:rsidP="009D2EB8">
      <w:pPr>
        <w:pStyle w:val="tj"/>
        <w:spacing w:line="240" w:lineRule="auto"/>
        <w:ind w:left="2268"/>
        <w:jc w:val="both"/>
        <w:rPr>
          <w:sz w:val="20"/>
        </w:rPr>
      </w:pPr>
      <w:r w:rsidRPr="00DD5086">
        <w:rPr>
          <w:sz w:val="20"/>
        </w:rPr>
        <w:t>Vulnerável é qualquer pessoa em situação de fragilidade ou perigo. A lei não se refere aqui à capacidade para consentir ou à maturidade sexual da vítima, mas ao fato de se encontrar em situação de maior fraqueza moral, social, cultura</w:t>
      </w:r>
      <w:r w:rsidR="00AC2AE5" w:rsidRPr="00DD5086">
        <w:rPr>
          <w:sz w:val="20"/>
        </w:rPr>
        <w:t>l, fisiológica, biológica, etc. (...). Não se trata de presumir incapacidade e violência. A vulnerabilidade é um conceito novo muito mais abrange, que leva em conta a necessidade de proteção do Estado em relação a certas pessoas ou situações. Incluem-se no rol de vulnerabilidade casos de doença mental, embriaguez, hipnose, enfermidade, idade avançada, pouca ou nenhuma mobilidade de membros, perda momentânea de consciência, deficiência intelectual, má formação cultural, miserabilidade social, sujeição a situação de guarda, tutela ou curatela, temor reverencial, enfim qualquer caso de evidente fragilidade (</w:t>
      </w:r>
      <w:r w:rsidR="001B2190" w:rsidRPr="00DD5086">
        <w:rPr>
          <w:sz w:val="20"/>
        </w:rPr>
        <w:t>CAPEZ, 2012, p</w:t>
      </w:r>
      <w:r w:rsidR="00AC2AE5" w:rsidRPr="00DD5086">
        <w:rPr>
          <w:sz w:val="20"/>
        </w:rPr>
        <w:t>.103).</w:t>
      </w:r>
    </w:p>
    <w:p w:rsidR="00DD5086" w:rsidRPr="001B2190" w:rsidRDefault="00DD5086" w:rsidP="009D2EB8">
      <w:pPr>
        <w:pStyle w:val="tj"/>
        <w:spacing w:line="240" w:lineRule="auto"/>
        <w:ind w:left="2268"/>
        <w:jc w:val="both"/>
        <w:rPr>
          <w:sz w:val="22"/>
        </w:rPr>
      </w:pPr>
    </w:p>
    <w:p w:rsidR="0008723A" w:rsidRDefault="00DD5086" w:rsidP="0008723A">
      <w:pPr>
        <w:pStyle w:val="tj"/>
        <w:spacing w:line="360" w:lineRule="auto"/>
        <w:jc w:val="both"/>
        <w:rPr>
          <w:color w:val="000000"/>
        </w:rPr>
      </w:pPr>
      <w:r>
        <w:rPr>
          <w:color w:val="000000"/>
        </w:rPr>
        <w:tab/>
      </w:r>
      <w:r w:rsidR="00AC2AE5">
        <w:rPr>
          <w:color w:val="000000"/>
        </w:rPr>
        <w:t>Vislumbra-se que, vulnerável é a pessoa em que se encontre em situação de fragilidade ou perigo, seja pela faixa etária, por enfermidade, má formação cultural, etc, que o Estado e a sociedade devam dar maior proteção e cuidado, tendo em vista</w:t>
      </w:r>
      <w:r w:rsidR="00223676">
        <w:rPr>
          <w:color w:val="000000"/>
        </w:rPr>
        <w:t xml:space="preserve"> a</w:t>
      </w:r>
      <w:r w:rsidR="00F4179D">
        <w:rPr>
          <w:color w:val="000000"/>
        </w:rPr>
        <w:t xml:space="preserve"> situação vulnerável que</w:t>
      </w:r>
      <w:r w:rsidR="00876ABE">
        <w:rPr>
          <w:color w:val="000000"/>
        </w:rPr>
        <w:t xml:space="preserve"> é encontrada</w:t>
      </w:r>
      <w:r w:rsidR="00AC2AE5">
        <w:rPr>
          <w:color w:val="000000"/>
        </w:rPr>
        <w:t>.</w:t>
      </w:r>
    </w:p>
    <w:p w:rsidR="001B2190" w:rsidRDefault="001B2190" w:rsidP="0008723A">
      <w:pPr>
        <w:pStyle w:val="tj"/>
        <w:spacing w:line="360" w:lineRule="auto"/>
        <w:jc w:val="both"/>
        <w:rPr>
          <w:color w:val="000000"/>
        </w:rPr>
      </w:pPr>
      <w:r>
        <w:rPr>
          <w:color w:val="000000"/>
        </w:rPr>
        <w:tab/>
        <w:t>Não obstante, Grego (2019) afirma que:</w:t>
      </w:r>
    </w:p>
    <w:p w:rsidR="001B2190" w:rsidRPr="00DD5086" w:rsidRDefault="001B2190" w:rsidP="009D2EB8">
      <w:pPr>
        <w:pStyle w:val="tj"/>
        <w:spacing w:line="240" w:lineRule="auto"/>
        <w:ind w:left="2268"/>
        <w:jc w:val="both"/>
        <w:rPr>
          <w:color w:val="000000"/>
          <w:sz w:val="20"/>
        </w:rPr>
      </w:pPr>
      <w:r w:rsidRPr="00DD5086">
        <w:rPr>
          <w:color w:val="000000"/>
          <w:sz w:val="20"/>
        </w:rPr>
        <w:t>Além do critério biológico, para que a vítima seja considerada pessoa vulnerável, não poderá ter o necessário discernimento para a praticado do ato (critério psicológico), tal como ocorre em relação aos inimputáveis, previstos pelo art. 26, caput, do Código Penal. É importante ressaltar que não se pode proibir alguém acometido de uma enfermidade ou deficiência mental tenha vida sexual normal, tampouco punir aquele que com ele teve algum tipo de ato sexual consentido. O que a lei proíbe é que se mantenha conjunção carnal ou pratique outro ato libidinoso com alguém que tenha alguma enfermidade ou deficiência metal que não possua o necessário discernimento para a prática do ato sexual. (GREGO, 2017. p. 1190)</w:t>
      </w:r>
    </w:p>
    <w:p w:rsidR="00DD5086" w:rsidRPr="003952A2" w:rsidRDefault="00DD5086" w:rsidP="009D2EB8">
      <w:pPr>
        <w:pStyle w:val="tj"/>
        <w:spacing w:line="240" w:lineRule="auto"/>
        <w:ind w:left="2268"/>
        <w:jc w:val="both"/>
        <w:rPr>
          <w:color w:val="000000"/>
          <w:sz w:val="22"/>
        </w:rPr>
      </w:pPr>
    </w:p>
    <w:p w:rsidR="008D5B6E" w:rsidRDefault="00025E04" w:rsidP="00F37D9B">
      <w:pPr>
        <w:pStyle w:val="tj"/>
        <w:spacing w:line="360" w:lineRule="auto"/>
        <w:jc w:val="both"/>
        <w:rPr>
          <w:color w:val="000000"/>
        </w:rPr>
      </w:pPr>
      <w:r>
        <w:rPr>
          <w:color w:val="000000"/>
        </w:rPr>
        <w:tab/>
        <w:t xml:space="preserve">Assim, é possível perceber que a vulnerabilidade vai além do critério etário estabelecido no caput do artigo 217-A, ela alcança quem por algum motivo não tenha </w:t>
      </w:r>
      <w:r>
        <w:rPr>
          <w:color w:val="000000"/>
        </w:rPr>
        <w:lastRenderedPageBreak/>
        <w:t xml:space="preserve">discernimento para exprimir de maneira livre e consciente o ato sexual, no entanto, nos concentramos apenas a estudar a vulnerabilidade estabelecida </w:t>
      </w:r>
      <w:r w:rsidR="00557E84">
        <w:rPr>
          <w:color w:val="000000"/>
        </w:rPr>
        <w:t xml:space="preserve">pela faixa etária, nos voltando apenas aos adolescentes. </w:t>
      </w:r>
    </w:p>
    <w:p w:rsidR="00F06393" w:rsidRDefault="00557E84" w:rsidP="00F37D9B">
      <w:pPr>
        <w:pStyle w:val="tj"/>
        <w:spacing w:line="360" w:lineRule="auto"/>
        <w:jc w:val="both"/>
        <w:rPr>
          <w:color w:val="000000"/>
        </w:rPr>
      </w:pPr>
      <w:r>
        <w:rPr>
          <w:color w:val="000000"/>
        </w:rPr>
        <w:tab/>
        <w:t>No tocante a vulnerabilidade, Nucci explica, vejamos:</w:t>
      </w:r>
    </w:p>
    <w:p w:rsidR="00557E84" w:rsidRDefault="00557E84" w:rsidP="00216C74">
      <w:pPr>
        <w:pStyle w:val="tj"/>
        <w:spacing w:line="240" w:lineRule="auto"/>
        <w:ind w:left="2268"/>
        <w:jc w:val="both"/>
        <w:rPr>
          <w:color w:val="000000"/>
          <w:sz w:val="20"/>
        </w:rPr>
      </w:pPr>
      <w:r w:rsidRPr="00DD5086">
        <w:rPr>
          <w:color w:val="000000"/>
          <w:sz w:val="20"/>
        </w:rPr>
        <w:t>Não deixa de haver uma presunção nesse caso: baseado em certas possibilidades, supõe-se algo. E a suposição diz respeito à falta de capacidade para compreender a gra</w:t>
      </w:r>
      <w:r w:rsidR="00876ABE" w:rsidRPr="00DD5086">
        <w:rPr>
          <w:color w:val="000000"/>
          <w:sz w:val="20"/>
        </w:rPr>
        <w:t>vidade da relação sexual (NUCCI, 2016. p. 1154).</w:t>
      </w:r>
    </w:p>
    <w:p w:rsidR="00DD5086" w:rsidRPr="00DD5086" w:rsidRDefault="00DD5086" w:rsidP="00216C74">
      <w:pPr>
        <w:pStyle w:val="tj"/>
        <w:spacing w:line="240" w:lineRule="auto"/>
        <w:ind w:left="2268"/>
        <w:jc w:val="both"/>
        <w:rPr>
          <w:color w:val="000000"/>
          <w:sz w:val="20"/>
        </w:rPr>
      </w:pPr>
    </w:p>
    <w:p w:rsidR="00876ABE" w:rsidRDefault="00876ABE" w:rsidP="00876ABE">
      <w:pPr>
        <w:pStyle w:val="tj"/>
        <w:spacing w:line="360" w:lineRule="auto"/>
        <w:jc w:val="both"/>
        <w:rPr>
          <w:color w:val="000000"/>
        </w:rPr>
      </w:pPr>
      <w:r>
        <w:rPr>
          <w:color w:val="000000"/>
        </w:rPr>
        <w:tab/>
        <w:t>A partir das lições de Nucci, podemos refletir acerca da capacidade de compreender a gravidade da relação sexual no que tange a idade da vítima, ora, ao tratarmos de adolescente, no mundo avançado que nos encontramos, seria o legislador retrógado e incapaz de acompanhar as mudanças de comportamento reais na sociedade?</w:t>
      </w:r>
    </w:p>
    <w:p w:rsidR="00864299" w:rsidRDefault="00864299" w:rsidP="00876ABE">
      <w:pPr>
        <w:pStyle w:val="tj"/>
        <w:spacing w:line="360" w:lineRule="auto"/>
        <w:jc w:val="both"/>
        <w:rPr>
          <w:color w:val="000000"/>
        </w:rPr>
      </w:pPr>
      <w:r>
        <w:rPr>
          <w:color w:val="000000"/>
        </w:rPr>
        <w:tab/>
        <w:t>Antes de iniciarmos os debates, é de extrema impor</w:t>
      </w:r>
      <w:r w:rsidR="003952A2">
        <w:rPr>
          <w:color w:val="000000"/>
        </w:rPr>
        <w:t>tância explicar</w:t>
      </w:r>
      <w:r>
        <w:rPr>
          <w:color w:val="000000"/>
        </w:rPr>
        <w:t xml:space="preserve"> nas visões do Estatuto da Criança e do Adolescente, o que seria de fato “criança e adolescente”</w:t>
      </w:r>
      <w:r w:rsidR="00FB6C85">
        <w:rPr>
          <w:color w:val="000000"/>
        </w:rPr>
        <w:t xml:space="preserve">. O </w:t>
      </w:r>
      <w:r>
        <w:rPr>
          <w:color w:val="000000"/>
        </w:rPr>
        <w:t xml:space="preserve">primeiro </w:t>
      </w:r>
      <w:r w:rsidR="00223676">
        <w:rPr>
          <w:color w:val="000000"/>
        </w:rPr>
        <w:t xml:space="preserve">é </w:t>
      </w:r>
      <w:r>
        <w:rPr>
          <w:color w:val="000000"/>
        </w:rPr>
        <w:t xml:space="preserve">pessoa até 12 (doze) anos de idade incompletos, e o consequente pessoa entre 12 (doze) anos e 18 (dezoito) de idade. </w:t>
      </w:r>
    </w:p>
    <w:p w:rsidR="00FB6C85" w:rsidRDefault="00FB6C85" w:rsidP="00876ABE">
      <w:pPr>
        <w:pStyle w:val="tj"/>
        <w:spacing w:line="360" w:lineRule="auto"/>
        <w:jc w:val="both"/>
        <w:rPr>
          <w:color w:val="000000"/>
        </w:rPr>
      </w:pPr>
      <w:r>
        <w:rPr>
          <w:color w:val="000000"/>
        </w:rPr>
        <w:tab/>
        <w:t>Verifica-se que, adolescente é a pessoa com 12 (doze) anos completos até os seus 18 (dezoito) anos, sendo este guardado e protegido pelo Estatuto em questão</w:t>
      </w:r>
      <w:r w:rsidR="00431959">
        <w:rPr>
          <w:color w:val="000000"/>
        </w:rPr>
        <w:t>, tendo direito à liberdade de opinião e expressão, o qual é o enfoque desse estudo.</w:t>
      </w:r>
    </w:p>
    <w:p w:rsidR="00431959" w:rsidRDefault="00431959" w:rsidP="00876ABE">
      <w:pPr>
        <w:pStyle w:val="tj"/>
        <w:spacing w:line="360" w:lineRule="auto"/>
        <w:jc w:val="both"/>
        <w:rPr>
          <w:color w:val="000000"/>
        </w:rPr>
      </w:pPr>
      <w:r>
        <w:rPr>
          <w:color w:val="000000"/>
        </w:rPr>
        <w:tab/>
        <w:t xml:space="preserve">Neste molde e diante de avanços tecnológicos, morais e sociais, </w:t>
      </w:r>
      <w:r w:rsidR="00420E2A">
        <w:rPr>
          <w:color w:val="000000"/>
        </w:rPr>
        <w:t>as ocorrências de práticas sexuais e amorosas durante a adolescência estão</w:t>
      </w:r>
      <w:r>
        <w:rPr>
          <w:color w:val="000000"/>
        </w:rPr>
        <w:t xml:space="preserve"> cada vez mais inseridas na convivência cotidiana da sociedade, o que vem gerando grandes controversas e discussões jurídicas e sociais, explicando Nucci</w:t>
      </w:r>
      <w:r w:rsidR="00420E2A">
        <w:rPr>
          <w:color w:val="000000"/>
        </w:rPr>
        <w:t>:</w:t>
      </w:r>
    </w:p>
    <w:p w:rsidR="00420E2A" w:rsidRPr="00DD5086" w:rsidRDefault="00420E2A" w:rsidP="009D2EB8">
      <w:pPr>
        <w:pStyle w:val="tj"/>
        <w:spacing w:line="240" w:lineRule="auto"/>
        <w:ind w:left="2268"/>
        <w:jc w:val="both"/>
        <w:rPr>
          <w:color w:val="000000"/>
          <w:sz w:val="20"/>
        </w:rPr>
      </w:pPr>
      <w:r w:rsidRPr="00DD5086">
        <w:rPr>
          <w:color w:val="000000"/>
          <w:sz w:val="20"/>
        </w:rPr>
        <w:t>O legislador, na área penal, continua retrógado e incapaz de acompanhar as mudanças de comportamento reais na sociedade brasileira, inclusive no campo da definição da criança ou adolescente. Perdemos uma oportunidade ímpar para equiparar os conceitos com o Estatuto da Criança e do Adolescente, ou seja, criança é pessoa menor de 12 anos; adolescente, quem é maior de 12 anos. Logo, a idade de 14 anos deveria ser eliminada desse cenário. A tutela do direito penal, no campo dos crimes sexuais, deve ser absoluta, quando tratar de criança, mas relativa ao cuidar de adolescente. É o que demanda a lógica do sistema legislativo, se analisarmos em conjunto (NUCCI, 2016. p. 1155).</w:t>
      </w:r>
    </w:p>
    <w:p w:rsidR="00DD5086" w:rsidRDefault="00DD5086" w:rsidP="009D2EB8">
      <w:pPr>
        <w:pStyle w:val="tj"/>
        <w:spacing w:line="240" w:lineRule="auto"/>
        <w:ind w:left="2268"/>
        <w:jc w:val="both"/>
        <w:rPr>
          <w:color w:val="000000"/>
          <w:sz w:val="22"/>
        </w:rPr>
      </w:pPr>
    </w:p>
    <w:p w:rsidR="00CA5137" w:rsidRDefault="00420E2A" w:rsidP="00CA5137">
      <w:pPr>
        <w:pStyle w:val="tj"/>
        <w:spacing w:line="360" w:lineRule="auto"/>
        <w:jc w:val="both"/>
        <w:rPr>
          <w:i/>
          <w:color w:val="000000"/>
        </w:rPr>
      </w:pPr>
      <w:r>
        <w:rPr>
          <w:color w:val="000000"/>
        </w:rPr>
        <w:tab/>
        <w:t>Em concordância co</w:t>
      </w:r>
      <w:r w:rsidR="00CA5137">
        <w:rPr>
          <w:color w:val="000000"/>
        </w:rPr>
        <w:t>m o doutrinador supramencionado e partindo das transformações sociais em que nos encontramos, o adolescente está inserido, cada vez mais, na realidade sexual, principalmente em relação aos adolescentes entre 13 (treze) e 14 (catorze) anos, conforme pesquisa do jornal USP, publicado no ano de 2017;</w:t>
      </w:r>
      <w:r w:rsidR="00CA5137" w:rsidRPr="00B123B7">
        <w:rPr>
          <w:color w:val="000000"/>
        </w:rPr>
        <w:t xml:space="preserve"> “a pesquisa concluiu que adolescentes iniciam a atividade sexual na faixa entre os 13 e 17 anos de idade”.</w:t>
      </w:r>
    </w:p>
    <w:p w:rsidR="00CA5137" w:rsidRDefault="00CA5137" w:rsidP="00CA5137">
      <w:pPr>
        <w:pStyle w:val="tj"/>
        <w:spacing w:line="360" w:lineRule="auto"/>
        <w:jc w:val="both"/>
        <w:rPr>
          <w:color w:val="000000"/>
        </w:rPr>
      </w:pPr>
      <w:r>
        <w:rPr>
          <w:i/>
          <w:color w:val="000000"/>
        </w:rPr>
        <w:lastRenderedPageBreak/>
        <w:tab/>
      </w:r>
      <w:r w:rsidR="00CA7244">
        <w:rPr>
          <w:color w:val="000000"/>
        </w:rPr>
        <w:t xml:space="preserve">Desse modo, se partimos da premissa de que, analisando o caso concreto (a relação e outros critérios), ficar demonstrado, que o adolescente (que seria necessariamente vítima em conformidade com a súmula do STJ) praticou ou consentiu o ato sexual por livre e espontânea vontade, e ainda, com discernimento e capacidade de entender a gravidade do ato, decorrente de algum tipo de relação afetiva, sem haver qualquer ato de violência ou violação de direitos, deveríamos aplicar a presunção absoluta de violência do crime de estupro de vulnerável? </w:t>
      </w:r>
      <w:r w:rsidR="009D2EB8">
        <w:rPr>
          <w:color w:val="000000"/>
        </w:rPr>
        <w:t xml:space="preserve">Os fatores externos e o caso concreto não </w:t>
      </w:r>
      <w:r w:rsidR="00DA15E7">
        <w:rPr>
          <w:color w:val="000000"/>
        </w:rPr>
        <w:t>teriam</w:t>
      </w:r>
      <w:r w:rsidR="009D2EB8">
        <w:rPr>
          <w:color w:val="000000"/>
        </w:rPr>
        <w:t xml:space="preserve"> importância?</w:t>
      </w:r>
    </w:p>
    <w:p w:rsidR="00F36723" w:rsidRPr="00CA7244" w:rsidRDefault="00CA7244" w:rsidP="00CA7244">
      <w:pPr>
        <w:pStyle w:val="tj"/>
        <w:spacing w:line="360" w:lineRule="auto"/>
        <w:jc w:val="both"/>
        <w:rPr>
          <w:rFonts w:eastAsia="Calibri"/>
          <w:color w:val="000000"/>
          <w:lang w:eastAsia="en-US"/>
        </w:rPr>
      </w:pPr>
      <w:r>
        <w:rPr>
          <w:color w:val="000000"/>
        </w:rPr>
        <w:tab/>
        <w:t>Neste viés, tornaria injusto aplicar, de maneira absoluta, a todas as relações sexuais e atos libidinosos com adolescente o crime de estupro de vulnerável (217-A, caput, do Código Penal) sem ao menos analisar outros critérios, seja o contexto social, a vontade da vítima, a relação amorosa, entre outros.</w:t>
      </w:r>
      <w:r>
        <w:rPr>
          <w:rFonts w:eastAsia="Calibri"/>
          <w:color w:val="000000"/>
          <w:lang w:eastAsia="en-US"/>
        </w:rPr>
        <w:t xml:space="preserve"> Nucci</w:t>
      </w:r>
      <w:r w:rsidR="00EF2D8D">
        <w:rPr>
          <w:rFonts w:eastAsia="Calibri"/>
          <w:color w:val="000000"/>
          <w:lang w:eastAsia="en-US"/>
        </w:rPr>
        <w:t>, 2016</w:t>
      </w:r>
      <w:r>
        <w:rPr>
          <w:rFonts w:eastAsia="Calibri"/>
          <w:color w:val="000000"/>
          <w:lang w:eastAsia="en-US"/>
        </w:rPr>
        <w:t>, ainda defende que:</w:t>
      </w:r>
    </w:p>
    <w:p w:rsidR="00876ABE" w:rsidRPr="00114D65" w:rsidRDefault="00114D65" w:rsidP="00114D65">
      <w:pPr>
        <w:pStyle w:val="tj"/>
        <w:spacing w:line="240" w:lineRule="auto"/>
        <w:ind w:left="2268"/>
        <w:jc w:val="both"/>
        <w:rPr>
          <w:szCs w:val="22"/>
        </w:rPr>
      </w:pPr>
      <w:r w:rsidRPr="00114D65">
        <w:rPr>
          <w:color w:val="000000"/>
          <w:sz w:val="20"/>
          <w:szCs w:val="20"/>
          <w:shd w:val="clear" w:color="auto" w:fill="FFFFFF"/>
        </w:rPr>
        <w:t>Ato libidinoso de qualquer espécie com menor de 14 anos configura o crime, que é hediondo e apenado com o mínimo de oito anos de reclusão. Essa vulnerabilidade é absoluta ou relativa? Se for considerada absoluta, nunca admite prova em contrário, vale dizer, que o menor de 14 anos sabia o que estava fazendo, em matéria de relacionamento sexual; assim, jamais permite a atipicidade do fato. Se for tratada como relativa, admite prova em contrário, ou seja, é possível demonstrar que, num caso concreto, o menor de 14 sabia o que significava a relação sexual, possibilitando a atipicidade do fato. A tendência, hoje, da jurisprudência é considerar a vulnerabilidade </w:t>
      </w:r>
      <w:r w:rsidRPr="00114D65">
        <w:rPr>
          <w:i/>
          <w:iCs/>
          <w:color w:val="000000"/>
          <w:sz w:val="20"/>
          <w:szCs w:val="20"/>
          <w:shd w:val="clear" w:color="auto" w:fill="FFFFFF"/>
        </w:rPr>
        <w:t>absoluta</w:t>
      </w:r>
      <w:r w:rsidRPr="00114D65">
        <w:rPr>
          <w:color w:val="000000"/>
          <w:sz w:val="20"/>
          <w:szCs w:val="20"/>
          <w:shd w:val="clear" w:color="auto" w:fill="FFFFFF"/>
        </w:rPr>
        <w:t>.</w:t>
      </w:r>
      <w:r w:rsidRPr="00114D65">
        <w:rPr>
          <w:rFonts w:ascii="Lato" w:hAnsi="Lato"/>
          <w:color w:val="000000"/>
          <w:sz w:val="19"/>
          <w:szCs w:val="20"/>
          <w:shd w:val="clear" w:color="auto" w:fill="FFFFFF"/>
        </w:rPr>
        <w:t xml:space="preserve"> </w:t>
      </w:r>
      <w:r w:rsidRPr="00114D65">
        <w:rPr>
          <w:color w:val="000000"/>
          <w:sz w:val="20"/>
          <w:szCs w:val="20"/>
          <w:shd w:val="clear" w:color="auto" w:fill="FFFFFF"/>
        </w:rPr>
        <w:t>Minha posição é no sentido de ser ela absoluta apenas para crianças (menores de 12), mas relativa para adolescentes (maiores de 12). Já tive oportunidade de julgar um caso no qual a suposta vítima tinha 13 anos e o agressor 18; eram namorados há 3 anos e já mantinham relacionamento sexual; a família de ambos sabia e aprovava. Como condenar esse jovem de 18 anos a oito anos de reclusão, porque teve relação sexual com a namorada de 13? Para quem afirma ser a vulnerabilidade </w:t>
      </w:r>
      <w:r w:rsidRPr="00114D65">
        <w:rPr>
          <w:i/>
          <w:iCs/>
          <w:color w:val="000000"/>
          <w:sz w:val="20"/>
          <w:szCs w:val="20"/>
          <w:shd w:val="clear" w:color="auto" w:fill="FFFFFF"/>
        </w:rPr>
        <w:t>absoluta</w:t>
      </w:r>
      <w:r w:rsidRPr="00114D65">
        <w:rPr>
          <w:color w:val="000000"/>
          <w:sz w:val="20"/>
          <w:szCs w:val="20"/>
          <w:shd w:val="clear" w:color="auto" w:fill="FFFFFF"/>
        </w:rPr>
        <w:t>, o único caminho é a condenação. Não vejo sentido nisso, pois o Direito deve adaptar-se à realidade – e não o contrário</w:t>
      </w:r>
      <w:r>
        <w:rPr>
          <w:color w:val="000000"/>
          <w:sz w:val="20"/>
          <w:szCs w:val="20"/>
          <w:shd w:val="clear" w:color="auto" w:fill="FFFFFF"/>
        </w:rPr>
        <w:t xml:space="preserve"> (</w:t>
      </w:r>
      <w:r w:rsidR="00876ABE" w:rsidRPr="00DD5086">
        <w:rPr>
          <w:color w:val="000000" w:themeColor="text1"/>
          <w:sz w:val="20"/>
          <w:szCs w:val="20"/>
          <w:shd w:val="clear" w:color="auto" w:fill="FFFFFF"/>
        </w:rPr>
        <w:t>NUCCI, 20</w:t>
      </w:r>
      <w:r w:rsidR="00B21A20">
        <w:rPr>
          <w:color w:val="000000" w:themeColor="text1"/>
          <w:sz w:val="20"/>
          <w:szCs w:val="20"/>
          <w:shd w:val="clear" w:color="auto" w:fill="FFFFFF"/>
        </w:rPr>
        <w:t>16</w:t>
      </w:r>
      <w:r w:rsidR="00876ABE" w:rsidRPr="00DD5086">
        <w:rPr>
          <w:color w:val="000000" w:themeColor="text1"/>
          <w:sz w:val="20"/>
          <w:szCs w:val="20"/>
          <w:shd w:val="clear" w:color="auto" w:fill="FFFFFF"/>
        </w:rPr>
        <w:t>).</w:t>
      </w:r>
    </w:p>
    <w:p w:rsidR="00114D65" w:rsidRPr="009D2EB8" w:rsidRDefault="00114D65" w:rsidP="00114D65">
      <w:pPr>
        <w:spacing w:after="0" w:line="240" w:lineRule="auto"/>
        <w:ind w:right="-1"/>
        <w:jc w:val="both"/>
        <w:rPr>
          <w:rFonts w:ascii="Times New Roman" w:hAnsi="Times New Roman" w:cs="Times New Roman"/>
          <w:color w:val="000000" w:themeColor="text1"/>
          <w:szCs w:val="20"/>
          <w:shd w:val="clear" w:color="auto" w:fill="FFFFFF"/>
        </w:rPr>
      </w:pPr>
    </w:p>
    <w:p w:rsidR="00876ABE" w:rsidRDefault="009D2EB8" w:rsidP="00223676">
      <w:pPr>
        <w:spacing w:after="0" w:line="360" w:lineRule="auto"/>
        <w:ind w:right="-143"/>
        <w:jc w:val="both"/>
        <w:rPr>
          <w:rFonts w:ascii="Times New Roman" w:hAnsi="Times New Roman"/>
          <w:color w:val="000000"/>
          <w:sz w:val="24"/>
          <w:szCs w:val="24"/>
        </w:rPr>
      </w:pPr>
      <w:r>
        <w:rPr>
          <w:rFonts w:ascii="Times New Roman" w:hAnsi="Times New Roman" w:cs="Times New Roman"/>
          <w:color w:val="000000" w:themeColor="text1"/>
          <w:sz w:val="24"/>
          <w:szCs w:val="20"/>
        </w:rPr>
        <w:tab/>
        <w:t xml:space="preserve">Vislumbra-se a necessidade de analisarmos o ramo do Direito como adaptador das transformações sociais e culturais da sociedade, ora, ele deve alcançar todas as transformações e criar regras e leis capazes de suprir as novas condutas. </w:t>
      </w:r>
      <w:r w:rsidR="00876ABE">
        <w:rPr>
          <w:rFonts w:ascii="Times New Roman" w:hAnsi="Times New Roman"/>
          <w:color w:val="000000"/>
          <w:sz w:val="24"/>
          <w:szCs w:val="24"/>
        </w:rPr>
        <w:t>Se o operador do Direito apenas terminar a leitura do texto legal e aplica-lo ao caso concreto</w:t>
      </w:r>
      <w:r w:rsidR="00ED0E54">
        <w:rPr>
          <w:rFonts w:ascii="Times New Roman" w:hAnsi="Times New Roman"/>
          <w:color w:val="000000"/>
          <w:sz w:val="24"/>
          <w:szCs w:val="24"/>
        </w:rPr>
        <w:t>, sem analisar as questões exteriores e as transformações socais, estará</w:t>
      </w:r>
      <w:r w:rsidR="00876ABE">
        <w:rPr>
          <w:rFonts w:ascii="Times New Roman" w:hAnsi="Times New Roman"/>
          <w:color w:val="000000"/>
          <w:sz w:val="24"/>
          <w:szCs w:val="24"/>
        </w:rPr>
        <w:t xml:space="preserve"> realizando uma o</w:t>
      </w:r>
      <w:r w:rsidR="00ED0E54">
        <w:rPr>
          <w:rFonts w:ascii="Times New Roman" w:hAnsi="Times New Roman"/>
          <w:color w:val="000000"/>
          <w:sz w:val="24"/>
          <w:szCs w:val="24"/>
        </w:rPr>
        <w:t>peração sistemática e exata</w:t>
      </w:r>
      <w:r w:rsidR="00876ABE">
        <w:rPr>
          <w:rFonts w:ascii="Times New Roman" w:hAnsi="Times New Roman"/>
          <w:color w:val="000000"/>
          <w:sz w:val="24"/>
          <w:szCs w:val="24"/>
        </w:rPr>
        <w:t>, sem levar em consideração a elasticidade escondida nas próprias palavras que a lei nos permite.</w:t>
      </w:r>
    </w:p>
    <w:p w:rsidR="009D2EB8" w:rsidRDefault="009D2EB8" w:rsidP="00223676">
      <w:pPr>
        <w:spacing w:after="0" w:line="360" w:lineRule="auto"/>
        <w:ind w:right="-143"/>
        <w:jc w:val="both"/>
        <w:rPr>
          <w:rFonts w:ascii="Times New Roman" w:hAnsi="Times New Roman"/>
          <w:color w:val="000000"/>
          <w:sz w:val="24"/>
          <w:szCs w:val="24"/>
        </w:rPr>
      </w:pPr>
      <w:r>
        <w:rPr>
          <w:rFonts w:ascii="Times New Roman" w:hAnsi="Times New Roman"/>
          <w:color w:val="000000"/>
          <w:sz w:val="24"/>
          <w:szCs w:val="24"/>
        </w:rPr>
        <w:tab/>
        <w:t xml:space="preserve">Nesse ponto, a ministra Maria Thereza de Assis Moura do STJ, argumentou que: </w:t>
      </w:r>
    </w:p>
    <w:p w:rsidR="009D2EB8" w:rsidRPr="00DD5086" w:rsidRDefault="009D2EB8" w:rsidP="00223676">
      <w:pPr>
        <w:pStyle w:val="Padro"/>
        <w:spacing w:after="0" w:line="240" w:lineRule="auto"/>
        <w:ind w:left="2268" w:right="-143"/>
        <w:jc w:val="both"/>
        <w:rPr>
          <w:rFonts w:ascii="Times New Roman" w:hAnsi="Times New Roman"/>
          <w:color w:val="000000"/>
          <w:sz w:val="20"/>
          <w:szCs w:val="20"/>
        </w:rPr>
      </w:pPr>
      <w:r w:rsidRPr="00DD5086">
        <w:rPr>
          <w:rFonts w:ascii="Times New Roman" w:hAnsi="Times New Roman"/>
          <w:color w:val="000000"/>
          <w:sz w:val="20"/>
          <w:szCs w:val="20"/>
        </w:rPr>
        <w:t>O direito não é estático, devendo, portanto, se amoldar às mudanças sociais, ponderando-as, inclusive e principalmente, no caso em debate, pois a educação sexual dos jovens certamente não é igual, haja vista as diferenças sociais e culturais encontradas em um país de dimensões continentais. Com efeito, não se pode considerar crime fato que não tenha violado, verdadeiramente, o bem jurídico tutelado- a liberdade sexual-, haja vista constar nos autos que as menores já se prostituíam havia algum tempo</w:t>
      </w:r>
      <w:r w:rsidR="00DA15E7">
        <w:rPr>
          <w:rFonts w:ascii="Times New Roman" w:hAnsi="Times New Roman"/>
          <w:color w:val="000000"/>
          <w:sz w:val="20"/>
          <w:szCs w:val="20"/>
        </w:rPr>
        <w:t xml:space="preserve"> (MARIA THEREZA, STJ).</w:t>
      </w:r>
    </w:p>
    <w:p w:rsidR="00DD5086" w:rsidRPr="00ED0E54" w:rsidRDefault="00DD5086" w:rsidP="00223676">
      <w:pPr>
        <w:pStyle w:val="Padro"/>
        <w:spacing w:after="0" w:line="240" w:lineRule="auto"/>
        <w:ind w:left="2268" w:right="-143"/>
        <w:jc w:val="both"/>
        <w:rPr>
          <w:rFonts w:ascii="Times New Roman" w:hAnsi="Times New Roman"/>
          <w:color w:val="000000"/>
          <w:sz w:val="28"/>
          <w:szCs w:val="24"/>
        </w:rPr>
      </w:pPr>
    </w:p>
    <w:p w:rsidR="00D73A4B" w:rsidRDefault="00ED0E54" w:rsidP="008D5B6E">
      <w:pPr>
        <w:spacing w:after="0" w:line="360" w:lineRule="auto"/>
        <w:ind w:right="-1"/>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ab/>
        <w:t xml:space="preserve">Portanto, vê-se a necessidade de </w:t>
      </w:r>
      <w:r w:rsidR="00D73A4B">
        <w:rPr>
          <w:rFonts w:ascii="Times New Roman" w:hAnsi="Times New Roman" w:cs="Times New Roman"/>
          <w:color w:val="000000" w:themeColor="text1"/>
          <w:sz w:val="24"/>
          <w:szCs w:val="20"/>
        </w:rPr>
        <w:t>discutir acerca da presunção de violência no crime em estudo comparando-o as transformações sociais e ao Estatuto da Criança e do Adolescente, a qual</w:t>
      </w:r>
      <w:r w:rsidR="000F0828">
        <w:rPr>
          <w:rFonts w:ascii="Times New Roman" w:hAnsi="Times New Roman" w:cs="Times New Roman"/>
          <w:color w:val="000000" w:themeColor="text1"/>
          <w:sz w:val="24"/>
          <w:szCs w:val="20"/>
        </w:rPr>
        <w:t xml:space="preserve"> se for</w:t>
      </w:r>
      <w:r w:rsidR="00D73A4B">
        <w:rPr>
          <w:rFonts w:ascii="Times New Roman" w:hAnsi="Times New Roman" w:cs="Times New Roman"/>
          <w:color w:val="000000" w:themeColor="text1"/>
          <w:sz w:val="24"/>
          <w:szCs w:val="20"/>
        </w:rPr>
        <w:t xml:space="preserve"> analisada em conjunto, no remete a reflexão de que o dispositivo e o entendimento sumulado pelo STJ estão aparentemente </w:t>
      </w:r>
      <w:r w:rsidR="00F67179">
        <w:rPr>
          <w:rFonts w:ascii="Times New Roman" w:hAnsi="Times New Roman" w:cs="Times New Roman"/>
          <w:color w:val="000000" w:themeColor="text1"/>
          <w:sz w:val="24"/>
          <w:szCs w:val="20"/>
        </w:rPr>
        <w:t>inadequados</w:t>
      </w:r>
      <w:r w:rsidR="00D73A4B">
        <w:rPr>
          <w:rFonts w:ascii="Times New Roman" w:hAnsi="Times New Roman" w:cs="Times New Roman"/>
          <w:color w:val="000000" w:themeColor="text1"/>
          <w:sz w:val="24"/>
          <w:szCs w:val="20"/>
        </w:rPr>
        <w:t xml:space="preserve"> às relações sociais, afinal, a lei jamais pode modificar a realidade, a qual se apresenta em constante mudança, deve-se adequar as necessidade e transformações humanas. </w:t>
      </w:r>
    </w:p>
    <w:p w:rsidR="008D5B6E" w:rsidRDefault="008D5B6E" w:rsidP="008D5B6E">
      <w:pPr>
        <w:pStyle w:val="tj"/>
        <w:spacing w:line="360" w:lineRule="auto"/>
        <w:jc w:val="both"/>
        <w:rPr>
          <w:szCs w:val="22"/>
        </w:rPr>
      </w:pPr>
      <w:r>
        <w:rPr>
          <w:szCs w:val="22"/>
        </w:rPr>
        <w:tab/>
        <w:t>Diante da discussão da relativização da presunção de violência nos crimes de estupro de vulnerável, vale destacar as seguintes decisões:</w:t>
      </w:r>
    </w:p>
    <w:p w:rsidR="008D5B6E" w:rsidRPr="00C720E4" w:rsidRDefault="008D5B6E" w:rsidP="008D5B6E">
      <w:pPr>
        <w:pStyle w:val="tj"/>
        <w:spacing w:line="240" w:lineRule="auto"/>
        <w:ind w:left="2268" w:firstLine="2268"/>
        <w:jc w:val="both"/>
        <w:rPr>
          <w:sz w:val="20"/>
          <w:szCs w:val="22"/>
        </w:rPr>
      </w:pPr>
    </w:p>
    <w:p w:rsidR="008D5B6E" w:rsidRDefault="008D5B6E" w:rsidP="008D5B6E">
      <w:pPr>
        <w:pStyle w:val="tj"/>
        <w:spacing w:line="240" w:lineRule="auto"/>
        <w:ind w:left="2268"/>
        <w:jc w:val="both"/>
        <w:rPr>
          <w:sz w:val="20"/>
          <w:szCs w:val="22"/>
        </w:rPr>
      </w:pPr>
      <w:r w:rsidRPr="00C720E4">
        <w:rPr>
          <w:sz w:val="20"/>
          <w:szCs w:val="22"/>
        </w:rPr>
        <w:t>EMENTA: APELAÇÃO CRIMINAL - ESTUPRO DE VULNERÁVEL - ARTIGO 217-A, DO CÓDIGO PENAL - ATIPICIDADE DA CONDUTA - RECONHECIMENTO - RECURSO PROVIDO. -A vulnerabilidade contida no artigo 217-A, não pode ser tida como de natureza absoluta, mas relativa. -Tal premissa, aliada à comprovação de ausência de grave ameaça exercida contra a ofendida, implica na absolvição do recorrente. -Recurso provido. V.V.: APELAÇÃO CRIMINAL - ESTUPRO DE VULNERÁVEL - VÍTIMA MENOR DE 14 ANOS DE IDADE - PRESUNÇÃO ABSOLUTA - DESCONHECIMENTO DA IDADE DA OFENDIDA, QUE SE ENCONTRAVA PRÓXIMA À IDADE LIMÍTROFE DE 14 (QUATORZE) ANOS - ERROR AETATIS COMPROVADO - ERRO DE TIPO CONFIGURADO - DÚVIDA QUANTO À EFETIVA VIOLÊNCIA - ABSOLVIÇÃO IMPOSTA - RECURSO PROVIDO. 1. Se a vítima não é maior de 14 anos, a presunção de violência caracterizadora do estupro tem caráter absoluto, que, na esteira do entendimento do STF, não é inconstitucional, visto não se tratar de presunção de culpabilidade do agente, mas de afirmação da incapacidade absoluta de menor de até 14 anos para consentir na prática sexual. 2. Todavia, tal orientação jurisprudencial não elide a exigência da comprovação inequívoca do dolo do sujeito ativo, que pode ser excluído por erro justificado quanto à idade da vítima (error aetatis), ou mesmo abalado pela dúvida quanto a tal ciência, afastando-se a certeza quanto à adequação típica e ensejando, assim, a absolvição (art. 20, caput, do CP, c/c o art. 386, VI, do CPP). 3. Recurso provido</w:t>
      </w:r>
      <w:r>
        <w:rPr>
          <w:sz w:val="20"/>
          <w:szCs w:val="22"/>
        </w:rPr>
        <w:t xml:space="preserve"> </w:t>
      </w:r>
      <w:r w:rsidRPr="00C720E4">
        <w:rPr>
          <w:sz w:val="20"/>
          <w:szCs w:val="22"/>
        </w:rPr>
        <w:t>(TJ-MG - APR: 10080100036104001 MG, Relator: Corrêa Camargo, Data de Julgamento: 04/04/2018, Data de Publicação: 11/04/2018)</w:t>
      </w:r>
      <w:r>
        <w:rPr>
          <w:sz w:val="20"/>
          <w:szCs w:val="22"/>
        </w:rPr>
        <w:t>.</w:t>
      </w:r>
    </w:p>
    <w:p w:rsidR="008D5B6E" w:rsidRDefault="008D5B6E" w:rsidP="008D5B6E">
      <w:pPr>
        <w:pStyle w:val="tj"/>
        <w:spacing w:line="240" w:lineRule="auto"/>
        <w:jc w:val="both"/>
        <w:rPr>
          <w:sz w:val="20"/>
          <w:szCs w:val="22"/>
        </w:rPr>
      </w:pPr>
    </w:p>
    <w:p w:rsidR="008D5B6E" w:rsidRDefault="008D5B6E" w:rsidP="008D5B6E">
      <w:pPr>
        <w:pStyle w:val="tj"/>
        <w:spacing w:line="360" w:lineRule="auto"/>
        <w:jc w:val="both"/>
        <w:rPr>
          <w:szCs w:val="22"/>
        </w:rPr>
      </w:pPr>
      <w:r>
        <w:rPr>
          <w:szCs w:val="22"/>
        </w:rPr>
        <w:tab/>
        <w:t>Em conformidade com o entendimento do Tribunal de Justiça de Minas Gerais, a presunção de vulnerabilidade não pode ser tida como de natureza absoluta, mas relativa, quando estamos tratando de adolescentes, uma vez que devemos analisar as circunstâncias externas do delito, vejamos mais um posicionamento do referido tribunal, dividimos o mesmo entendimento.</w:t>
      </w:r>
    </w:p>
    <w:p w:rsidR="00D73A4B" w:rsidRDefault="008D5B6E" w:rsidP="00D73A4B">
      <w:pPr>
        <w:pStyle w:val="tj"/>
        <w:spacing w:line="360" w:lineRule="auto"/>
        <w:jc w:val="both"/>
        <w:rPr>
          <w:szCs w:val="22"/>
        </w:rPr>
      </w:pPr>
      <w:r>
        <w:rPr>
          <w:szCs w:val="22"/>
        </w:rPr>
        <w:tab/>
        <w:t>É possível visualizar assim que analisar o caso concreto é uma maneira de aplicar a inteira justiça em cada caso, não se pode entender a presunção de violência como absoluta no mundo social em que vivemos, estaríamos confrontando os princípios penais e ainda ocasionando decisões injustas a depender da situação.</w:t>
      </w:r>
    </w:p>
    <w:p w:rsidR="008D5B6E" w:rsidRPr="008D5B6E" w:rsidRDefault="008D5B6E" w:rsidP="00D73A4B">
      <w:pPr>
        <w:pStyle w:val="tj"/>
        <w:spacing w:line="360" w:lineRule="auto"/>
        <w:jc w:val="both"/>
        <w:rPr>
          <w:szCs w:val="22"/>
        </w:rPr>
      </w:pPr>
    </w:p>
    <w:p w:rsidR="00D73A4B" w:rsidRDefault="00D73A4B" w:rsidP="00062F05">
      <w:pPr>
        <w:pStyle w:val="tj"/>
        <w:spacing w:line="360" w:lineRule="auto"/>
        <w:jc w:val="both"/>
        <w:rPr>
          <w:b/>
        </w:rPr>
      </w:pPr>
      <w:r>
        <w:rPr>
          <w:b/>
        </w:rPr>
        <w:t>4</w:t>
      </w:r>
      <w:r w:rsidR="00F650C0">
        <w:rPr>
          <w:b/>
        </w:rPr>
        <w:t>.</w:t>
      </w:r>
      <w:r w:rsidRPr="000A038B">
        <w:rPr>
          <w:b/>
        </w:rPr>
        <w:t xml:space="preserve"> </w:t>
      </w:r>
      <w:r>
        <w:rPr>
          <w:b/>
        </w:rPr>
        <w:t>PRINCÍPIO DA ADEQUAÇÃO SOCIAL E DA PRESUNÇÃO DE INOCÊNCIA</w:t>
      </w:r>
    </w:p>
    <w:p w:rsidR="00062F05" w:rsidRDefault="00062F05" w:rsidP="00062F05">
      <w:pPr>
        <w:pStyle w:val="tj"/>
        <w:spacing w:line="360" w:lineRule="auto"/>
        <w:jc w:val="both"/>
        <w:rPr>
          <w:b/>
        </w:rPr>
      </w:pPr>
      <w:r>
        <w:rPr>
          <w:b/>
        </w:rPr>
        <w:lastRenderedPageBreak/>
        <w:tab/>
      </w:r>
    </w:p>
    <w:p w:rsidR="00062F05" w:rsidRDefault="00062F05" w:rsidP="00062F05">
      <w:pPr>
        <w:pStyle w:val="tj"/>
        <w:spacing w:line="360" w:lineRule="auto"/>
        <w:jc w:val="both"/>
      </w:pPr>
      <w:r>
        <w:rPr>
          <w:b/>
        </w:rPr>
        <w:tab/>
      </w:r>
      <w:r>
        <w:t>O princípio da adequação social defend</w:t>
      </w:r>
      <w:r w:rsidR="000F0828">
        <w:t>e que não se pode reputar criminosa uma conduta tolerada e conhecida pelo contexto social, ainda que se enquadre em uma descrição típica. A função do princípio em questão é tratar condutas que, em</w:t>
      </w:r>
      <w:r w:rsidR="00043A67">
        <w:t xml:space="preserve">bora formalmente típicas </w:t>
      </w:r>
      <w:r w:rsidR="000F0828">
        <w:t>descritas num tipo penal, são materialmente atípicas, pelo simples fato de não se adequar a sociedade</w:t>
      </w:r>
      <w:r w:rsidR="00043A67">
        <w:t xml:space="preserve"> e as suas transformações</w:t>
      </w:r>
      <w:r w:rsidR="000F0828">
        <w:t>.</w:t>
      </w:r>
    </w:p>
    <w:p w:rsidR="00B123B7" w:rsidRDefault="00B123B7" w:rsidP="00062F05">
      <w:pPr>
        <w:pStyle w:val="tj"/>
        <w:spacing w:line="360" w:lineRule="auto"/>
        <w:jc w:val="both"/>
      </w:pPr>
      <w:r>
        <w:tab/>
        <w:t>Assim, nas visões do doutrinador Alexandre Salim, o princípio da adequação social é “um fato que é aceito normal pela generalidade da sociedade não ser crime. Assim, apesar de se adequar a descrição legal, uma conduta não pode ser considerada materialmente típica quando estiver de acordo com as práticas da sociedade” (SALIM, 2018, p. 461).</w:t>
      </w:r>
    </w:p>
    <w:p w:rsidR="00043A67" w:rsidRDefault="00B123B7" w:rsidP="00062F05">
      <w:pPr>
        <w:pStyle w:val="tj"/>
        <w:spacing w:line="360" w:lineRule="auto"/>
        <w:jc w:val="both"/>
      </w:pPr>
      <w:r>
        <w:tab/>
        <w:t>Ao passo que entendemos o princípio da adequação socia</w:t>
      </w:r>
      <w:r w:rsidR="00043A67">
        <w:t>l, vale destacar que, o mencionado princípio faz combinação perfeita ao princípio da presunção da inocência ao tratarmos da presunção de violência no crime de estupro de vulnerável, ora, vejamos: a presunção de inocência tem como objetivo respeitar o estado de inocência em que todo acusado se encontra até sua sentença transite em julgado definitivamente, logo, o “acusado” é inocente d</w:t>
      </w:r>
      <w:r w:rsidR="00FD0DA5">
        <w:t>urante o processo e o seu e status</w:t>
      </w:r>
      <w:r w:rsidR="00043A67">
        <w:t xml:space="preserve"> só é modificado com a sentença, caso seja declarado culpado, assim, ao fazermos a combinação dos princípios discutidos, temos que a presunção absoluta nos crimes de estupro de vulnerável além de ferir o princípio da adequação social fere o da presunção de inocência, isto </w:t>
      </w:r>
      <w:r w:rsidR="00A55E23">
        <w:t>porque, ao passo que não analisamos</w:t>
      </w:r>
      <w:r w:rsidR="00043A67">
        <w:t xml:space="preserve"> condutas externas como a transformação social, a vontade da vítima e ouros meios de provas questionáveis</w:t>
      </w:r>
      <w:r w:rsidR="00A55E23">
        <w:t>, estamos</w:t>
      </w:r>
      <w:r w:rsidR="00043A67">
        <w:t xml:space="preserve"> apenas</w:t>
      </w:r>
      <w:r w:rsidR="00A55E23">
        <w:t xml:space="preserve"> aplicando o texto legal de forma robótica e matemática, sem compreender as transformações que os princípios alcançam.</w:t>
      </w:r>
    </w:p>
    <w:p w:rsidR="00EA3C54" w:rsidRDefault="00A55E23" w:rsidP="00062F05">
      <w:pPr>
        <w:pStyle w:val="tj"/>
        <w:spacing w:line="360" w:lineRule="auto"/>
        <w:jc w:val="both"/>
      </w:pPr>
      <w:r>
        <w:tab/>
        <w:t>Destaca-se, o voto do Ministro Marco Aureliano, no Supremo Tribunal Federal</w:t>
      </w:r>
      <w:r w:rsidR="00EA3C54">
        <w:t xml:space="preserve">, no HC 73.662-MG, 2º Turma, quanto </w:t>
      </w:r>
      <w:r w:rsidR="002F6D1C">
        <w:t>à</w:t>
      </w:r>
      <w:r w:rsidR="00EA3C54">
        <w:t xml:space="preserve"> discussão acerca da aplicação dos princípios:</w:t>
      </w:r>
    </w:p>
    <w:p w:rsidR="00BA12DD" w:rsidRPr="00DD5086" w:rsidRDefault="00EA3C54" w:rsidP="00BA12DD">
      <w:pPr>
        <w:spacing w:line="240" w:lineRule="auto"/>
        <w:ind w:left="2268"/>
        <w:jc w:val="both"/>
        <w:rPr>
          <w:rFonts w:ascii="Times New Roman" w:hAnsi="Times New Roman" w:cs="Times New Roman"/>
          <w:sz w:val="20"/>
        </w:rPr>
      </w:pPr>
      <w:r w:rsidRPr="00DD5086">
        <w:rPr>
          <w:rFonts w:ascii="Times New Roman" w:hAnsi="Times New Roman" w:cs="Times New Roman"/>
          <w:sz w:val="20"/>
          <w:szCs w:val="16"/>
        </w:rPr>
        <w:t xml:space="preserve">Até porque não há como deixar de reconhecer a modificação de costumes havida, de maneira assustadoramente vertiginosa, nas últimas décadas, mormente na atual quadra. Os meios de comunicação de um modo geral e, particularmente, a televisão, são responsáveis pela divulgação maciça de informações, não as selecionando sequer de acordo com medianos e saudáveis critérios que pudessem atender às menores exigências de uma sociedade marcada pelas dessemelhanças. Assim é que, sendo irrestrito o acesso à mídia, não se mostra incomum reparar-se a precocidade com que as crianças de hoje lidam, sem embaraços quaisquer, com assuntos concernentes à sexualidade, tudo de uma forma espontânea, quase natural. Tanto não se diria nos idos dos anos 40, época em que exsurgia, glorioso e como símbolo da modernidade e liberalismo, o nosso vetusto e ainda vigente Código Penal. Àquela altura, uma pessoa que contasse doze anos de idade era de fato considerada criança e, como tal, indefesa e despreparada para os sustos da vida. [...] Alfim, </w:t>
      </w:r>
      <w:r w:rsidRPr="00DD5086">
        <w:rPr>
          <w:rFonts w:ascii="Times New Roman" w:hAnsi="Times New Roman" w:cs="Times New Roman"/>
          <w:b/>
          <w:sz w:val="20"/>
          <w:szCs w:val="16"/>
        </w:rPr>
        <w:t xml:space="preserve">cabe uma pergunta que, de tão óbvia, transparece à primeira vista como que desnecessária, conquanto ainda não devidamente respondida: a sociedade envelhece; as leis, não? </w:t>
      </w:r>
      <w:r w:rsidRPr="00DD5086">
        <w:rPr>
          <w:rFonts w:ascii="Times New Roman" w:hAnsi="Times New Roman" w:cs="Times New Roman"/>
          <w:sz w:val="20"/>
          <w:szCs w:val="16"/>
        </w:rPr>
        <w:t>(grifo nosso) (</w:t>
      </w:r>
      <w:r w:rsidRPr="00DD5086">
        <w:rPr>
          <w:rFonts w:ascii="Times New Roman" w:hAnsi="Times New Roman" w:cs="Times New Roman"/>
          <w:sz w:val="20"/>
        </w:rPr>
        <w:t xml:space="preserve">HC 73.662-MG, 2º Turma). </w:t>
      </w:r>
    </w:p>
    <w:p w:rsidR="00BA12DD" w:rsidRDefault="00BA12DD" w:rsidP="00BA12DD">
      <w:pPr>
        <w:pStyle w:val="tj"/>
        <w:spacing w:line="360" w:lineRule="auto"/>
        <w:jc w:val="both"/>
      </w:pPr>
      <w:r>
        <w:lastRenderedPageBreak/>
        <w:tab/>
        <w:t xml:space="preserve">Percebe-se assim que, as transformações acontecem e com isso as normas devem se adaptar a elas com o fito de evitar uma lei caduca e injusta a sociedade, afinal, como já explanado, ao tratarmos de adolescente devemos enxergar que as relações afetivas e sexuais estão cada vez mais inseridas em seus cotidianos, mostrando que a presunção absoluta de violência nos crimes de estupro de vulnerável é um afronta aos princípios penais constitucionais </w:t>
      </w:r>
      <w:r w:rsidR="00742AC0">
        <w:t>acima</w:t>
      </w:r>
      <w:r>
        <w:t xml:space="preserve"> discutidos.</w:t>
      </w:r>
    </w:p>
    <w:p w:rsidR="00BA12DD" w:rsidRPr="00BA12DD" w:rsidRDefault="00BA12DD" w:rsidP="00BA12DD">
      <w:pPr>
        <w:pStyle w:val="tj"/>
        <w:spacing w:line="360" w:lineRule="auto"/>
        <w:jc w:val="both"/>
      </w:pPr>
    </w:p>
    <w:p w:rsidR="00D73A4B" w:rsidRDefault="00BA12DD" w:rsidP="00FD0DA5">
      <w:pPr>
        <w:pStyle w:val="tj"/>
        <w:spacing w:line="360" w:lineRule="auto"/>
        <w:jc w:val="both"/>
        <w:rPr>
          <w:b/>
        </w:rPr>
      </w:pPr>
      <w:r>
        <w:rPr>
          <w:b/>
        </w:rPr>
        <w:t>5</w:t>
      </w:r>
      <w:r w:rsidR="00F650C0">
        <w:rPr>
          <w:b/>
        </w:rPr>
        <w:t>.</w:t>
      </w:r>
      <w:r w:rsidRPr="000A038B">
        <w:rPr>
          <w:b/>
        </w:rPr>
        <w:t xml:space="preserve"> </w:t>
      </w:r>
      <w:r w:rsidR="001162F9">
        <w:rPr>
          <w:b/>
        </w:rPr>
        <w:t xml:space="preserve">PRINCÍPIO DA OFENSIVIDADE E </w:t>
      </w:r>
      <w:r>
        <w:rPr>
          <w:b/>
        </w:rPr>
        <w:t xml:space="preserve">PROPORCIONALIDADE </w:t>
      </w:r>
    </w:p>
    <w:p w:rsidR="00FD0DA5" w:rsidRDefault="00FD0DA5" w:rsidP="00FD0DA5">
      <w:pPr>
        <w:pStyle w:val="tj"/>
        <w:spacing w:line="360" w:lineRule="auto"/>
        <w:jc w:val="both"/>
        <w:rPr>
          <w:b/>
        </w:rPr>
      </w:pPr>
      <w:r>
        <w:rPr>
          <w:b/>
        </w:rPr>
        <w:tab/>
      </w:r>
    </w:p>
    <w:p w:rsidR="00471696" w:rsidRDefault="00FD0DA5" w:rsidP="00FD0DA5">
      <w:pPr>
        <w:pStyle w:val="tj"/>
        <w:spacing w:line="360" w:lineRule="auto"/>
        <w:jc w:val="both"/>
      </w:pPr>
      <w:r>
        <w:rPr>
          <w:b/>
        </w:rPr>
        <w:tab/>
      </w:r>
      <w:r>
        <w:t>Nos referindo ao princípio da ofensividade, enxergamos que não é possível tipificar como crime conduta onde n</w:t>
      </w:r>
      <w:r w:rsidR="00471696">
        <w:t>ão há lesão ou perigo</w:t>
      </w:r>
      <w:r>
        <w:t xml:space="preserve"> de lesão a um bem jurídico alheio e tutelado, assim, o referido princípio serve como base para o legislador e ao juiz, uma vez que orienta a não criminalizar condutas</w:t>
      </w:r>
      <w:r w:rsidR="00314482">
        <w:t>, as quais não lesam direitos tutelados,</w:t>
      </w:r>
      <w:r>
        <w:t xml:space="preserve"> e analisar os casos concretos</w:t>
      </w:r>
      <w:r w:rsidR="00471696">
        <w:t xml:space="preserve"> antes de aplicar a lei materialmente.</w:t>
      </w:r>
    </w:p>
    <w:p w:rsidR="00314482" w:rsidRDefault="00476696" w:rsidP="00FD0DA5">
      <w:pPr>
        <w:pStyle w:val="tj"/>
        <w:spacing w:line="360" w:lineRule="auto"/>
        <w:jc w:val="both"/>
      </w:pPr>
      <w:r>
        <w:tab/>
        <w:t>No tocante a</w:t>
      </w:r>
      <w:r w:rsidR="00471696">
        <w:t>o princípio da proporcionalidade</w:t>
      </w:r>
      <w:r>
        <w:t>, este defende</w:t>
      </w:r>
      <w:r w:rsidR="00471696">
        <w:t xml:space="preserve"> que se deve existir uma proporcionalidade entre a conduta, </w:t>
      </w:r>
      <w:r w:rsidR="00314482">
        <w:t>a infração penal, o bem jurídico tutelado e a pena aplicada. Assim, se não consideramos lesão ao bem jurídico tutelado, logo não há no se falar em infração penal tampouco em pena aplicada. Vislumbra-se que os princípios estudados devem ser correlacionados antes de efetivamente criminalizar condutas.</w:t>
      </w:r>
    </w:p>
    <w:p w:rsidR="00476696" w:rsidRDefault="00476696" w:rsidP="00FD0DA5">
      <w:pPr>
        <w:pStyle w:val="tj"/>
        <w:spacing w:line="360" w:lineRule="auto"/>
        <w:jc w:val="both"/>
      </w:pPr>
      <w:r>
        <w:tab/>
        <w:t>Desta feita, percebe-se que, ao passo que a sociedade enfrenta uma discussão jurídica acerca da presunção da violência no crime tipificado no artigo 217-A, caput, do Código Penal, há necessidade de analisar a discussão em conformidade com os princípios base do Direito Penal, ora, o que tá em jogo é</w:t>
      </w:r>
      <w:r w:rsidR="00BA5CAB">
        <w:t xml:space="preserve"> apenas a possível lesão da dignidade </w:t>
      </w:r>
      <w:r w:rsidR="00D44A9B">
        <w:t>sexual, ou ainda, há de observar</w:t>
      </w:r>
      <w:r w:rsidR="00BA5CAB">
        <w:t xml:space="preserve"> a liberdade de escolha no tipo penal?</w:t>
      </w:r>
    </w:p>
    <w:p w:rsidR="00D73A4B" w:rsidRDefault="00314482" w:rsidP="00BA5CAB">
      <w:pPr>
        <w:pStyle w:val="tj"/>
        <w:spacing w:line="360" w:lineRule="auto"/>
        <w:jc w:val="both"/>
        <w:rPr>
          <w:rFonts w:eastAsiaTheme="minorEastAsia" w:cstheme="minorBidi"/>
          <w:color w:val="000000"/>
        </w:rPr>
      </w:pPr>
      <w:r>
        <w:tab/>
      </w:r>
      <w:r w:rsidR="00CC1CE9">
        <w:rPr>
          <w:rFonts w:eastAsiaTheme="minorEastAsia" w:cstheme="minorBidi"/>
          <w:color w:val="000000"/>
        </w:rPr>
        <w:t>Bem, o legislador penal ao tratar criança e adolescente como vulnerável não agiu erroneamente, no entanto ao enxergamos a ponderação da idade da vítima com as transformações sociais e culturais, e ainda o princípio da proporcionalidade, a presunção absoluta para tal delito é uma medida meramente injus</w:t>
      </w:r>
      <w:r w:rsidR="00795128">
        <w:rPr>
          <w:rFonts w:eastAsiaTheme="minorEastAsia" w:cstheme="minorBidi"/>
          <w:color w:val="000000"/>
        </w:rPr>
        <w:t>ta ao tratarmos de adolescente, isto porque, advinda das transformações sociais, os adolescentes estão cada vez mais próximo</w:t>
      </w:r>
      <w:r w:rsidR="00607238">
        <w:rPr>
          <w:rFonts w:eastAsiaTheme="minorEastAsia" w:cstheme="minorBidi"/>
          <w:color w:val="000000"/>
        </w:rPr>
        <w:t>s</w:t>
      </w:r>
      <w:r w:rsidR="00795128">
        <w:rPr>
          <w:rFonts w:eastAsiaTheme="minorEastAsia" w:cstheme="minorBidi"/>
          <w:color w:val="000000"/>
        </w:rPr>
        <w:t xml:space="preserve"> das relações sexuais e amorosas, tendo em muitos casos relações afetivas, por livre e espontânea vontade e ainda com discernimento necessário para entender a gravidade do ato</w:t>
      </w:r>
      <w:r w:rsidR="00D21CE2">
        <w:rPr>
          <w:rFonts w:eastAsiaTheme="minorEastAsia" w:cstheme="minorBidi"/>
          <w:color w:val="000000"/>
        </w:rPr>
        <w:t>.</w:t>
      </w:r>
    </w:p>
    <w:p w:rsidR="00D21CE2" w:rsidRDefault="00D21CE2" w:rsidP="00BA5CAB">
      <w:pPr>
        <w:pStyle w:val="tj"/>
        <w:spacing w:line="360" w:lineRule="auto"/>
        <w:jc w:val="both"/>
        <w:rPr>
          <w:rFonts w:eastAsiaTheme="minorEastAsia" w:cstheme="minorBidi"/>
          <w:color w:val="000000"/>
        </w:rPr>
      </w:pPr>
      <w:r>
        <w:rPr>
          <w:rFonts w:eastAsiaTheme="minorEastAsia" w:cstheme="minorBidi"/>
          <w:color w:val="000000"/>
        </w:rPr>
        <w:tab/>
        <w:t xml:space="preserve">Segundo a Revista Brasileira de Epidemiologia, em uma pesquisa de saúde sexual dos adolescentes em conformidade com a Pesquisa Nacional de Saúde dos Escolares, no ano de </w:t>
      </w:r>
      <w:r>
        <w:rPr>
          <w:rFonts w:eastAsiaTheme="minorEastAsia" w:cstheme="minorBidi"/>
          <w:color w:val="000000"/>
        </w:rPr>
        <w:lastRenderedPageBreak/>
        <w:t xml:space="preserve">2011, os adolescentes estão cada vez mais inseridos nas relações afetivas e sexuais com o passar do tempo, vejamos: </w:t>
      </w:r>
    </w:p>
    <w:p w:rsidR="00174797" w:rsidRPr="00DD5086" w:rsidRDefault="00D21CE2" w:rsidP="006F2B31">
      <w:pPr>
        <w:pStyle w:val="tj"/>
        <w:spacing w:line="240" w:lineRule="auto"/>
        <w:ind w:left="2268"/>
        <w:jc w:val="both"/>
        <w:rPr>
          <w:color w:val="000000"/>
          <w:sz w:val="20"/>
          <w:shd w:val="clear" w:color="auto" w:fill="FFFFFF"/>
        </w:rPr>
      </w:pPr>
      <w:r w:rsidRPr="00DD5086">
        <w:rPr>
          <w:color w:val="000000"/>
          <w:sz w:val="20"/>
          <w:shd w:val="clear" w:color="auto" w:fill="FFFFFF"/>
        </w:rPr>
        <w:t xml:space="preserve">Os resultados revelaram que 30,5% (IC95% 29,9-31,2) dos </w:t>
      </w:r>
      <w:r w:rsidRPr="00DD5086">
        <w:rPr>
          <w:b/>
          <w:color w:val="000000"/>
          <w:sz w:val="20"/>
          <w:shd w:val="clear" w:color="auto" w:fill="FFFFFF"/>
        </w:rPr>
        <w:t xml:space="preserve">adolescentes já tiveram relação sexual alguma vez na vida, </w:t>
      </w:r>
      <w:r w:rsidRPr="00DD5086">
        <w:rPr>
          <w:color w:val="000000"/>
          <w:sz w:val="20"/>
          <w:shd w:val="clear" w:color="auto" w:fill="FFFFFF"/>
        </w:rPr>
        <w:t xml:space="preserve">sendo mais meninos (43,7%; IC95% 42,7-44,7) do que meninas, (18,7%; IC95% 18,0-19,4), com maiores percentuais nas escolas públicas (33,1%; IC95% 32,4-33,9) do que nas privadas (20,7%; IC95% 19,7-21,8). A </w:t>
      </w:r>
      <w:r w:rsidRPr="00DD5086">
        <w:rPr>
          <w:b/>
          <w:color w:val="000000"/>
          <w:sz w:val="20"/>
          <w:shd w:val="clear" w:color="auto" w:fill="FFFFFF"/>
        </w:rPr>
        <w:t xml:space="preserve">frequência por idade mostra que, antes dos 13 anos, 12,5% (IC95% 9,4-16,5) já haviam tido relação sexual; aos 13 anos, 15,3% (IC95% 14,3-16,5); aos 14 anos, 24,9% (IC95% 24,0-25,8); </w:t>
      </w:r>
      <w:r w:rsidRPr="00DD5086">
        <w:rPr>
          <w:color w:val="000000"/>
          <w:sz w:val="20"/>
          <w:shd w:val="clear" w:color="auto" w:fill="FFFFFF"/>
        </w:rPr>
        <w:t>aos 15 anos, 47,3% (IC95% 45,7-48,9) e aos 16 anos, 63,5% (IC95% 61,5-65,4)</w:t>
      </w:r>
      <w:r w:rsidR="003B55C7" w:rsidRPr="00DD5086">
        <w:rPr>
          <w:color w:val="000000"/>
          <w:sz w:val="20"/>
          <w:shd w:val="clear" w:color="auto" w:fill="FFFFFF"/>
        </w:rPr>
        <w:t xml:space="preserve"> </w:t>
      </w:r>
      <w:r w:rsidR="003B55C7" w:rsidRPr="00DD5086">
        <w:rPr>
          <w:b/>
          <w:color w:val="000000"/>
          <w:sz w:val="20"/>
          <w:shd w:val="clear" w:color="auto" w:fill="FFFFFF"/>
        </w:rPr>
        <w:t>(grifo nosso).</w:t>
      </w:r>
    </w:p>
    <w:p w:rsidR="00223676" w:rsidRDefault="00223676" w:rsidP="00D21CE2">
      <w:pPr>
        <w:pStyle w:val="tj"/>
        <w:spacing w:line="276" w:lineRule="auto"/>
        <w:ind w:left="2268"/>
        <w:jc w:val="both"/>
        <w:rPr>
          <w:color w:val="000000"/>
          <w:sz w:val="22"/>
          <w:shd w:val="clear" w:color="auto" w:fill="FFFFFF"/>
        </w:rPr>
      </w:pPr>
    </w:p>
    <w:p w:rsidR="00D73A4B" w:rsidRPr="00D44A9B" w:rsidRDefault="00174797" w:rsidP="00D44A9B">
      <w:pPr>
        <w:pStyle w:val="tj"/>
        <w:spacing w:line="360" w:lineRule="auto"/>
        <w:jc w:val="both"/>
        <w:rPr>
          <w:color w:val="000000"/>
          <w:shd w:val="clear" w:color="auto" w:fill="FFFFFF"/>
        </w:rPr>
      </w:pPr>
      <w:r>
        <w:rPr>
          <w:color w:val="000000"/>
          <w:shd w:val="clear" w:color="auto" w:fill="FFFFFF"/>
        </w:rPr>
        <w:tab/>
        <w:t xml:space="preserve">Isso nos mostra que, o Direito ao passo que é estático, </w:t>
      </w:r>
      <w:r w:rsidR="00214B32">
        <w:rPr>
          <w:color w:val="000000"/>
          <w:shd w:val="clear" w:color="auto" w:fill="FFFFFF"/>
        </w:rPr>
        <w:t>é necessário</w:t>
      </w:r>
      <w:r>
        <w:rPr>
          <w:color w:val="000000"/>
          <w:shd w:val="clear" w:color="auto" w:fill="FFFFFF"/>
        </w:rPr>
        <w:t xml:space="preserve"> adaptação de suas normas em conformidade com os princípios antes de</w:t>
      </w:r>
      <w:r w:rsidR="00214B32">
        <w:rPr>
          <w:color w:val="000000"/>
          <w:shd w:val="clear" w:color="auto" w:fill="FFFFFF"/>
        </w:rPr>
        <w:t xml:space="preserve"> ser</w:t>
      </w:r>
      <w:r>
        <w:rPr>
          <w:color w:val="000000"/>
          <w:shd w:val="clear" w:color="auto" w:fill="FFFFFF"/>
        </w:rPr>
        <w:t xml:space="preserve"> aplicado</w:t>
      </w:r>
      <w:r w:rsidR="00214B32">
        <w:rPr>
          <w:color w:val="000000"/>
          <w:shd w:val="clear" w:color="auto" w:fill="FFFFFF"/>
        </w:rPr>
        <w:t xml:space="preserve"> e discutido, pois </w:t>
      </w:r>
      <w:r w:rsidR="00D54821">
        <w:rPr>
          <w:color w:val="000000"/>
          <w:shd w:val="clear" w:color="auto" w:fill="FFFFFF"/>
        </w:rPr>
        <w:t xml:space="preserve">embora o bem jurídico tutelado </w:t>
      </w:r>
      <w:r w:rsidR="007C64EF">
        <w:rPr>
          <w:color w:val="000000"/>
          <w:shd w:val="clear" w:color="auto" w:fill="FFFFFF"/>
        </w:rPr>
        <w:t xml:space="preserve">no crime em discussão seja a dignidade sexual de criança e adolescente, os adolescentes por serem cada vez mais introduzidos no mundo sexual e terem discernimento da gravidade do ato, deveriam ter a liberdade de escolher acerca do bem em discussão, </w:t>
      </w:r>
      <w:r w:rsidR="002924ED">
        <w:rPr>
          <w:color w:val="000000"/>
          <w:shd w:val="clear" w:color="auto" w:fill="FFFFFF"/>
        </w:rPr>
        <w:t>ou seja, deve</w:t>
      </w:r>
      <w:r w:rsidR="007C64EF">
        <w:rPr>
          <w:color w:val="000000"/>
          <w:shd w:val="clear" w:color="auto" w:fill="FFFFFF"/>
        </w:rPr>
        <w:t xml:space="preserve"> haver uma ponderação entre a liberdade e a dignidade, logo a presunção, em casos envolvendo adolescente</w:t>
      </w:r>
      <w:r w:rsidR="002924ED">
        <w:rPr>
          <w:color w:val="000000"/>
          <w:shd w:val="clear" w:color="auto" w:fill="FFFFFF"/>
        </w:rPr>
        <w:t xml:space="preserve">s vítimas, dever </w:t>
      </w:r>
      <w:r w:rsidR="00D44A9B">
        <w:rPr>
          <w:color w:val="000000"/>
          <w:shd w:val="clear" w:color="auto" w:fill="FFFFFF"/>
        </w:rPr>
        <w:t>se dar</w:t>
      </w:r>
      <w:r w:rsidR="007C64EF">
        <w:rPr>
          <w:color w:val="000000"/>
          <w:shd w:val="clear" w:color="auto" w:fill="FFFFFF"/>
        </w:rPr>
        <w:t xml:space="preserve"> de forma relativa, a</w:t>
      </w:r>
      <w:r w:rsidR="002924ED">
        <w:rPr>
          <w:color w:val="000000"/>
          <w:shd w:val="clear" w:color="auto" w:fill="FFFFFF"/>
        </w:rPr>
        <w:t xml:space="preserve">dmitindo-se prova em contrário e </w:t>
      </w:r>
      <w:r w:rsidR="007C64EF">
        <w:rPr>
          <w:color w:val="000000"/>
          <w:shd w:val="clear" w:color="auto" w:fill="FFFFFF"/>
        </w:rPr>
        <w:t>respeitando os princípios da ofensividade e proporcionalidade.</w:t>
      </w:r>
    </w:p>
    <w:p w:rsidR="00D73A4B" w:rsidRDefault="00D44A9B" w:rsidP="00863643">
      <w:pPr>
        <w:pStyle w:val="tj"/>
        <w:spacing w:line="360" w:lineRule="auto"/>
        <w:jc w:val="both"/>
        <w:rPr>
          <w:color w:val="000000"/>
          <w:shd w:val="clear" w:color="auto" w:fill="FFFFFF"/>
        </w:rPr>
      </w:pPr>
      <w:r w:rsidRPr="00D44A9B">
        <w:rPr>
          <w:color w:val="000000"/>
          <w:shd w:val="clear" w:color="auto" w:fill="FFFFFF"/>
        </w:rPr>
        <w:tab/>
        <w:t xml:space="preserve">Na mesma linha, a ministra Maria Thereza da 5ª turma do STJ, </w:t>
      </w:r>
      <w:r>
        <w:rPr>
          <w:color w:val="000000"/>
          <w:shd w:val="clear" w:color="auto" w:fill="FFFFFF"/>
        </w:rPr>
        <w:t>defendeu que “não se pode considerar crime fato que não tenha violado, verdadeiramente, o bem jurídico tutelado – a liberdade sexual –</w:t>
      </w:r>
      <w:r w:rsidR="00D979B3">
        <w:rPr>
          <w:color w:val="000000"/>
          <w:shd w:val="clear" w:color="auto" w:fill="FFFFFF"/>
        </w:rPr>
        <w:t xml:space="preserve"> (Maria Thereza, STJ)”</w:t>
      </w:r>
      <w:bookmarkStart w:id="0" w:name="_GoBack"/>
      <w:bookmarkEnd w:id="0"/>
      <w:r w:rsidR="00863643">
        <w:rPr>
          <w:color w:val="000000"/>
          <w:shd w:val="clear" w:color="auto" w:fill="FFFFFF"/>
        </w:rPr>
        <w:t>.</w:t>
      </w:r>
    </w:p>
    <w:p w:rsidR="00925B7D" w:rsidRDefault="00925B7D" w:rsidP="00925B7D">
      <w:pPr>
        <w:pStyle w:val="tj"/>
        <w:spacing w:line="360" w:lineRule="auto"/>
        <w:jc w:val="both"/>
        <w:rPr>
          <w:color w:val="000000"/>
          <w:shd w:val="clear" w:color="auto" w:fill="FFFFFF"/>
        </w:rPr>
      </w:pPr>
      <w:r>
        <w:rPr>
          <w:color w:val="000000"/>
          <w:shd w:val="clear" w:color="auto" w:fill="FFFFFF"/>
        </w:rPr>
        <w:tab/>
        <w:t xml:space="preserve">Ainda assim, cumpre destacar que em conformidade com o entendimento e analisando o caso concreto e as condições externas da vítima, qual seja a experiência sexual, </w:t>
      </w:r>
      <w:r w:rsidR="00D85812">
        <w:rPr>
          <w:color w:val="000000"/>
          <w:shd w:val="clear" w:color="auto" w:fill="FFFFFF"/>
        </w:rPr>
        <w:t>maturidade, relacionamento, etc,</w:t>
      </w:r>
      <w:r>
        <w:rPr>
          <w:color w:val="000000"/>
          <w:shd w:val="clear" w:color="auto" w:fill="FFFFFF"/>
        </w:rPr>
        <w:t xml:space="preserve"> cita-se como exemplo o seguinte entendimento:</w:t>
      </w:r>
    </w:p>
    <w:p w:rsidR="0057738A" w:rsidRDefault="0057738A" w:rsidP="00925B7D">
      <w:pPr>
        <w:pStyle w:val="tj"/>
        <w:spacing w:line="240" w:lineRule="auto"/>
        <w:ind w:left="2268"/>
        <w:jc w:val="both"/>
        <w:rPr>
          <w:color w:val="000000" w:themeColor="text1"/>
          <w:sz w:val="20"/>
          <w:szCs w:val="20"/>
        </w:rPr>
      </w:pPr>
      <w:r w:rsidRPr="0057738A">
        <w:rPr>
          <w:color w:val="000000" w:themeColor="text1"/>
          <w:sz w:val="20"/>
          <w:szCs w:val="20"/>
        </w:rPr>
        <w:t>APELAÇÃO CRIME. CRIMES CONTRA A LIBERDADE SEXUAL. ESTUPRO DE VULNERÁVEL. RELAÇÃO DE NAMORO ENTRE VÍTIMA E RÉU. RELATIVIZAÇÃO DO CONCEITO DE VULNERABILIDADE. ABSOLVIÇÃO MANTIDA, POR FUNDAMENTO DIVERSO. Os elementos de convicção constantes dos autos demonstram que a vítima (com 12 anos de idade) e o denunciado (com 22 anos de idade) mantiveram relacionamento amoroso e sexual por determinado período. Tal conduta, em tese, subsume-se ao disposto no art. 217-A do Código Penal. No entanto, a vulnerabilidade da vítima não pode ser entendida de forma absoluta simplesmente pelo critério etário – o que configuraria hipótese de responsabilidade objetiva -, devendo ser mensurada em cada caso trazido à apreciação do Poder Judiciário, à vista de suas particularidades. Afigura-se factível, assim, sua relativização nos episódios envolvendo adolescentes. Na hipótese dos autos, a prova angariada revela que as relações ocorreram de forma voluntária e consentida, fruto de aliança afetiva. Aponta também que a ofendida apresentava certa experiência em assuntos sexuais. A análise conjunta de tais peculiaridades permite a relativização de sua vulnerabilidade. Como consequência, a conduta descrita na inicial acusatória não se amolda a qualquer previsão típica, impondo-se a absolvição do réu com base no art. 386, III, do Código de Processo Penal (fundamento diverso ao constante da sentença) APELAÇÃO DESPROVIDA</w:t>
      </w:r>
      <w:r w:rsidR="00F65833">
        <w:rPr>
          <w:color w:val="000000" w:themeColor="text1"/>
          <w:sz w:val="20"/>
          <w:szCs w:val="20"/>
        </w:rPr>
        <w:t xml:space="preserve"> </w:t>
      </w:r>
      <w:r w:rsidRPr="0057738A">
        <w:rPr>
          <w:color w:val="000000" w:themeColor="text1"/>
          <w:sz w:val="20"/>
          <w:szCs w:val="20"/>
        </w:rPr>
        <w:t>(TJ/RS, Sétima Câmara Criminal, Apelação Crime Nº 70044569705, Rel. Naele Ochoa Piazzeta, julgado em 20/10/2011)</w:t>
      </w:r>
      <w:r w:rsidR="003C3548">
        <w:rPr>
          <w:color w:val="000000" w:themeColor="text1"/>
          <w:sz w:val="20"/>
          <w:szCs w:val="20"/>
        </w:rPr>
        <w:t>.</w:t>
      </w:r>
    </w:p>
    <w:p w:rsidR="00DD5086" w:rsidRDefault="00DD5086" w:rsidP="00925B7D">
      <w:pPr>
        <w:pStyle w:val="tj"/>
        <w:spacing w:line="240" w:lineRule="auto"/>
        <w:ind w:left="2268"/>
        <w:jc w:val="both"/>
        <w:rPr>
          <w:color w:val="000000" w:themeColor="text1"/>
          <w:sz w:val="20"/>
          <w:szCs w:val="20"/>
        </w:rPr>
      </w:pPr>
    </w:p>
    <w:p w:rsidR="008C4D61" w:rsidRDefault="003C3548" w:rsidP="00C61CDC">
      <w:pPr>
        <w:pStyle w:val="tj"/>
        <w:spacing w:line="360" w:lineRule="auto"/>
        <w:jc w:val="both"/>
        <w:rPr>
          <w:color w:val="000000" w:themeColor="text1"/>
          <w:szCs w:val="20"/>
        </w:rPr>
      </w:pPr>
      <w:r>
        <w:rPr>
          <w:color w:val="000000" w:themeColor="text1"/>
          <w:szCs w:val="20"/>
        </w:rPr>
        <w:tab/>
        <w:t>Verifica-se assim com a decisão que o Tribunal entendeu que a presunção de violência</w:t>
      </w:r>
      <w:r w:rsidR="00C76CF2">
        <w:rPr>
          <w:color w:val="000000" w:themeColor="text1"/>
          <w:szCs w:val="20"/>
        </w:rPr>
        <w:t xml:space="preserve"> absoluta no crime de estupro de vulnerável configura hipótese de responsabilidade objetiva, não admitindo discutir nenhuma modalidade de culpa apenas a materialidade do fato em si tipificado.</w:t>
      </w:r>
    </w:p>
    <w:p w:rsidR="008C4D61" w:rsidRDefault="008C4D61" w:rsidP="00C61CDC">
      <w:pPr>
        <w:pStyle w:val="tj"/>
        <w:spacing w:line="360" w:lineRule="auto"/>
        <w:jc w:val="both"/>
        <w:rPr>
          <w:color w:val="000000" w:themeColor="text1"/>
          <w:szCs w:val="20"/>
        </w:rPr>
      </w:pPr>
    </w:p>
    <w:p w:rsidR="008C4D61" w:rsidRDefault="008C4D61" w:rsidP="008C4D61">
      <w:pPr>
        <w:pStyle w:val="tj"/>
        <w:spacing w:line="360" w:lineRule="auto"/>
        <w:jc w:val="both"/>
        <w:rPr>
          <w:b/>
        </w:rPr>
      </w:pPr>
      <w:r>
        <w:rPr>
          <w:b/>
        </w:rPr>
        <w:t>6</w:t>
      </w:r>
      <w:r w:rsidR="00F650C0">
        <w:rPr>
          <w:b/>
        </w:rPr>
        <w:t>.</w:t>
      </w:r>
      <w:r>
        <w:rPr>
          <w:b/>
        </w:rPr>
        <w:t xml:space="preserve"> PALAVRA DA VÍTIMA</w:t>
      </w:r>
    </w:p>
    <w:p w:rsidR="008C4D61" w:rsidRDefault="008C4D61" w:rsidP="008C4D61">
      <w:pPr>
        <w:pStyle w:val="tj"/>
        <w:spacing w:line="360" w:lineRule="auto"/>
        <w:jc w:val="both"/>
        <w:rPr>
          <w:b/>
        </w:rPr>
      </w:pPr>
    </w:p>
    <w:p w:rsidR="008C4D61" w:rsidRDefault="008C4D61" w:rsidP="008C4D61">
      <w:pPr>
        <w:pStyle w:val="tj"/>
        <w:spacing w:line="360" w:lineRule="auto"/>
        <w:jc w:val="both"/>
      </w:pPr>
      <w:r>
        <w:rPr>
          <w:b/>
        </w:rPr>
        <w:tab/>
      </w:r>
      <w:r w:rsidRPr="00114D65">
        <w:rPr>
          <w:bCs/>
        </w:rPr>
        <w:t xml:space="preserve">A </w:t>
      </w:r>
      <w:r>
        <w:t xml:space="preserve">palavra da vítima nos crimes contra a dignidade sexual, em especial o crime de estupro de vulnerável, </w:t>
      </w:r>
      <w:r w:rsidR="00044B3D">
        <w:t>é de grande valor probatório para em</w:t>
      </w:r>
      <w:r w:rsidR="00CA31C4">
        <w:t>basar um decreto condenatório (ou</w:t>
      </w:r>
      <w:r w:rsidR="003E5A5C">
        <w:t xml:space="preserve">, em poucos casos, </w:t>
      </w:r>
      <w:r w:rsidR="00044B3D">
        <w:t>absolutório</w:t>
      </w:r>
      <w:r w:rsidR="00CA31C4">
        <w:t>)</w:t>
      </w:r>
      <w:r w:rsidR="00044B3D">
        <w:t xml:space="preserve"> dependendo das circunstâncias do caso concreto, desde que claras, precisas, consistentes e com um mínimo respaldo em outros elementos presentes, visto que a maioria dos crimes dessa natureza ocorrem em locais “escondidos” e ausentes de qualquer prova testemunhal.</w:t>
      </w:r>
    </w:p>
    <w:p w:rsidR="00044B3D" w:rsidRPr="008C4D61" w:rsidRDefault="00044B3D" w:rsidP="008C4D61">
      <w:pPr>
        <w:pStyle w:val="tj"/>
        <w:spacing w:line="360" w:lineRule="auto"/>
        <w:jc w:val="both"/>
      </w:pPr>
      <w:r>
        <w:tab/>
        <w:t xml:space="preserve">Ora, muito se discute, no âmbito jurídico, acerca da relevância da palavra da vítima em crimes contra dignidade sexual de menores, palavras tais quais, mesmo revestidas de toda pureza adolescente, encontram-se, muitas vezes, “ilhadas”, porquanto </w:t>
      </w:r>
      <w:r w:rsidR="00AA38B4">
        <w:t>se constituem</w:t>
      </w:r>
      <w:r>
        <w:t xml:space="preserve"> com um dos únicos, se não único, meio de prova, seja para condenar ou absolver.</w:t>
      </w:r>
    </w:p>
    <w:p w:rsidR="006F2B31" w:rsidRDefault="008C4D61" w:rsidP="006F2B31">
      <w:pPr>
        <w:pStyle w:val="tj"/>
        <w:spacing w:line="360" w:lineRule="auto"/>
        <w:jc w:val="both"/>
      </w:pPr>
      <w:r>
        <w:rPr>
          <w:b/>
        </w:rPr>
        <w:tab/>
      </w:r>
      <w:r w:rsidR="00AA38B4">
        <w:t>Nesse viés, a jurisprudência pátria já se tornou pacífica no intuito de atribuir imprescindível relevância às palavras da</w:t>
      </w:r>
      <w:r w:rsidR="006F2B31">
        <w:t xml:space="preserve"> vítima em crimes dessa</w:t>
      </w:r>
      <w:r w:rsidR="00AA38B4">
        <w:t xml:space="preserve"> natureza, </w:t>
      </w:r>
      <w:r w:rsidR="006F2B31">
        <w:t>observamos</w:t>
      </w:r>
      <w:r w:rsidR="00CA31C4">
        <w:t>:</w:t>
      </w:r>
    </w:p>
    <w:p w:rsidR="008C4D61" w:rsidRPr="00DD5086" w:rsidRDefault="008C4D61" w:rsidP="006F2B31">
      <w:pPr>
        <w:pStyle w:val="tj"/>
        <w:spacing w:line="240" w:lineRule="auto"/>
        <w:ind w:left="2268"/>
        <w:jc w:val="both"/>
        <w:rPr>
          <w:sz w:val="20"/>
        </w:rPr>
      </w:pPr>
      <w:r w:rsidRPr="00DD5086">
        <w:rPr>
          <w:sz w:val="20"/>
        </w:rPr>
        <w:t>Nos delitos de natureza sexual, a palavra da ofendida, dada a clandestinidade da infração, assume preponderante importância, por ser a principal se não a única prova de que dispõe a acusação para demonstrar a responsabilidade do acusado. Assim, se o relato dos fatos por vítima menor é seguro, coerente e harmônico com o conjunto dos autos, deve, sem dúvida, prevalecer sobre a teimosa e isolada inadmi</w:t>
      </w:r>
      <w:r w:rsidR="006F2B31" w:rsidRPr="00DD5086">
        <w:rPr>
          <w:sz w:val="20"/>
        </w:rPr>
        <w:t xml:space="preserve">ssão de responsabilidade do réu </w:t>
      </w:r>
      <w:r w:rsidRPr="00DD5086">
        <w:rPr>
          <w:sz w:val="20"/>
        </w:rPr>
        <w:t>(TJSP RT 671/305-6).</w:t>
      </w:r>
    </w:p>
    <w:p w:rsidR="00DD5086" w:rsidRDefault="00DD5086" w:rsidP="006F2B31">
      <w:pPr>
        <w:pStyle w:val="tj"/>
        <w:spacing w:line="240" w:lineRule="auto"/>
        <w:ind w:left="2268"/>
        <w:jc w:val="both"/>
        <w:rPr>
          <w:sz w:val="22"/>
        </w:rPr>
      </w:pPr>
    </w:p>
    <w:p w:rsidR="004E7E39" w:rsidRDefault="006F2B31" w:rsidP="006F2B31">
      <w:pPr>
        <w:pStyle w:val="tj"/>
        <w:spacing w:line="360" w:lineRule="auto"/>
        <w:jc w:val="both"/>
      </w:pPr>
      <w:r>
        <w:rPr>
          <w:sz w:val="22"/>
        </w:rPr>
        <w:tab/>
      </w:r>
      <w:r>
        <w:t>Verifica-se então que a palavra da vítima tem uma relevância jurídica de grande importância nesses delitos, mesmo se tratando de criança e adolescente, com o fito de embasar meios de provas necessários pa</w:t>
      </w:r>
      <w:r w:rsidR="004E7E39">
        <w:t>ra o decreto condenatório</w:t>
      </w:r>
      <w:r>
        <w:t>. Dessa for</w:t>
      </w:r>
      <w:r w:rsidR="00B4034B">
        <w:t>ma há necessidade</w:t>
      </w:r>
      <w:r w:rsidR="004E7E39">
        <w:t xml:space="preserve"> de</w:t>
      </w:r>
      <w:r w:rsidR="003E5A5C">
        <w:t xml:space="preserve"> refletir sobre a ponderação dessa importância</w:t>
      </w:r>
      <w:r w:rsidR="004E7E39">
        <w:t xml:space="preserve"> em determinados casos, ora se ela é considerada meio de prova, se não único, para embasar o decreto cond</w:t>
      </w:r>
      <w:r w:rsidR="003E5A5C">
        <w:t xml:space="preserve">enatório, por qual motivo não é </w:t>
      </w:r>
      <w:r w:rsidR="004E7E39">
        <w:t>considerada a vontade e o entendimento da vít</w:t>
      </w:r>
      <w:r w:rsidR="003E5A5C">
        <w:t>ima (adolescente)</w:t>
      </w:r>
      <w:r w:rsidR="001A62B1">
        <w:t xml:space="preserve"> com fim de absolver</w:t>
      </w:r>
      <w:r w:rsidR="003E5A5C">
        <w:t xml:space="preserve"> o suposto violador de direitos</w:t>
      </w:r>
      <w:r w:rsidR="004E7E39">
        <w:t>?</w:t>
      </w:r>
    </w:p>
    <w:p w:rsidR="004E7E39" w:rsidRDefault="00DE0C9C" w:rsidP="003E5A5C">
      <w:pPr>
        <w:pStyle w:val="tj"/>
        <w:spacing w:line="360" w:lineRule="auto"/>
        <w:jc w:val="both"/>
      </w:pPr>
      <w:r>
        <w:tab/>
        <w:t xml:space="preserve">É possível perceber que existe uma controvérsia no tocante a importância </w:t>
      </w:r>
      <w:r w:rsidR="003E5A5C">
        <w:t xml:space="preserve">que se é dada </w:t>
      </w:r>
      <w:r w:rsidR="007B4D3C">
        <w:t>a palavra da vítima nos delitos de dignidade sexual, ora, é levado em consideração</w:t>
      </w:r>
      <w:r w:rsidR="003E5A5C">
        <w:t xml:space="preserve"> como </w:t>
      </w:r>
      <w:r w:rsidR="003E5A5C">
        <w:lastRenderedPageBreak/>
        <w:t>meio de prova, se não único,</w:t>
      </w:r>
      <w:r w:rsidR="007B4D3C">
        <w:t xml:space="preserve"> </w:t>
      </w:r>
      <w:r w:rsidR="003E5A5C">
        <w:t>a</w:t>
      </w:r>
      <w:r w:rsidR="007B4D3C">
        <w:t xml:space="preserve"> palavra da vítima para condenar</w:t>
      </w:r>
      <w:r w:rsidR="00C0788A">
        <w:t>, mas</w:t>
      </w:r>
      <w:r w:rsidR="003E5A5C">
        <w:t xml:space="preserve"> pouco interessa a vontade, a relação afetiva da adolescente e outras circunstâncias, bem como a palavra da vítima com o intuito de absolver o “réu”.</w:t>
      </w:r>
      <w:r w:rsidR="007B4D3C">
        <w:t xml:space="preserve"> </w:t>
      </w:r>
    </w:p>
    <w:p w:rsidR="0045086F" w:rsidRPr="006611CF" w:rsidRDefault="0045086F" w:rsidP="0045086F">
      <w:pPr>
        <w:pStyle w:val="tj"/>
        <w:spacing w:line="360" w:lineRule="auto"/>
        <w:jc w:val="both"/>
      </w:pPr>
      <w:r>
        <w:tab/>
        <w:t>Nesse sentido, a jurisprudência aduziu que:</w:t>
      </w:r>
    </w:p>
    <w:p w:rsidR="0045086F" w:rsidRPr="00DD5086" w:rsidRDefault="0045086F" w:rsidP="0045086F">
      <w:pPr>
        <w:pStyle w:val="tj"/>
        <w:spacing w:line="240" w:lineRule="auto"/>
        <w:ind w:left="2268"/>
        <w:jc w:val="both"/>
        <w:rPr>
          <w:sz w:val="20"/>
          <w:szCs w:val="20"/>
        </w:rPr>
      </w:pPr>
      <w:r w:rsidRPr="00DD5086">
        <w:rPr>
          <w:iCs/>
          <w:sz w:val="20"/>
          <w:szCs w:val="20"/>
        </w:rPr>
        <w:t xml:space="preserve">Apelação criminal - estupro de vulneráveis (art. </w:t>
      </w:r>
      <w:hyperlink r:id="rId8">
        <w:r w:rsidRPr="00DD5086">
          <w:rPr>
            <w:rStyle w:val="LinkdaInternet"/>
            <w:color w:val="auto"/>
            <w:sz w:val="20"/>
            <w:szCs w:val="20"/>
            <w:u w:val="none"/>
          </w:rPr>
          <w:t>217-a</w:t>
        </w:r>
      </w:hyperlink>
      <w:r w:rsidRPr="00DD5086">
        <w:rPr>
          <w:iCs/>
          <w:sz w:val="20"/>
          <w:szCs w:val="20"/>
        </w:rPr>
        <w:t xml:space="preserve"> do </w:t>
      </w:r>
      <w:hyperlink r:id="rId9">
        <w:r w:rsidRPr="00DD5086">
          <w:rPr>
            <w:rStyle w:val="LinkdaInternet"/>
            <w:color w:val="auto"/>
            <w:sz w:val="20"/>
            <w:szCs w:val="20"/>
            <w:u w:val="none"/>
          </w:rPr>
          <w:t>código penal</w:t>
        </w:r>
      </w:hyperlink>
      <w:r w:rsidRPr="00DD5086">
        <w:rPr>
          <w:sz w:val="20"/>
          <w:szCs w:val="20"/>
        </w:rPr>
        <w:t>)</w:t>
      </w:r>
      <w:r w:rsidRPr="00DD5086">
        <w:rPr>
          <w:iCs/>
          <w:sz w:val="20"/>
          <w:szCs w:val="20"/>
        </w:rPr>
        <w:t xml:space="preserve">. Pleito absolutório baseado em suposta fragilidade probatória. Inadmissibilidade. Laudo pericial. Não constatação de sinais de violência ou de atos libidinosos. Irrelevância. Crime sexual praticado sem deixar vestígios. Depoimento da vítima e testemunha apontam de modo robusto a responsabilidade do réu pela conduta criminosa. </w:t>
      </w:r>
      <w:r w:rsidRPr="00DD5086">
        <w:rPr>
          <w:b/>
          <w:iCs/>
          <w:sz w:val="20"/>
          <w:szCs w:val="20"/>
        </w:rPr>
        <w:t>Palavra da vítima de grande valor probatório nos crimes contra a dignidade sexual.</w:t>
      </w:r>
      <w:r w:rsidRPr="00DD5086">
        <w:rPr>
          <w:iCs/>
          <w:sz w:val="20"/>
          <w:szCs w:val="20"/>
        </w:rPr>
        <w:t xml:space="preserve"> Dosimetria -redução da pena para o mínimo legal. I - a materialidade e a autoria delitiva não deixam dúvidas, sendo claro que o réu se valeu da condição de inocência da vítima para saciar sua lascívia; ii - a inexistência laudo pericial não é conclusivo para afastar a prática do delito, tendo em vista o fato de se tratar de abuso sexual cometido sem a presença de vestígios. iii - a palavra da vítima, em sede de crime de estupro, em regra, é elemento de convicção de alta importância, levando-se em conta que estes crimes, geralmente, não há testemunhas ou não deixam vestígios […]. </w:t>
      </w:r>
      <w:r w:rsidRPr="00DD5086">
        <w:rPr>
          <w:sz w:val="20"/>
          <w:szCs w:val="20"/>
        </w:rPr>
        <w:t xml:space="preserve">(TJSE – Acordão nº 15470/2014). </w:t>
      </w:r>
      <w:r w:rsidRPr="00DD5086">
        <w:rPr>
          <w:b/>
          <w:sz w:val="20"/>
          <w:szCs w:val="20"/>
        </w:rPr>
        <w:t>(grifo nosso).</w:t>
      </w:r>
      <w:r w:rsidRPr="00DD5086">
        <w:rPr>
          <w:sz w:val="20"/>
          <w:szCs w:val="20"/>
        </w:rPr>
        <w:t xml:space="preserve"> </w:t>
      </w:r>
    </w:p>
    <w:p w:rsidR="0045086F" w:rsidRPr="0045086F" w:rsidRDefault="0045086F" w:rsidP="0045086F">
      <w:pPr>
        <w:pStyle w:val="tj"/>
        <w:spacing w:line="240" w:lineRule="auto"/>
        <w:ind w:left="2268"/>
        <w:jc w:val="both"/>
        <w:rPr>
          <w:sz w:val="22"/>
          <w:szCs w:val="22"/>
        </w:rPr>
      </w:pPr>
    </w:p>
    <w:p w:rsidR="00C0788A" w:rsidRDefault="00C0788A" w:rsidP="006F2B31">
      <w:pPr>
        <w:pStyle w:val="tj"/>
        <w:spacing w:line="360" w:lineRule="auto"/>
        <w:jc w:val="both"/>
      </w:pPr>
      <w:r>
        <w:tab/>
        <w:t xml:space="preserve">Diante disso, </w:t>
      </w:r>
      <w:r w:rsidR="003533F6">
        <w:t>é necessário compreender a relevância da palavra da vítima nos deli</w:t>
      </w:r>
      <w:r w:rsidR="0045086F">
        <w:t>tos em comento em duas direções</w:t>
      </w:r>
      <w:r w:rsidR="003533F6">
        <w:t>, seja para u</w:t>
      </w:r>
      <w:r w:rsidR="00C8763C">
        <w:t>m meio de prova com o intuito condenar ou</w:t>
      </w:r>
      <w:r w:rsidR="0045086F">
        <w:t xml:space="preserve"> absolver, tendo por base</w:t>
      </w:r>
      <w:r w:rsidR="00C8763C">
        <w:t xml:space="preserve"> casos de adolescentes</w:t>
      </w:r>
      <w:r w:rsidR="00216C74">
        <w:t>, não apenas com o único objetivo de condenar</w:t>
      </w:r>
      <w:r w:rsidR="00C8763C">
        <w:t>.</w:t>
      </w:r>
    </w:p>
    <w:p w:rsidR="001A62B1" w:rsidRDefault="00C8763C" w:rsidP="006F2B31">
      <w:pPr>
        <w:pStyle w:val="tj"/>
        <w:spacing w:line="360" w:lineRule="auto"/>
        <w:jc w:val="both"/>
      </w:pPr>
      <w:r>
        <w:tab/>
        <w:t xml:space="preserve">Não obstante, se entendemos que a relevância jurídica no tocante a palavra da vítima </w:t>
      </w:r>
      <w:r w:rsidR="00E3039A">
        <w:t xml:space="preserve">deve ser de forma igualitária tanto para absolver como para condenar, estamos concordando que a presunção no delito 217-A, </w:t>
      </w:r>
      <w:r w:rsidR="00E3039A" w:rsidRPr="00850C1B">
        <w:rPr>
          <w:i/>
        </w:rPr>
        <w:t>caput,</w:t>
      </w:r>
      <w:r w:rsidR="00E3039A">
        <w:t xml:space="preserve"> do Código Penal deve ser relativa, ora, a análise do caso concreto e das circunstâncias</w:t>
      </w:r>
      <w:r w:rsidR="001A62B1">
        <w:t xml:space="preserve"> </w:t>
      </w:r>
      <w:r w:rsidR="00216C74">
        <w:t xml:space="preserve">externas </w:t>
      </w:r>
      <w:r w:rsidR="001A62B1">
        <w:t>são critérios ponderadores ao aplicar o tipo penal.</w:t>
      </w:r>
    </w:p>
    <w:p w:rsidR="00DD5086" w:rsidRPr="006F31D3" w:rsidRDefault="0045086F" w:rsidP="006F31D3">
      <w:pPr>
        <w:pStyle w:val="tj"/>
        <w:spacing w:line="360" w:lineRule="auto"/>
        <w:jc w:val="both"/>
      </w:pPr>
      <w:r>
        <w:tab/>
        <w:t>Nucci (2</w:t>
      </w:r>
      <w:r w:rsidR="00446862">
        <w:t>016</w:t>
      </w:r>
      <w:r>
        <w:t>)</w:t>
      </w:r>
      <w:r w:rsidR="00446862">
        <w:t>, em seus comentários no seu site de dicas, defendeu</w:t>
      </w:r>
      <w:r>
        <w:t xml:space="preserve"> </w:t>
      </w:r>
      <w:r w:rsidR="006F31D3">
        <w:t xml:space="preserve">a presunção de violência no crime de estupro de vulnerável deve ser absoluta quando se tratar de criança, mas relativa quando se tratar de adolescentes, pois afirmar que a vulnerabilidade é absoluta é caminhar no sentido de condenação sem analisar outros aspectos, os quais são de extrema importância, como exemplo o valor probatório da palavra da vítima em delitos dessa plenitude. </w:t>
      </w:r>
    </w:p>
    <w:p w:rsidR="0045086F" w:rsidRDefault="0045086F" w:rsidP="0045086F">
      <w:pPr>
        <w:pStyle w:val="tj"/>
        <w:spacing w:line="360" w:lineRule="auto"/>
        <w:jc w:val="both"/>
        <w:rPr>
          <w:szCs w:val="22"/>
        </w:rPr>
      </w:pPr>
      <w:r>
        <w:rPr>
          <w:szCs w:val="22"/>
        </w:rPr>
        <w:tab/>
        <w:t xml:space="preserve">Certamente aplicar simplesmente o tipo penal sem considerar as circunstâncias, os elementos, </w:t>
      </w:r>
      <w:r w:rsidR="00DD5086">
        <w:rPr>
          <w:szCs w:val="22"/>
        </w:rPr>
        <w:t>à</w:t>
      </w:r>
      <w:r>
        <w:rPr>
          <w:szCs w:val="22"/>
        </w:rPr>
        <w:t xml:space="preserve"> vontade, a relação amorosa, e o valor probatório da palavra da vítima, etc, é uma injustiça, isto porque defender que a vulnerabilidade é absoluta o único caminho é a condenação.</w:t>
      </w:r>
      <w:r w:rsidR="00A32364">
        <w:rPr>
          <w:szCs w:val="22"/>
        </w:rPr>
        <w:t xml:space="preserve"> </w:t>
      </w:r>
    </w:p>
    <w:p w:rsidR="00785782" w:rsidRDefault="00A32364" w:rsidP="00785782">
      <w:pPr>
        <w:pStyle w:val="tj"/>
        <w:spacing w:line="360" w:lineRule="auto"/>
        <w:jc w:val="both"/>
        <w:rPr>
          <w:szCs w:val="22"/>
        </w:rPr>
      </w:pPr>
      <w:r>
        <w:rPr>
          <w:szCs w:val="22"/>
        </w:rPr>
        <w:tab/>
        <w:t>Dessa forma, é necessário enxergar o valor probatório da vítima em todos os casos, seja como forma de absolvição ou condenação, como medida de inteira justiça, bem como visualizar a vulnerabilidade como critério relativo, admitindo-se provas em contrário.</w:t>
      </w:r>
    </w:p>
    <w:p w:rsidR="008D664A" w:rsidRPr="008D664A" w:rsidRDefault="008D664A" w:rsidP="00785782">
      <w:pPr>
        <w:pStyle w:val="tj"/>
        <w:spacing w:line="360" w:lineRule="auto"/>
        <w:jc w:val="both"/>
        <w:rPr>
          <w:szCs w:val="22"/>
        </w:rPr>
      </w:pPr>
    </w:p>
    <w:p w:rsidR="008D664A" w:rsidRDefault="008F4924" w:rsidP="00785782">
      <w:pPr>
        <w:pStyle w:val="tj"/>
        <w:spacing w:line="360" w:lineRule="auto"/>
        <w:jc w:val="both"/>
        <w:rPr>
          <w:b/>
        </w:rPr>
      </w:pPr>
      <w:r>
        <w:rPr>
          <w:b/>
        </w:rPr>
        <w:lastRenderedPageBreak/>
        <w:t>8</w:t>
      </w:r>
      <w:r w:rsidR="00785782">
        <w:rPr>
          <w:b/>
        </w:rPr>
        <w:t xml:space="preserve">. </w:t>
      </w:r>
      <w:r>
        <w:rPr>
          <w:b/>
        </w:rPr>
        <w:t>CONSIDERAÇÕES FINAIS</w:t>
      </w:r>
    </w:p>
    <w:p w:rsidR="008F4924" w:rsidRDefault="008F4924" w:rsidP="00785782">
      <w:pPr>
        <w:pStyle w:val="tj"/>
        <w:spacing w:line="360" w:lineRule="auto"/>
        <w:jc w:val="both"/>
        <w:rPr>
          <w:b/>
        </w:rPr>
      </w:pPr>
      <w:r>
        <w:rPr>
          <w:b/>
        </w:rPr>
        <w:tab/>
      </w:r>
      <w:r>
        <w:rPr>
          <w:b/>
        </w:rPr>
        <w:tab/>
      </w:r>
    </w:p>
    <w:p w:rsidR="00785782" w:rsidRDefault="008F4924" w:rsidP="00785782">
      <w:pPr>
        <w:pStyle w:val="tj"/>
        <w:spacing w:line="360" w:lineRule="auto"/>
        <w:jc w:val="both"/>
      </w:pPr>
      <w:r>
        <w:rPr>
          <w:b/>
        </w:rPr>
        <w:tab/>
      </w:r>
      <w:r w:rsidR="00785782">
        <w:rPr>
          <w:b/>
        </w:rPr>
        <w:t xml:space="preserve"> </w:t>
      </w:r>
      <w:r>
        <w:t xml:space="preserve">Diante do exposto e estudado, é possível perceber que o crime de estupro de vulnerável é consumado com a conjunção carnal ou ato libidinoso diverso com </w:t>
      </w:r>
      <w:r w:rsidR="00767793">
        <w:t>vítima</w:t>
      </w:r>
      <w:r>
        <w:t xml:space="preserve"> de</w:t>
      </w:r>
      <w:r w:rsidR="00767793">
        <w:t xml:space="preserve"> idade inferior à</w:t>
      </w:r>
      <w:r>
        <w:t xml:space="preserve"> 14 (catorze) anos, pouco importando o consentimento da vítima, </w:t>
      </w:r>
      <w:r w:rsidR="00767793">
        <w:t xml:space="preserve">a existência de relacionamento amoroso anterior à prática ou </w:t>
      </w:r>
      <w:r>
        <w:t>sua experiência sexual anterior</w:t>
      </w:r>
      <w:r w:rsidR="00767793">
        <w:t xml:space="preserve">. </w:t>
      </w:r>
    </w:p>
    <w:p w:rsidR="008F4924" w:rsidRDefault="008F4924" w:rsidP="00785782">
      <w:pPr>
        <w:pStyle w:val="tj"/>
        <w:spacing w:line="360" w:lineRule="auto"/>
        <w:jc w:val="both"/>
      </w:pPr>
      <w:r>
        <w:tab/>
        <w:t>Para fins penais e jurídicos a vulnerabilidade prevista no crime em comento é estabelecida pelo caráter etário, o qual é objeto de estudo, ou seja, são consideradas como pessoa vulnerável criança e adolescente, sendo aquela pessoa menor de 12 (doze) anos e esta pessoa maior de 12 (doze) anos até os seus 18 (dezoito) anos de idade, conforme estabelecido pelo Estatuto da Criança e do Adolescente.</w:t>
      </w:r>
    </w:p>
    <w:p w:rsidR="008F4924" w:rsidRDefault="008F4924" w:rsidP="00785782">
      <w:pPr>
        <w:pStyle w:val="tj"/>
        <w:spacing w:line="360" w:lineRule="auto"/>
        <w:jc w:val="both"/>
      </w:pPr>
      <w:r>
        <w:tab/>
        <w:t xml:space="preserve">A redação do artigo 217-A, </w:t>
      </w:r>
      <w:r w:rsidRPr="00F4179D">
        <w:rPr>
          <w:i/>
        </w:rPr>
        <w:t>caput,</w:t>
      </w:r>
      <w:r>
        <w:t xml:space="preserve"> do Código Penal trouxe para o mundo jurídico maior discussão acerca da presunção de violência e da vulnerabilidade em delitos dess</w:t>
      </w:r>
      <w:r w:rsidR="00F4179D">
        <w:t>a natureza e com o fim de evitar a insegurança jurídica o Superior Tribunal de Justiça, no ano 2017, definiu o seu entendimento através da Súmula 593, no entanto, defendeu a presunção de violência como caráter absoluto, pouco importando as condições externas, sejam elas as variações de consentimento, experiência, vontade, tempo, etc.</w:t>
      </w:r>
    </w:p>
    <w:p w:rsidR="002A5EF6" w:rsidRDefault="002A5EF6" w:rsidP="00785782">
      <w:pPr>
        <w:pStyle w:val="tj"/>
        <w:spacing w:line="360" w:lineRule="auto"/>
        <w:jc w:val="both"/>
      </w:pPr>
      <w:r>
        <w:tab/>
        <w:t>Diante da posição sumulada do Superior Tribunal de Justiça, houve a necessidade de entender a vulnerabilidade do critério etário sob outros aspectos, analisando os princípios do Direito Penal e a adequação das normas no mundo jurídico e entender até onde o caráter absoluto é maléfico.</w:t>
      </w:r>
    </w:p>
    <w:p w:rsidR="002A5EF6" w:rsidRDefault="002A5EF6" w:rsidP="002A5EF6">
      <w:pPr>
        <w:pStyle w:val="tj"/>
        <w:spacing w:line="360" w:lineRule="auto"/>
        <w:jc w:val="both"/>
      </w:pPr>
      <w:r>
        <w:tab/>
        <w:t>O trabalho centrou seu estudo nos adolescentes, e apontou que os adolescentes estão cada vez mais inseridos na vida sexual, com eu próprio consentimento e entendimento da gravidade do ato, e na maioria dos casos, inseridos em relações afetivas, o que torna a in</w:t>
      </w:r>
      <w:r w:rsidR="005502BC">
        <w:t xml:space="preserve">viabilidade de aplicar a </w:t>
      </w:r>
      <w:r>
        <w:t>presunção de violência como caráter absoluto.</w:t>
      </w:r>
    </w:p>
    <w:p w:rsidR="005502BC" w:rsidRDefault="002A5EF6" w:rsidP="002A5EF6">
      <w:pPr>
        <w:pStyle w:val="tj"/>
        <w:spacing w:line="360" w:lineRule="auto"/>
        <w:jc w:val="both"/>
      </w:pPr>
      <w:r>
        <w:tab/>
        <w:t>Ora, seria injusto aplicar a todas as relações sexuais e atos libidinosos com adolescente o crime de estupro de vulnerável sem analisar as circunstâncias, o caráter social e cultural em que o adolescente s</w:t>
      </w:r>
      <w:r w:rsidR="005502BC">
        <w:t>e encontra, a sua vontade e seu discernimento para entender o fato.</w:t>
      </w:r>
    </w:p>
    <w:p w:rsidR="005502BC" w:rsidRDefault="005502BC" w:rsidP="002A5EF6">
      <w:pPr>
        <w:pStyle w:val="tj"/>
        <w:spacing w:line="360" w:lineRule="auto"/>
        <w:jc w:val="both"/>
      </w:pPr>
      <w:r>
        <w:tab/>
        <w:t>Neste viés, há necessidade de enxergar o Direito como adaptador das transformações sociais e culturais da sociedade, bem como aplica-lo em concordância com os princípios da adequação social, da proporcionalidade, da presunção de inocência e ofensividade e saber que caso o operador aplique a norma sem analisar o caso concreto estará realizando apenas uma operação matemática e exata, o que de fato, o ramo de Direito não é.</w:t>
      </w:r>
    </w:p>
    <w:p w:rsidR="003C5339" w:rsidRDefault="003C5339" w:rsidP="002A5EF6">
      <w:pPr>
        <w:pStyle w:val="tj"/>
        <w:spacing w:line="360" w:lineRule="auto"/>
        <w:jc w:val="both"/>
      </w:pPr>
      <w:r>
        <w:lastRenderedPageBreak/>
        <w:tab/>
        <w:t xml:space="preserve">Dessa forma, analisamos a presunção de violência em conjunto com o Estatuto da Criança e do Adolescente e compreendemos que o entendimento sumulado pelo STJ no tocante ao crime do art.217-A, </w:t>
      </w:r>
      <w:r w:rsidRPr="003C5339">
        <w:rPr>
          <w:i/>
        </w:rPr>
        <w:t>caput,</w:t>
      </w:r>
      <w:r>
        <w:t xml:space="preserve"> do Código penal, está aparentemente inadequado às relações socais e transformadoras perante a sociedade, o que traz uma insatisfação e injustiça ao ser aplicado, uma vez que fere os princípios do Direito Penal estudados.</w:t>
      </w:r>
    </w:p>
    <w:p w:rsidR="005722FC" w:rsidRDefault="005722FC" w:rsidP="002A5EF6">
      <w:pPr>
        <w:pStyle w:val="tj"/>
        <w:spacing w:line="360" w:lineRule="auto"/>
        <w:jc w:val="both"/>
      </w:pPr>
      <w:r>
        <w:tab/>
        <w:t>Por fim, é necessário analisar a presunção de violência sob a ótica do Estatuto da Criança e do Adolescente e das transformações sociais com o fim de evitar eventuais decisões injustas e não condizentes aos comportamentos atuais.</w:t>
      </w:r>
    </w:p>
    <w:p w:rsidR="003C5339" w:rsidRDefault="003C5339" w:rsidP="003C5339">
      <w:pPr>
        <w:pStyle w:val="tj"/>
        <w:spacing w:line="360" w:lineRule="auto"/>
        <w:jc w:val="both"/>
        <w:rPr>
          <w:color w:val="000000"/>
        </w:rPr>
      </w:pPr>
      <w:r>
        <w:tab/>
      </w:r>
      <w:r w:rsidR="005722FC">
        <w:t>Outrossim, vale destacar que o</w:t>
      </w:r>
      <w:r>
        <w:t xml:space="preserve"> estudo contribui com as atuais discussões acerca da aplicação da presunção relativa no crime em comento, analisando-as sob a ótica do Estatuto da Criança e do Adolescente. </w:t>
      </w:r>
      <w:r>
        <w:rPr>
          <w:color w:val="000000"/>
        </w:rPr>
        <w:t>Ostentou a sua importância na medida em que debateu e avançou conhecimentos sobre as transformações da realidade sob o contexto do princípio da adequação social, bem como analisou a relevância jurídica da palavra da vítima nos crimes dessa natureza.</w:t>
      </w:r>
    </w:p>
    <w:p w:rsidR="005502BC" w:rsidRPr="0007126D" w:rsidRDefault="003C5339" w:rsidP="0007126D">
      <w:pPr>
        <w:pStyle w:val="tj"/>
        <w:spacing w:line="360" w:lineRule="auto"/>
        <w:jc w:val="both"/>
        <w:rPr>
          <w:color w:val="000000"/>
        </w:rPr>
      </w:pPr>
      <w:r>
        <w:rPr>
          <w:color w:val="000000"/>
        </w:rPr>
        <w:tab/>
        <w:t xml:space="preserve">A metodologia utilizada foi </w:t>
      </w:r>
      <w:r w:rsidR="005722FC">
        <w:rPr>
          <w:color w:val="000000"/>
        </w:rPr>
        <w:t>a</w:t>
      </w:r>
      <w:r>
        <w:rPr>
          <w:color w:val="000000"/>
        </w:rPr>
        <w:t xml:space="preserve"> revisão bibliográfica, a qual se obteve um estudo exploratório de reflexão crítica,</w:t>
      </w:r>
      <w:r>
        <w:t xml:space="preserve"> </w:t>
      </w:r>
      <w:r w:rsidR="005722FC">
        <w:t>analisando diversos posicionamento e críticas acerca da discu</w:t>
      </w:r>
      <w:r w:rsidR="0007126D">
        <w:t>ssão.</w:t>
      </w:r>
    </w:p>
    <w:p w:rsidR="00534245" w:rsidRDefault="0007126D" w:rsidP="00534245">
      <w:pPr>
        <w:autoSpaceDE w:val="0"/>
        <w:autoSpaceDN w:val="0"/>
        <w:adjustRightInd w:val="0"/>
        <w:spacing w:after="0" w:line="360" w:lineRule="auto"/>
        <w:ind w:right="-568"/>
        <w:jc w:val="both"/>
        <w:rPr>
          <w:rFonts w:ascii="Times New Roman" w:hAnsi="Times New Roman"/>
          <w:b/>
          <w:sz w:val="24"/>
          <w:szCs w:val="24"/>
        </w:rPr>
      </w:pPr>
      <w:r>
        <w:rPr>
          <w:rFonts w:ascii="Times New Roman" w:hAnsi="Times New Roman"/>
          <w:b/>
          <w:sz w:val="24"/>
          <w:szCs w:val="24"/>
        </w:rPr>
        <w:t>9.</w:t>
      </w:r>
      <w:r w:rsidR="00A954A8">
        <w:rPr>
          <w:rFonts w:ascii="Times New Roman" w:hAnsi="Times New Roman"/>
          <w:b/>
          <w:sz w:val="24"/>
          <w:szCs w:val="24"/>
        </w:rPr>
        <w:t xml:space="preserve"> REFERÊNCIAS</w:t>
      </w:r>
    </w:p>
    <w:p w:rsidR="00C06BE3" w:rsidRPr="0007126D" w:rsidRDefault="00C06BE3" w:rsidP="00691719">
      <w:pPr>
        <w:autoSpaceDE w:val="0"/>
        <w:autoSpaceDN w:val="0"/>
        <w:adjustRightInd w:val="0"/>
        <w:spacing w:after="0" w:line="360" w:lineRule="auto"/>
        <w:ind w:right="-568"/>
        <w:jc w:val="both"/>
        <w:rPr>
          <w:rFonts w:ascii="Times New Roman" w:hAnsi="Times New Roman" w:cs="Times New Roman"/>
          <w:b/>
          <w:sz w:val="24"/>
          <w:szCs w:val="24"/>
        </w:rPr>
      </w:pPr>
    </w:p>
    <w:p w:rsidR="00C06BE3" w:rsidRPr="0007126D" w:rsidRDefault="00C06BE3" w:rsidP="00691719">
      <w:pPr>
        <w:autoSpaceDE w:val="0"/>
        <w:autoSpaceDN w:val="0"/>
        <w:adjustRightInd w:val="0"/>
        <w:spacing w:after="0" w:line="360" w:lineRule="auto"/>
        <w:ind w:right="-568"/>
        <w:jc w:val="both"/>
        <w:rPr>
          <w:rFonts w:ascii="Times New Roman" w:hAnsi="Times New Roman" w:cs="Times New Roman"/>
          <w:color w:val="000000" w:themeColor="text1"/>
          <w:sz w:val="24"/>
          <w:szCs w:val="24"/>
        </w:rPr>
      </w:pPr>
      <w:r w:rsidRPr="0007126D">
        <w:rPr>
          <w:rFonts w:ascii="Times New Roman" w:hAnsi="Times New Roman" w:cs="Times New Roman"/>
          <w:color w:val="000000" w:themeColor="text1"/>
          <w:sz w:val="24"/>
          <w:szCs w:val="24"/>
        </w:rPr>
        <w:t>ADOLESCENTE</w:t>
      </w:r>
      <w:r w:rsidRPr="0007126D">
        <w:rPr>
          <w:rFonts w:ascii="Times New Roman" w:hAnsi="Times New Roman" w:cs="Times New Roman"/>
          <w:b/>
          <w:color w:val="000000" w:themeColor="text1"/>
          <w:sz w:val="24"/>
          <w:szCs w:val="24"/>
        </w:rPr>
        <w:t>.</w:t>
      </w:r>
      <w:r w:rsidRPr="0007126D">
        <w:rPr>
          <w:rFonts w:ascii="Times New Roman" w:hAnsi="Times New Roman" w:cs="Times New Roman"/>
          <w:color w:val="000000" w:themeColor="text1"/>
          <w:sz w:val="24"/>
          <w:szCs w:val="24"/>
        </w:rPr>
        <w:t xml:space="preserve"> </w:t>
      </w:r>
      <w:r w:rsidRPr="0007126D">
        <w:rPr>
          <w:rFonts w:ascii="Times New Roman" w:hAnsi="Times New Roman" w:cs="Times New Roman"/>
          <w:b/>
          <w:color w:val="000000" w:themeColor="text1"/>
          <w:sz w:val="24"/>
          <w:szCs w:val="24"/>
        </w:rPr>
        <w:t>Estatuto da criança e do adolescente.</w:t>
      </w:r>
      <w:r w:rsidRPr="0007126D">
        <w:rPr>
          <w:rFonts w:ascii="Times New Roman" w:hAnsi="Times New Roman" w:cs="Times New Roman"/>
          <w:color w:val="000000" w:themeColor="text1"/>
          <w:sz w:val="24"/>
          <w:szCs w:val="24"/>
        </w:rPr>
        <w:t xml:space="preserve"> Disponível em:  &lt;</w:t>
      </w:r>
      <w:hyperlink r:id="rId10" w:history="1">
        <w:r w:rsidRPr="0007126D">
          <w:rPr>
            <w:rStyle w:val="Hyperlink"/>
            <w:rFonts w:ascii="Times New Roman" w:hAnsi="Times New Roman" w:cs="Times New Roman"/>
            <w:color w:val="000000" w:themeColor="text1"/>
            <w:sz w:val="24"/>
            <w:szCs w:val="24"/>
          </w:rPr>
          <w:t>http://www.planalto.gov.br/ccivil_03/leis/l8069.htm</w:t>
        </w:r>
      </w:hyperlink>
      <w:r w:rsidRPr="0007126D">
        <w:rPr>
          <w:rFonts w:ascii="Times New Roman" w:hAnsi="Times New Roman" w:cs="Times New Roman"/>
          <w:color w:val="000000" w:themeColor="text1"/>
          <w:sz w:val="24"/>
          <w:szCs w:val="24"/>
        </w:rPr>
        <w:t xml:space="preserve">&gt; Acesso em: </w:t>
      </w:r>
      <w:r w:rsidR="009F55B8" w:rsidRPr="0007126D">
        <w:rPr>
          <w:rFonts w:ascii="Times New Roman" w:hAnsi="Times New Roman" w:cs="Times New Roman"/>
          <w:color w:val="000000" w:themeColor="text1"/>
          <w:sz w:val="24"/>
          <w:szCs w:val="24"/>
        </w:rPr>
        <w:t>maio 2019.</w:t>
      </w:r>
    </w:p>
    <w:p w:rsidR="00C06BE3" w:rsidRPr="0007126D" w:rsidRDefault="00C06BE3" w:rsidP="00691719">
      <w:pPr>
        <w:autoSpaceDE w:val="0"/>
        <w:autoSpaceDN w:val="0"/>
        <w:adjustRightInd w:val="0"/>
        <w:spacing w:after="0" w:line="360" w:lineRule="auto"/>
        <w:ind w:right="-568"/>
        <w:jc w:val="both"/>
        <w:rPr>
          <w:rFonts w:ascii="Times New Roman" w:hAnsi="Times New Roman" w:cs="Times New Roman"/>
          <w:color w:val="003366"/>
          <w:sz w:val="24"/>
          <w:szCs w:val="24"/>
          <w:shd w:val="clear" w:color="auto" w:fill="FFFFFF"/>
        </w:rPr>
      </w:pPr>
    </w:p>
    <w:p w:rsidR="0007126D" w:rsidRDefault="00C06BE3" w:rsidP="00691719">
      <w:pPr>
        <w:autoSpaceDE w:val="0"/>
        <w:autoSpaceDN w:val="0"/>
        <w:adjustRightInd w:val="0"/>
        <w:spacing w:after="0" w:line="360" w:lineRule="auto"/>
        <w:ind w:right="-568"/>
        <w:jc w:val="both"/>
        <w:rPr>
          <w:rFonts w:ascii="Times New Roman" w:hAnsi="Times New Roman" w:cs="Times New Roman"/>
          <w:color w:val="000000" w:themeColor="text1"/>
          <w:sz w:val="24"/>
          <w:szCs w:val="24"/>
          <w:shd w:val="clear" w:color="auto" w:fill="FFFFFF"/>
        </w:rPr>
      </w:pPr>
      <w:r w:rsidRPr="0007126D">
        <w:rPr>
          <w:rFonts w:ascii="Times New Roman" w:hAnsi="Times New Roman" w:cs="Times New Roman"/>
          <w:color w:val="000000" w:themeColor="text1"/>
          <w:sz w:val="24"/>
          <w:szCs w:val="24"/>
          <w:shd w:val="clear" w:color="auto" w:fill="FFFFFF"/>
        </w:rPr>
        <w:t>BRASIL</w:t>
      </w:r>
      <w:r w:rsidRPr="0007126D">
        <w:rPr>
          <w:rStyle w:val="nfase"/>
          <w:rFonts w:ascii="Times New Roman" w:hAnsi="Times New Roman" w:cs="Times New Roman"/>
          <w:b/>
          <w:i w:val="0"/>
          <w:color w:val="000000" w:themeColor="text1"/>
          <w:sz w:val="24"/>
          <w:szCs w:val="24"/>
          <w:shd w:val="clear" w:color="auto" w:fill="FFFFFF"/>
        </w:rPr>
        <w:t>.  Constituição da República Federativa do Brasil de 1988</w:t>
      </w:r>
      <w:r w:rsidRPr="0007126D">
        <w:rPr>
          <w:rFonts w:ascii="Times New Roman" w:hAnsi="Times New Roman" w:cs="Times New Roman"/>
          <w:b/>
          <w:i/>
          <w:color w:val="000000" w:themeColor="text1"/>
          <w:sz w:val="24"/>
          <w:szCs w:val="24"/>
          <w:shd w:val="clear" w:color="auto" w:fill="FFFFFF"/>
        </w:rPr>
        <w:t>.</w:t>
      </w:r>
      <w:r w:rsidRPr="0007126D">
        <w:rPr>
          <w:rFonts w:ascii="Times New Roman" w:hAnsi="Times New Roman" w:cs="Times New Roman"/>
          <w:color w:val="000000" w:themeColor="text1"/>
          <w:sz w:val="24"/>
          <w:szCs w:val="24"/>
          <w:shd w:val="clear" w:color="auto" w:fill="FFFFFF"/>
        </w:rPr>
        <w:t xml:space="preserve"> Disponível em: &lt; </w:t>
      </w:r>
      <w:hyperlink r:id="rId11" w:history="1">
        <w:r w:rsidRPr="0007126D">
          <w:rPr>
            <w:rStyle w:val="Hyperlink"/>
            <w:rFonts w:ascii="Times New Roman" w:hAnsi="Times New Roman" w:cs="Times New Roman"/>
            <w:color w:val="000000" w:themeColor="text1"/>
            <w:sz w:val="24"/>
            <w:szCs w:val="24"/>
            <w:shd w:val="clear" w:color="auto" w:fill="FFFFFF"/>
          </w:rPr>
          <w:t>http://www.planalto.gov.br/ccivil_03/constituicao/constituicaocompilado.htm</w:t>
        </w:r>
      </w:hyperlink>
      <w:r w:rsidR="0007126D">
        <w:rPr>
          <w:rFonts w:ascii="Times New Roman" w:hAnsi="Times New Roman" w:cs="Times New Roman"/>
          <w:color w:val="000000" w:themeColor="text1"/>
          <w:sz w:val="24"/>
          <w:szCs w:val="24"/>
          <w:shd w:val="clear" w:color="auto" w:fill="FFFFFF"/>
        </w:rPr>
        <w:t>&gt; Acesso em: 05 maio de</w:t>
      </w:r>
      <w:r w:rsidRPr="0007126D">
        <w:rPr>
          <w:rFonts w:ascii="Times New Roman" w:hAnsi="Times New Roman" w:cs="Times New Roman"/>
          <w:color w:val="000000" w:themeColor="text1"/>
          <w:sz w:val="24"/>
          <w:szCs w:val="24"/>
          <w:shd w:val="clear" w:color="auto" w:fill="FFFFFF"/>
        </w:rPr>
        <w:t xml:space="preserve"> 2019.</w:t>
      </w:r>
    </w:p>
    <w:p w:rsidR="0007126D" w:rsidRPr="0007126D" w:rsidRDefault="0007126D" w:rsidP="00691719">
      <w:pPr>
        <w:autoSpaceDE w:val="0"/>
        <w:autoSpaceDN w:val="0"/>
        <w:adjustRightInd w:val="0"/>
        <w:spacing w:after="0" w:line="360" w:lineRule="auto"/>
        <w:ind w:right="-568"/>
        <w:jc w:val="both"/>
        <w:rPr>
          <w:rFonts w:ascii="Times New Roman" w:hAnsi="Times New Roman" w:cs="Times New Roman"/>
          <w:color w:val="000000" w:themeColor="text1"/>
          <w:sz w:val="24"/>
          <w:szCs w:val="24"/>
          <w:shd w:val="clear" w:color="auto" w:fill="FFFFFF"/>
        </w:rPr>
      </w:pPr>
    </w:p>
    <w:p w:rsidR="0007126D" w:rsidRPr="00691719" w:rsidRDefault="0007126D" w:rsidP="00691719">
      <w:pPr>
        <w:spacing w:line="360" w:lineRule="auto"/>
        <w:ind w:right="-568"/>
        <w:jc w:val="both"/>
        <w:rPr>
          <w:rFonts w:ascii="Times New Roman" w:hAnsi="Times New Roman" w:cs="Times New Roman"/>
          <w:sz w:val="24"/>
          <w:szCs w:val="24"/>
        </w:rPr>
      </w:pPr>
      <w:r w:rsidRPr="0007126D">
        <w:rPr>
          <w:rFonts w:ascii="Times New Roman" w:hAnsi="Times New Roman" w:cs="Times New Roman"/>
          <w:sz w:val="24"/>
          <w:szCs w:val="24"/>
        </w:rPr>
        <w:t xml:space="preserve">BRASIL. </w:t>
      </w:r>
      <w:r w:rsidRPr="0007126D">
        <w:rPr>
          <w:rFonts w:ascii="Times New Roman" w:hAnsi="Times New Roman" w:cs="Times New Roman"/>
          <w:b/>
          <w:sz w:val="24"/>
          <w:szCs w:val="24"/>
        </w:rPr>
        <w:t>Tribunal de Justiça Minas Gerais</w:t>
      </w:r>
      <w:r w:rsidRPr="0007126D">
        <w:rPr>
          <w:rFonts w:ascii="Times New Roman" w:hAnsi="Times New Roman" w:cs="Times New Roman"/>
          <w:sz w:val="24"/>
          <w:szCs w:val="24"/>
        </w:rPr>
        <w:t xml:space="preserve">. Apelação Criminal. Recurso Provido. 10080100036104001. </w:t>
      </w:r>
      <w:r w:rsidRPr="00691719">
        <w:rPr>
          <w:rFonts w:ascii="Times New Roman" w:hAnsi="Times New Roman" w:cs="Times New Roman"/>
          <w:sz w:val="24"/>
          <w:szCs w:val="24"/>
        </w:rPr>
        <w:t xml:space="preserve">Relator: Corrêa Camargo. 04 de abril de 2018. Publicação 11 de abril de 2018. Disponível em: &lt; </w:t>
      </w:r>
      <w:r w:rsidRPr="00691719">
        <w:rPr>
          <w:rFonts w:ascii="Times New Roman" w:hAnsi="Times New Roman" w:cs="Times New Roman"/>
          <w:sz w:val="24"/>
          <w:szCs w:val="24"/>
          <w:u w:val="single"/>
        </w:rPr>
        <w:t>www.stj.jus.br</w:t>
      </w:r>
      <w:r w:rsidRPr="00691719">
        <w:rPr>
          <w:rFonts w:ascii="Times New Roman" w:hAnsi="Times New Roman" w:cs="Times New Roman"/>
          <w:sz w:val="24"/>
          <w:szCs w:val="24"/>
        </w:rPr>
        <w:t>&gt; Acesso em: 06 de novembro de 2019</w:t>
      </w:r>
      <w:r w:rsidR="00691719">
        <w:rPr>
          <w:rFonts w:ascii="Times New Roman" w:hAnsi="Times New Roman" w:cs="Times New Roman"/>
          <w:sz w:val="24"/>
          <w:szCs w:val="24"/>
        </w:rPr>
        <w:t>.</w:t>
      </w:r>
    </w:p>
    <w:p w:rsidR="00785782" w:rsidRPr="00691719" w:rsidRDefault="0007126D" w:rsidP="00691719">
      <w:pPr>
        <w:spacing w:line="360" w:lineRule="auto"/>
        <w:ind w:right="-568"/>
        <w:jc w:val="both"/>
        <w:rPr>
          <w:rFonts w:ascii="Times New Roman" w:hAnsi="Times New Roman" w:cs="Times New Roman"/>
          <w:sz w:val="24"/>
          <w:szCs w:val="24"/>
        </w:rPr>
      </w:pPr>
      <w:r w:rsidRPr="00691719">
        <w:rPr>
          <w:rFonts w:ascii="Times New Roman" w:hAnsi="Times New Roman" w:cs="Times New Roman"/>
          <w:sz w:val="24"/>
          <w:szCs w:val="24"/>
        </w:rPr>
        <w:t xml:space="preserve">BRASIL. </w:t>
      </w:r>
      <w:r w:rsidRPr="00691719">
        <w:rPr>
          <w:rFonts w:ascii="Times New Roman" w:hAnsi="Times New Roman" w:cs="Times New Roman"/>
          <w:b/>
          <w:sz w:val="24"/>
          <w:szCs w:val="24"/>
        </w:rPr>
        <w:t>Tribunal de Justiça Minas Gerais.</w:t>
      </w:r>
      <w:r w:rsidRPr="00691719">
        <w:rPr>
          <w:rFonts w:ascii="Times New Roman" w:hAnsi="Times New Roman" w:cs="Times New Roman"/>
          <w:sz w:val="24"/>
          <w:szCs w:val="24"/>
        </w:rPr>
        <w:t xml:space="preserve"> Apelação Criminal. Recurso Provido. 101261200168771001. Relator: Júlio Cezar Guitierrez. 05 de dezembro de 2018. Publicação 12 de dezembro de 2018. Disponível em </w:t>
      </w:r>
      <w:r w:rsidR="00691719" w:rsidRPr="00691719">
        <w:rPr>
          <w:rFonts w:ascii="Times New Roman" w:hAnsi="Times New Roman" w:cs="Times New Roman"/>
          <w:sz w:val="24"/>
          <w:szCs w:val="24"/>
        </w:rPr>
        <w:t>&lt;</w:t>
      </w:r>
      <w:hyperlink r:id="rId12" w:history="1">
        <w:r w:rsidRPr="00691719">
          <w:rPr>
            <w:rStyle w:val="Hyperlink"/>
            <w:rFonts w:ascii="Times New Roman" w:hAnsi="Times New Roman" w:cs="Times New Roman"/>
            <w:color w:val="auto"/>
            <w:sz w:val="24"/>
            <w:szCs w:val="24"/>
          </w:rPr>
          <w:t>www.stj.jus.br</w:t>
        </w:r>
      </w:hyperlink>
      <w:r w:rsidR="00691719">
        <w:rPr>
          <w:rFonts w:ascii="Times New Roman" w:hAnsi="Times New Roman" w:cs="Times New Roman"/>
          <w:sz w:val="24"/>
          <w:szCs w:val="24"/>
        </w:rPr>
        <w:t>&gt; Acesso em: 06 de novembro de 2019.</w:t>
      </w:r>
    </w:p>
    <w:p w:rsidR="00C06BE3" w:rsidRDefault="00785782" w:rsidP="00691719">
      <w:pPr>
        <w:autoSpaceDE w:val="0"/>
        <w:autoSpaceDN w:val="0"/>
        <w:adjustRightInd w:val="0"/>
        <w:spacing w:after="0" w:line="360" w:lineRule="auto"/>
        <w:ind w:right="-568"/>
        <w:jc w:val="both"/>
        <w:rPr>
          <w:rFonts w:ascii="Times New Roman" w:hAnsi="Times New Roman" w:cs="Times New Roman"/>
          <w:color w:val="000000" w:themeColor="text1"/>
          <w:sz w:val="24"/>
          <w:szCs w:val="24"/>
        </w:rPr>
      </w:pPr>
      <w:r w:rsidRPr="0007126D">
        <w:rPr>
          <w:rFonts w:ascii="Times New Roman" w:hAnsi="Times New Roman" w:cs="Times New Roman"/>
          <w:color w:val="000000" w:themeColor="text1"/>
          <w:sz w:val="24"/>
          <w:szCs w:val="24"/>
          <w:shd w:val="clear" w:color="auto" w:fill="FFFFFF"/>
        </w:rPr>
        <w:lastRenderedPageBreak/>
        <w:t xml:space="preserve">CAPEZ, Fernando. </w:t>
      </w:r>
      <w:r w:rsidRPr="0007126D">
        <w:rPr>
          <w:rFonts w:ascii="Times New Roman" w:hAnsi="Times New Roman" w:cs="Times New Roman"/>
          <w:b/>
          <w:color w:val="000000" w:themeColor="text1"/>
          <w:sz w:val="24"/>
          <w:szCs w:val="24"/>
          <w:shd w:val="clear" w:color="auto" w:fill="FFFFFF"/>
        </w:rPr>
        <w:t xml:space="preserve">Curso de Direito Penal. </w:t>
      </w:r>
      <w:r w:rsidRPr="0007126D">
        <w:rPr>
          <w:rFonts w:ascii="Times New Roman" w:hAnsi="Times New Roman" w:cs="Times New Roman"/>
          <w:color w:val="000000" w:themeColor="text1"/>
          <w:sz w:val="24"/>
          <w:szCs w:val="24"/>
          <w:shd w:val="clear" w:color="auto" w:fill="FFFFFF"/>
        </w:rPr>
        <w:t xml:space="preserve">Volume 03. Parte especial: </w:t>
      </w:r>
      <w:r w:rsidRPr="0007126D">
        <w:rPr>
          <w:rFonts w:ascii="Times New Roman" w:hAnsi="Times New Roman" w:cs="Times New Roman"/>
          <w:sz w:val="24"/>
          <w:szCs w:val="24"/>
          <w:shd w:val="clear" w:color="auto" w:fill="FFFFFF"/>
        </w:rPr>
        <w:t>arts. 213 a 359-H. 10 ed. São Paulo, 2018. Saraiva Educação.</w:t>
      </w:r>
    </w:p>
    <w:p w:rsidR="00691719" w:rsidRPr="0007126D" w:rsidRDefault="00691719" w:rsidP="00691719">
      <w:pPr>
        <w:autoSpaceDE w:val="0"/>
        <w:autoSpaceDN w:val="0"/>
        <w:adjustRightInd w:val="0"/>
        <w:spacing w:after="0" w:line="360" w:lineRule="auto"/>
        <w:ind w:right="-568"/>
        <w:jc w:val="both"/>
        <w:rPr>
          <w:rFonts w:ascii="Times New Roman" w:hAnsi="Times New Roman" w:cs="Times New Roman"/>
          <w:color w:val="000000" w:themeColor="text1"/>
          <w:sz w:val="24"/>
          <w:szCs w:val="24"/>
        </w:rPr>
      </w:pPr>
    </w:p>
    <w:p w:rsidR="00691719" w:rsidRPr="0007126D" w:rsidRDefault="00A954A8" w:rsidP="00691719">
      <w:pPr>
        <w:spacing w:line="360" w:lineRule="auto"/>
        <w:ind w:right="-568"/>
        <w:jc w:val="both"/>
        <w:rPr>
          <w:rFonts w:ascii="Times New Roman" w:hAnsi="Times New Roman" w:cs="Times New Roman"/>
          <w:color w:val="000000"/>
          <w:sz w:val="24"/>
          <w:szCs w:val="24"/>
        </w:rPr>
      </w:pPr>
      <w:r w:rsidRPr="0007126D">
        <w:rPr>
          <w:rFonts w:ascii="Times New Roman" w:hAnsi="Times New Roman" w:cs="Times New Roman"/>
          <w:color w:val="000000" w:themeColor="text1"/>
          <w:sz w:val="24"/>
          <w:szCs w:val="24"/>
          <w:shd w:val="clear" w:color="auto" w:fill="FFFFFF"/>
        </w:rPr>
        <w:t>GRECO, Rogério. </w:t>
      </w:r>
      <w:r w:rsidRPr="0007126D">
        <w:rPr>
          <w:rStyle w:val="nfase"/>
          <w:rFonts w:ascii="Times New Roman" w:hAnsi="Times New Roman" w:cs="Times New Roman"/>
          <w:b/>
          <w:i w:val="0"/>
          <w:color w:val="000000" w:themeColor="text1"/>
          <w:sz w:val="24"/>
          <w:szCs w:val="24"/>
          <w:shd w:val="clear" w:color="auto" w:fill="FFFFFF"/>
        </w:rPr>
        <w:t>Código penal comentado</w:t>
      </w:r>
      <w:r w:rsidRPr="0007126D">
        <w:rPr>
          <w:rStyle w:val="Forte"/>
          <w:rFonts w:ascii="Times New Roman" w:hAnsi="Times New Roman" w:cs="Times New Roman"/>
          <w:b w:val="0"/>
          <w:i/>
          <w:color w:val="000000" w:themeColor="text1"/>
          <w:sz w:val="24"/>
          <w:szCs w:val="24"/>
          <w:shd w:val="clear" w:color="auto" w:fill="FFFFFF"/>
        </w:rPr>
        <w:t>.</w:t>
      </w:r>
      <w:r w:rsidRPr="0007126D">
        <w:rPr>
          <w:rFonts w:ascii="Times New Roman" w:hAnsi="Times New Roman" w:cs="Times New Roman"/>
          <w:color w:val="000000" w:themeColor="text1"/>
          <w:sz w:val="24"/>
          <w:szCs w:val="24"/>
          <w:shd w:val="clear" w:color="auto" w:fill="FFFFFF"/>
        </w:rPr>
        <w:t> 10. ed. Niterói: Impetus, 2016.</w:t>
      </w:r>
      <w:r w:rsidRPr="0007126D">
        <w:rPr>
          <w:rFonts w:ascii="Times New Roman" w:hAnsi="Times New Roman" w:cs="Times New Roman"/>
          <w:color w:val="000000"/>
          <w:sz w:val="24"/>
          <w:szCs w:val="24"/>
        </w:rPr>
        <w:tab/>
      </w:r>
    </w:p>
    <w:p w:rsidR="00691719" w:rsidRDefault="00A954A8" w:rsidP="00691719">
      <w:pPr>
        <w:spacing w:line="360" w:lineRule="auto"/>
        <w:ind w:right="-568"/>
        <w:jc w:val="both"/>
        <w:rPr>
          <w:rFonts w:ascii="Times New Roman" w:hAnsi="Times New Roman" w:cs="Times New Roman"/>
          <w:color w:val="000000" w:themeColor="text1"/>
          <w:sz w:val="24"/>
          <w:szCs w:val="24"/>
          <w:shd w:val="clear" w:color="auto" w:fill="FFFFFF"/>
        </w:rPr>
      </w:pPr>
      <w:r w:rsidRPr="0007126D">
        <w:rPr>
          <w:rFonts w:ascii="Times New Roman" w:hAnsi="Times New Roman" w:cs="Times New Roman"/>
          <w:color w:val="000000" w:themeColor="text1"/>
          <w:sz w:val="24"/>
          <w:szCs w:val="24"/>
          <w:shd w:val="clear" w:color="auto" w:fill="FFFFFF"/>
        </w:rPr>
        <w:t>NUCCI, Guilherme de Souza. </w:t>
      </w:r>
      <w:r w:rsidRPr="0007126D">
        <w:rPr>
          <w:rStyle w:val="nfase"/>
          <w:rFonts w:ascii="Times New Roman" w:hAnsi="Times New Roman" w:cs="Times New Roman"/>
          <w:b/>
          <w:i w:val="0"/>
          <w:color w:val="000000" w:themeColor="text1"/>
          <w:sz w:val="24"/>
          <w:szCs w:val="24"/>
          <w:shd w:val="clear" w:color="auto" w:fill="FFFFFF"/>
        </w:rPr>
        <w:t>Crimes Contra Dignidade Sexual</w:t>
      </w:r>
      <w:r w:rsidRPr="0007126D">
        <w:rPr>
          <w:rStyle w:val="nfase"/>
          <w:rFonts w:ascii="Times New Roman" w:hAnsi="Times New Roman" w:cs="Times New Roman"/>
          <w:color w:val="000000" w:themeColor="text1"/>
          <w:sz w:val="24"/>
          <w:szCs w:val="24"/>
          <w:shd w:val="clear" w:color="auto" w:fill="FFFFFF"/>
        </w:rPr>
        <w:t>.</w:t>
      </w:r>
      <w:r w:rsidRPr="0007126D">
        <w:rPr>
          <w:rFonts w:ascii="Times New Roman" w:hAnsi="Times New Roman" w:cs="Times New Roman"/>
          <w:color w:val="000000" w:themeColor="text1"/>
          <w:sz w:val="24"/>
          <w:szCs w:val="24"/>
          <w:shd w:val="clear" w:color="auto" w:fill="FFFFFF"/>
        </w:rPr>
        <w:t> Editora: Revista dos Tribunais, São Paulo, 2010.</w:t>
      </w:r>
    </w:p>
    <w:p w:rsidR="00B21A20" w:rsidRPr="00B21A20" w:rsidRDefault="00B21A20" w:rsidP="00B21A20">
      <w:pPr>
        <w:spacing w:after="0" w:line="240" w:lineRule="auto"/>
        <w:ind w:right="-1"/>
        <w:jc w:val="both"/>
        <w:rPr>
          <w:rFonts w:ascii="Times New Roman" w:hAnsi="Times New Roman" w:cs="Times New Roman"/>
          <w:color w:val="000000" w:themeColor="text1"/>
          <w:sz w:val="24"/>
          <w:szCs w:val="24"/>
          <w:shd w:val="clear" w:color="auto" w:fill="FFFFFF"/>
        </w:rPr>
      </w:pPr>
      <w:r w:rsidRPr="00B21A20">
        <w:rPr>
          <w:rFonts w:ascii="Times New Roman" w:hAnsi="Times New Roman" w:cs="Times New Roman"/>
          <w:sz w:val="24"/>
          <w:szCs w:val="24"/>
        </w:rPr>
        <w:t xml:space="preserve">NUCCI, Guilherme de Souza. </w:t>
      </w:r>
      <w:r w:rsidRPr="00B21A20">
        <w:rPr>
          <w:rFonts w:ascii="Times New Roman" w:hAnsi="Times New Roman" w:cs="Times New Roman"/>
          <w:b/>
          <w:bCs/>
          <w:sz w:val="24"/>
          <w:szCs w:val="24"/>
        </w:rPr>
        <w:t>Dicas. Estupro de Vulnerável</w:t>
      </w:r>
      <w:r w:rsidRPr="00B21A20">
        <w:rPr>
          <w:rFonts w:ascii="Times New Roman" w:hAnsi="Times New Roman" w:cs="Times New Roman"/>
          <w:sz w:val="24"/>
          <w:szCs w:val="24"/>
        </w:rPr>
        <w:t xml:space="preserve">. Disponível em </w:t>
      </w:r>
      <w:r w:rsidRPr="00B21A20">
        <w:rPr>
          <w:rFonts w:ascii="Times New Roman" w:hAnsi="Times New Roman" w:cs="Times New Roman"/>
          <w:sz w:val="24"/>
          <w:szCs w:val="24"/>
          <w:u w:val="single"/>
        </w:rPr>
        <w:t>&lt;</w:t>
      </w:r>
      <w:hyperlink r:id="rId13" w:history="1">
        <w:r w:rsidRPr="00B21A20">
          <w:rPr>
            <w:rStyle w:val="Hyperlink"/>
            <w:rFonts w:ascii="Times New Roman" w:hAnsi="Times New Roman" w:cs="Times New Roman"/>
            <w:color w:val="auto"/>
            <w:sz w:val="24"/>
            <w:szCs w:val="24"/>
          </w:rPr>
          <w:t>http://www.guilhermenucci.com.br/dicas/estupro-de-vulneravel-art-217-cp</w:t>
        </w:r>
      </w:hyperlink>
      <w:r w:rsidRPr="00B21A20">
        <w:rPr>
          <w:rFonts w:ascii="Times New Roman" w:hAnsi="Times New Roman" w:cs="Times New Roman"/>
          <w:sz w:val="24"/>
          <w:szCs w:val="24"/>
          <w:u w:val="single"/>
        </w:rPr>
        <w:t xml:space="preserve">&gt;. </w:t>
      </w:r>
      <w:r w:rsidRPr="00B21A20">
        <w:rPr>
          <w:rFonts w:ascii="Times New Roman" w:hAnsi="Times New Roman" w:cs="Times New Roman"/>
          <w:sz w:val="24"/>
          <w:szCs w:val="24"/>
        </w:rPr>
        <w:t>Acesso em: 05 de novembro de 2019</w:t>
      </w:r>
    </w:p>
    <w:p w:rsidR="00B21A20" w:rsidRPr="0007126D" w:rsidRDefault="00B21A20" w:rsidP="00691719">
      <w:pPr>
        <w:spacing w:line="360" w:lineRule="auto"/>
        <w:ind w:right="-568"/>
        <w:jc w:val="both"/>
        <w:rPr>
          <w:rFonts w:ascii="Times New Roman" w:hAnsi="Times New Roman" w:cs="Times New Roman"/>
          <w:color w:val="000000" w:themeColor="text1"/>
          <w:sz w:val="24"/>
          <w:szCs w:val="24"/>
          <w:shd w:val="clear" w:color="auto" w:fill="FFFFFF"/>
        </w:rPr>
      </w:pPr>
    </w:p>
    <w:p w:rsidR="00691719" w:rsidRPr="00BF5889" w:rsidRDefault="00C720E4" w:rsidP="00691719">
      <w:pPr>
        <w:spacing w:line="360" w:lineRule="auto"/>
        <w:ind w:right="-568"/>
        <w:jc w:val="both"/>
        <w:rPr>
          <w:rFonts w:ascii="Times New Roman" w:hAnsi="Times New Roman" w:cs="Times New Roman"/>
          <w:b/>
          <w:color w:val="FF0000"/>
          <w:sz w:val="24"/>
          <w:szCs w:val="24"/>
          <w:shd w:val="clear" w:color="auto" w:fill="FFFFFF"/>
        </w:rPr>
      </w:pPr>
      <w:r w:rsidRPr="00BF5889">
        <w:rPr>
          <w:rFonts w:ascii="Times New Roman" w:hAnsi="Times New Roman" w:cs="Times New Roman"/>
          <w:color w:val="FF0000"/>
          <w:sz w:val="24"/>
          <w:szCs w:val="24"/>
          <w:shd w:val="clear" w:color="auto" w:fill="FFFFFF"/>
        </w:rPr>
        <w:t xml:space="preserve">NUCCI, Guilherme de Souza. </w:t>
      </w:r>
      <w:r w:rsidRPr="00BF5889">
        <w:rPr>
          <w:rFonts w:ascii="Times New Roman" w:hAnsi="Times New Roman" w:cs="Times New Roman"/>
          <w:b/>
          <w:color w:val="FF0000"/>
          <w:sz w:val="24"/>
          <w:szCs w:val="24"/>
          <w:shd w:val="clear" w:color="auto" w:fill="FFFFFF"/>
        </w:rPr>
        <w:t>Código Penal Comentado</w:t>
      </w:r>
      <w:r w:rsidR="003C1124">
        <w:rPr>
          <w:rFonts w:ascii="Times New Roman" w:hAnsi="Times New Roman" w:cs="Times New Roman"/>
          <w:b/>
          <w:color w:val="FF0000"/>
          <w:sz w:val="24"/>
          <w:szCs w:val="24"/>
          <w:shd w:val="clear" w:color="auto" w:fill="FFFFFF"/>
        </w:rPr>
        <w:t>, 2016</w:t>
      </w:r>
    </w:p>
    <w:p w:rsidR="00691719" w:rsidRPr="00691719" w:rsidRDefault="00C06BE3" w:rsidP="00691719">
      <w:pPr>
        <w:pStyle w:val="Ttulo1"/>
        <w:shd w:val="clear" w:color="auto" w:fill="FFFFFF"/>
        <w:spacing w:after="300"/>
        <w:textAlignment w:val="baseline"/>
        <w:rPr>
          <w:b w:val="0"/>
          <w:color w:val="000000" w:themeColor="text1"/>
          <w:szCs w:val="24"/>
        </w:rPr>
      </w:pPr>
      <w:r w:rsidRPr="0007126D">
        <w:rPr>
          <w:b w:val="0"/>
          <w:color w:val="000000" w:themeColor="text1"/>
          <w:szCs w:val="24"/>
        </w:rPr>
        <w:t xml:space="preserve">OLIVEIRA, Eudes Quintino e Pedro Quintino. </w:t>
      </w:r>
      <w:r w:rsidRPr="0007126D">
        <w:rPr>
          <w:color w:val="000000" w:themeColor="text1"/>
          <w:spacing w:val="-2"/>
          <w:szCs w:val="24"/>
        </w:rPr>
        <w:t xml:space="preserve">Relativização de estupro de vulnerável. </w:t>
      </w:r>
      <w:r w:rsidR="00691719">
        <w:rPr>
          <w:b w:val="0"/>
          <w:color w:val="000000" w:themeColor="text1"/>
          <w:spacing w:val="-2"/>
          <w:szCs w:val="24"/>
        </w:rPr>
        <w:t xml:space="preserve">Disponível em </w:t>
      </w:r>
      <w:r w:rsidRPr="0007126D">
        <w:rPr>
          <w:b w:val="0"/>
          <w:color w:val="000000" w:themeColor="text1"/>
          <w:spacing w:val="-2"/>
          <w:szCs w:val="24"/>
        </w:rPr>
        <w:t>&lt;</w:t>
      </w:r>
      <w:hyperlink r:id="rId14" w:history="1">
        <w:r w:rsidRPr="0007126D">
          <w:rPr>
            <w:rStyle w:val="Hyperlink"/>
            <w:b w:val="0"/>
            <w:color w:val="000000" w:themeColor="text1"/>
            <w:szCs w:val="24"/>
          </w:rPr>
          <w:t>https://www.migalhas.com.br/dePeso/16,MI226455,101048-Relativizacao+de+estupro+de+vulneravel</w:t>
        </w:r>
      </w:hyperlink>
      <w:r w:rsidRPr="0007126D">
        <w:rPr>
          <w:b w:val="0"/>
          <w:color w:val="000000" w:themeColor="text1"/>
          <w:szCs w:val="24"/>
        </w:rPr>
        <w:t>&gt;. Acessado no mês de abril, 2019.</w:t>
      </w:r>
    </w:p>
    <w:p w:rsidR="00C06BE3" w:rsidRPr="0007126D" w:rsidRDefault="00C06BE3" w:rsidP="00691719">
      <w:pPr>
        <w:pStyle w:val="Corpodetexto"/>
        <w:spacing w:line="360" w:lineRule="auto"/>
        <w:jc w:val="both"/>
        <w:rPr>
          <w:rFonts w:ascii="Times New Roman" w:hAnsi="Times New Roman"/>
          <w:color w:val="000000" w:themeColor="text1"/>
          <w:sz w:val="24"/>
          <w:szCs w:val="24"/>
          <w:lang w:eastAsia="pt-BR"/>
        </w:rPr>
      </w:pPr>
      <w:r w:rsidRPr="0007126D">
        <w:rPr>
          <w:rFonts w:ascii="Times New Roman" w:hAnsi="Times New Roman"/>
          <w:color w:val="000000" w:themeColor="text1"/>
          <w:sz w:val="24"/>
          <w:szCs w:val="24"/>
          <w:shd w:val="clear" w:color="auto" w:fill="FFFFFF"/>
        </w:rPr>
        <w:t>PRADO, Luiz Regis. </w:t>
      </w:r>
      <w:r w:rsidRPr="0007126D">
        <w:rPr>
          <w:rStyle w:val="nfase"/>
          <w:rFonts w:ascii="Times New Roman" w:hAnsi="Times New Roman"/>
          <w:b/>
          <w:i w:val="0"/>
          <w:color w:val="000000" w:themeColor="text1"/>
          <w:sz w:val="24"/>
          <w:szCs w:val="24"/>
          <w:shd w:val="clear" w:color="auto" w:fill="FFFFFF"/>
        </w:rPr>
        <w:t>Curso de Direito Penal Brasileiro</w:t>
      </w:r>
      <w:r w:rsidRPr="0007126D">
        <w:rPr>
          <w:rFonts w:ascii="Times New Roman" w:hAnsi="Times New Roman"/>
          <w:color w:val="000000" w:themeColor="text1"/>
          <w:sz w:val="24"/>
          <w:szCs w:val="24"/>
          <w:shd w:val="clear" w:color="auto" w:fill="FFFFFF"/>
        </w:rPr>
        <w:t>. v. 2: parte especial, arts. 121 a 249. 8 ed. São Paulo: Revista dos Tribunais, 2010.</w:t>
      </w:r>
    </w:p>
    <w:p w:rsidR="00A954A8" w:rsidRDefault="00691719" w:rsidP="00691719">
      <w:pPr>
        <w:ind w:right="-568"/>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USP, Jornal. </w:t>
      </w:r>
      <w:r w:rsidRPr="00691719">
        <w:rPr>
          <w:rFonts w:ascii="Times New Roman" w:hAnsi="Times New Roman" w:cs="Times New Roman"/>
          <w:b/>
          <w:sz w:val="24"/>
          <w:szCs w:val="24"/>
        </w:rPr>
        <w:t>Adolescentes iniciam vida sexual cada vez mais cedo</w:t>
      </w:r>
      <w:r>
        <w:rPr>
          <w:rFonts w:ascii="Times New Roman" w:hAnsi="Times New Roman" w:cs="Times New Roman"/>
          <w:sz w:val="24"/>
          <w:szCs w:val="24"/>
        </w:rPr>
        <w:t>. Editoriais Atualidades. Disponível em</w:t>
      </w:r>
      <w:r w:rsidRPr="00691719">
        <w:rPr>
          <w:rFonts w:ascii="Times New Roman" w:hAnsi="Times New Roman" w:cs="Times New Roman"/>
          <w:sz w:val="24"/>
          <w:szCs w:val="24"/>
        </w:rPr>
        <w:t xml:space="preserve"> &lt;</w:t>
      </w:r>
      <w:hyperlink r:id="rId15" w:history="1">
        <w:r w:rsidR="00CA5137" w:rsidRPr="00691719">
          <w:rPr>
            <w:rStyle w:val="Hyperlink"/>
            <w:rFonts w:ascii="Times New Roman" w:hAnsi="Times New Roman" w:cs="Times New Roman"/>
            <w:color w:val="auto"/>
            <w:sz w:val="24"/>
            <w:szCs w:val="24"/>
          </w:rPr>
          <w:t>https://jornal.usp.br/atualidades/adolescentes-iniciam-vida-sexual-cada-vez-mais-cedo/</w:t>
        </w:r>
      </w:hyperlink>
      <w:r w:rsidRPr="00691719">
        <w:rPr>
          <w:rStyle w:val="Hyperlink"/>
          <w:rFonts w:ascii="Times New Roman" w:hAnsi="Times New Roman" w:cs="Times New Roman"/>
          <w:color w:val="auto"/>
          <w:sz w:val="24"/>
          <w:szCs w:val="24"/>
        </w:rPr>
        <w:t>&gt;</w:t>
      </w:r>
      <w:r>
        <w:rPr>
          <w:rStyle w:val="Hyperlink"/>
          <w:rFonts w:ascii="Times New Roman" w:hAnsi="Times New Roman" w:cs="Times New Roman"/>
          <w:color w:val="auto"/>
          <w:sz w:val="24"/>
          <w:szCs w:val="24"/>
        </w:rPr>
        <w:t xml:space="preserve"> </w:t>
      </w:r>
      <w:r>
        <w:rPr>
          <w:rStyle w:val="Hyperlink"/>
          <w:rFonts w:ascii="Times New Roman" w:hAnsi="Times New Roman" w:cs="Times New Roman"/>
          <w:color w:val="auto"/>
          <w:sz w:val="24"/>
          <w:szCs w:val="24"/>
          <w:u w:val="none"/>
        </w:rPr>
        <w:t>Acesso em: 25 de outubro de 2019.</w:t>
      </w:r>
    </w:p>
    <w:p w:rsidR="00B21A20" w:rsidRDefault="00B21A20" w:rsidP="00691719">
      <w:pPr>
        <w:ind w:right="-568"/>
        <w:jc w:val="both"/>
        <w:rPr>
          <w:rStyle w:val="Hyperlink"/>
          <w:rFonts w:ascii="Times New Roman" w:hAnsi="Times New Roman" w:cs="Times New Roman"/>
          <w:color w:val="auto"/>
          <w:sz w:val="24"/>
          <w:szCs w:val="24"/>
          <w:u w:val="none"/>
        </w:rPr>
      </w:pPr>
    </w:p>
    <w:p w:rsidR="00B21A20" w:rsidRPr="0007126D" w:rsidRDefault="00B21A20" w:rsidP="00691719">
      <w:pPr>
        <w:ind w:right="-568"/>
        <w:jc w:val="both"/>
        <w:rPr>
          <w:rFonts w:ascii="Times New Roman" w:hAnsi="Times New Roman" w:cs="Times New Roman"/>
          <w:sz w:val="24"/>
          <w:szCs w:val="24"/>
        </w:rPr>
      </w:pPr>
    </w:p>
    <w:sectPr w:rsidR="00B21A20" w:rsidRPr="0007126D" w:rsidSect="008D5B6E">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22C" w:rsidRDefault="003F722C" w:rsidP="00AB6BFB">
      <w:pPr>
        <w:spacing w:after="0" w:line="240" w:lineRule="auto"/>
      </w:pPr>
      <w:r>
        <w:separator/>
      </w:r>
    </w:p>
  </w:endnote>
  <w:endnote w:type="continuationSeparator" w:id="0">
    <w:p w:rsidR="003F722C" w:rsidRDefault="003F722C" w:rsidP="00AB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at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22C" w:rsidRDefault="003F722C" w:rsidP="00AB6BFB">
      <w:pPr>
        <w:spacing w:after="0" w:line="240" w:lineRule="auto"/>
      </w:pPr>
      <w:r>
        <w:separator/>
      </w:r>
    </w:p>
  </w:footnote>
  <w:footnote w:type="continuationSeparator" w:id="0">
    <w:p w:rsidR="003F722C" w:rsidRDefault="003F722C" w:rsidP="00AB6BFB">
      <w:pPr>
        <w:spacing w:after="0" w:line="240" w:lineRule="auto"/>
      </w:pPr>
      <w:r>
        <w:continuationSeparator/>
      </w:r>
    </w:p>
  </w:footnote>
  <w:footnote w:id="1">
    <w:p w:rsidR="00E65DBD" w:rsidRPr="009A21A9" w:rsidRDefault="00E65DBD" w:rsidP="00E65DBD">
      <w:pPr>
        <w:pStyle w:val="Textodenotaderodap"/>
        <w:spacing w:line="240" w:lineRule="auto"/>
        <w:jc w:val="both"/>
      </w:pPr>
      <w:r w:rsidRPr="009A21A9">
        <w:rPr>
          <w:rStyle w:val="Refdenotaderodap"/>
        </w:rPr>
        <w:sym w:font="Symbol" w:char="F02A"/>
      </w:r>
      <w:r w:rsidRPr="009A21A9">
        <w:t xml:space="preserve"> Graduand</w:t>
      </w:r>
      <w:r>
        <w:t>a</w:t>
      </w:r>
      <w:r w:rsidRPr="009A21A9">
        <w:t xml:space="preserve"> do Curso de Bacharelado em Direito pela UniFacisa – Centro Universitário. </w:t>
      </w:r>
    </w:p>
  </w:footnote>
  <w:footnote w:id="2">
    <w:p w:rsidR="00D92EBA" w:rsidRPr="00D92EBA" w:rsidRDefault="00E65DBD" w:rsidP="00E65DBD">
      <w:pPr>
        <w:pStyle w:val="Textodenotaderodap"/>
        <w:spacing w:line="240" w:lineRule="auto"/>
        <w:jc w:val="both"/>
      </w:pPr>
      <w:r w:rsidRPr="009A21A9">
        <w:rPr>
          <w:rStyle w:val="Refdenotaderodap"/>
        </w:rPr>
        <w:sym w:font="Symbol" w:char="F02A"/>
      </w:r>
      <w:r w:rsidRPr="009A21A9">
        <w:rPr>
          <w:rStyle w:val="Refdenotaderodap"/>
        </w:rPr>
        <w:sym w:font="Symbol" w:char="F02A"/>
      </w:r>
      <w:r>
        <w:t xml:space="preserve"> Professor Orientador</w:t>
      </w:r>
      <w:r w:rsidRPr="009A21A9">
        <w:t xml:space="preserve">. </w:t>
      </w:r>
      <w:r w:rsidR="00D92EBA">
        <w:t>Doutor em Direito Penal e Política Criminal pela Universidade de Granada, Espanha (2009). Diploma de Estudos Avançados em Direito Penal e Política Criminal. Professor efetivo da Universidade Estadual da Paraíba. Membro do Conselho universitário da UEPB. Professor de Direito Penal e Processual Penal em cursos de graduação e Pós-graduação. Professor da Faculdade de Ciências Sociais Aplicadas (Unifacisa/PB). Professor da Escola Superior da Magistratura da Paraíba (ESMA/PB). Membro consultor da Comissão Nacional de Exame de Ordem do Conselho Federal da OAB. Superintendente de Trânsito e Transporte Públicos de Campina Grande/PB. Membro do Conselho Estadual de Trânsito- CETRAN-PB. Professor do programa da TV Justiça-STF do programa Saber Direito, no curso “Teorias da Pena e crimes hediondos”. Professor do Curso Online Jus21.</w:t>
      </w:r>
    </w:p>
    <w:p w:rsidR="00691719" w:rsidRDefault="00691719" w:rsidP="00E65DBD">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0BD"/>
    <w:multiLevelType w:val="multilevel"/>
    <w:tmpl w:val="03ECC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611EF"/>
    <w:multiLevelType w:val="hybridMultilevel"/>
    <w:tmpl w:val="4EAEDB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85035B"/>
    <w:multiLevelType w:val="hybridMultilevel"/>
    <w:tmpl w:val="69427C56"/>
    <w:lvl w:ilvl="0" w:tplc="EFFEA0D4">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26D9798A"/>
    <w:multiLevelType w:val="hybridMultilevel"/>
    <w:tmpl w:val="DC0C7BA6"/>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15:restartNumberingAfterBreak="0">
    <w:nsid w:val="2A0A7B4B"/>
    <w:multiLevelType w:val="hybridMultilevel"/>
    <w:tmpl w:val="077A1B0E"/>
    <w:lvl w:ilvl="0" w:tplc="16505194">
      <w:start w:val="1"/>
      <w:numFmt w:val="decimal"/>
      <w:lvlText w:val="%1"/>
      <w:lvlJc w:val="left"/>
      <w:pPr>
        <w:ind w:left="1860" w:hanging="360"/>
      </w:pPr>
      <w:rPr>
        <w:rFonts w:ascii="Times New Roman" w:hAnsi="Times New Roman" w:hint="default"/>
        <w:b/>
        <w:sz w:val="24"/>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abstractNum w:abstractNumId="5" w15:restartNumberingAfterBreak="0">
    <w:nsid w:val="302C51C3"/>
    <w:multiLevelType w:val="hybridMultilevel"/>
    <w:tmpl w:val="FD60EF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6E36A95"/>
    <w:multiLevelType w:val="hybridMultilevel"/>
    <w:tmpl w:val="69427C56"/>
    <w:lvl w:ilvl="0" w:tplc="EFFEA0D4">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6A620853"/>
    <w:multiLevelType w:val="multilevel"/>
    <w:tmpl w:val="0E3C7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1280E"/>
    <w:multiLevelType w:val="hybridMultilevel"/>
    <w:tmpl w:val="B17A41EC"/>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6"/>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4"/>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F5"/>
    <w:rsid w:val="00025E04"/>
    <w:rsid w:val="00043A67"/>
    <w:rsid w:val="00044B3D"/>
    <w:rsid w:val="00062F05"/>
    <w:rsid w:val="0007126D"/>
    <w:rsid w:val="00072C52"/>
    <w:rsid w:val="00081776"/>
    <w:rsid w:val="00086CCA"/>
    <w:rsid w:val="0008723A"/>
    <w:rsid w:val="000874F5"/>
    <w:rsid w:val="000C42D3"/>
    <w:rsid w:val="000D27A9"/>
    <w:rsid w:val="000D428A"/>
    <w:rsid w:val="000F0828"/>
    <w:rsid w:val="000F3521"/>
    <w:rsid w:val="000F6850"/>
    <w:rsid w:val="00114D65"/>
    <w:rsid w:val="001162F9"/>
    <w:rsid w:val="00174797"/>
    <w:rsid w:val="001A62B1"/>
    <w:rsid w:val="001B2190"/>
    <w:rsid w:val="00201B89"/>
    <w:rsid w:val="00205162"/>
    <w:rsid w:val="00211058"/>
    <w:rsid w:val="00214B32"/>
    <w:rsid w:val="00216C74"/>
    <w:rsid w:val="00217E13"/>
    <w:rsid w:val="00223676"/>
    <w:rsid w:val="00236885"/>
    <w:rsid w:val="002924ED"/>
    <w:rsid w:val="002A5EF6"/>
    <w:rsid w:val="002D1467"/>
    <w:rsid w:val="002D687A"/>
    <w:rsid w:val="002F6D1C"/>
    <w:rsid w:val="00314482"/>
    <w:rsid w:val="00317CF3"/>
    <w:rsid w:val="00336F17"/>
    <w:rsid w:val="003533F6"/>
    <w:rsid w:val="0035500E"/>
    <w:rsid w:val="00377CD0"/>
    <w:rsid w:val="003952A2"/>
    <w:rsid w:val="00397746"/>
    <w:rsid w:val="003A14A4"/>
    <w:rsid w:val="003A3748"/>
    <w:rsid w:val="003A496C"/>
    <w:rsid w:val="003B14B3"/>
    <w:rsid w:val="003B55C7"/>
    <w:rsid w:val="003C1124"/>
    <w:rsid w:val="003C3548"/>
    <w:rsid w:val="003C5339"/>
    <w:rsid w:val="003E5A5C"/>
    <w:rsid w:val="003F722C"/>
    <w:rsid w:val="00420E2A"/>
    <w:rsid w:val="00431959"/>
    <w:rsid w:val="00446862"/>
    <w:rsid w:val="0045086F"/>
    <w:rsid w:val="00471696"/>
    <w:rsid w:val="00476696"/>
    <w:rsid w:val="004E7E39"/>
    <w:rsid w:val="004F2A89"/>
    <w:rsid w:val="00534245"/>
    <w:rsid w:val="00541F51"/>
    <w:rsid w:val="005502BC"/>
    <w:rsid w:val="00555D07"/>
    <w:rsid w:val="00555F0B"/>
    <w:rsid w:val="00557E84"/>
    <w:rsid w:val="005722FC"/>
    <w:rsid w:val="0057738A"/>
    <w:rsid w:val="005B7F3A"/>
    <w:rsid w:val="005E30F4"/>
    <w:rsid w:val="005F53AD"/>
    <w:rsid w:val="00607238"/>
    <w:rsid w:val="00630061"/>
    <w:rsid w:val="006373B1"/>
    <w:rsid w:val="006611CF"/>
    <w:rsid w:val="00691719"/>
    <w:rsid w:val="006A574C"/>
    <w:rsid w:val="006F2A87"/>
    <w:rsid w:val="006F2B31"/>
    <w:rsid w:val="006F31D3"/>
    <w:rsid w:val="0070464A"/>
    <w:rsid w:val="007058F0"/>
    <w:rsid w:val="00707758"/>
    <w:rsid w:val="007221CD"/>
    <w:rsid w:val="00742AC0"/>
    <w:rsid w:val="00767793"/>
    <w:rsid w:val="00785782"/>
    <w:rsid w:val="0079424C"/>
    <w:rsid w:val="00795128"/>
    <w:rsid w:val="007A545B"/>
    <w:rsid w:val="007B4D3C"/>
    <w:rsid w:val="007B554B"/>
    <w:rsid w:val="007C64EF"/>
    <w:rsid w:val="00807EEF"/>
    <w:rsid w:val="00826C81"/>
    <w:rsid w:val="0083741F"/>
    <w:rsid w:val="00850C1B"/>
    <w:rsid w:val="00862089"/>
    <w:rsid w:val="00863643"/>
    <w:rsid w:val="00864299"/>
    <w:rsid w:val="00876ABE"/>
    <w:rsid w:val="008C4D61"/>
    <w:rsid w:val="008D5B6E"/>
    <w:rsid w:val="008D664A"/>
    <w:rsid w:val="008F4924"/>
    <w:rsid w:val="0091074A"/>
    <w:rsid w:val="00925B7D"/>
    <w:rsid w:val="00980702"/>
    <w:rsid w:val="00996EA5"/>
    <w:rsid w:val="009D2EB8"/>
    <w:rsid w:val="009F55B8"/>
    <w:rsid w:val="00A32364"/>
    <w:rsid w:val="00A33452"/>
    <w:rsid w:val="00A55E23"/>
    <w:rsid w:val="00A833FC"/>
    <w:rsid w:val="00A954A8"/>
    <w:rsid w:val="00AA38B4"/>
    <w:rsid w:val="00AB6BFB"/>
    <w:rsid w:val="00AC2AE5"/>
    <w:rsid w:val="00B123B7"/>
    <w:rsid w:val="00B21A20"/>
    <w:rsid w:val="00B4034B"/>
    <w:rsid w:val="00B60DD3"/>
    <w:rsid w:val="00BA0D51"/>
    <w:rsid w:val="00BA12DD"/>
    <w:rsid w:val="00BA5CAB"/>
    <w:rsid w:val="00BE1679"/>
    <w:rsid w:val="00BE21DC"/>
    <w:rsid w:val="00BF5889"/>
    <w:rsid w:val="00C06BE3"/>
    <w:rsid w:val="00C0788A"/>
    <w:rsid w:val="00C14129"/>
    <w:rsid w:val="00C17EF9"/>
    <w:rsid w:val="00C338F5"/>
    <w:rsid w:val="00C61CDC"/>
    <w:rsid w:val="00C720E4"/>
    <w:rsid w:val="00C76CF2"/>
    <w:rsid w:val="00C8763C"/>
    <w:rsid w:val="00C93E09"/>
    <w:rsid w:val="00CA31C4"/>
    <w:rsid w:val="00CA5137"/>
    <w:rsid w:val="00CA7244"/>
    <w:rsid w:val="00CC1CE9"/>
    <w:rsid w:val="00CC7F96"/>
    <w:rsid w:val="00CD167F"/>
    <w:rsid w:val="00D21CE2"/>
    <w:rsid w:val="00D33026"/>
    <w:rsid w:val="00D353AB"/>
    <w:rsid w:val="00D44A9B"/>
    <w:rsid w:val="00D50419"/>
    <w:rsid w:val="00D54821"/>
    <w:rsid w:val="00D666B7"/>
    <w:rsid w:val="00D73A4B"/>
    <w:rsid w:val="00D82526"/>
    <w:rsid w:val="00D85812"/>
    <w:rsid w:val="00D92EBA"/>
    <w:rsid w:val="00D9313A"/>
    <w:rsid w:val="00D979B3"/>
    <w:rsid w:val="00DA15E7"/>
    <w:rsid w:val="00DA6F54"/>
    <w:rsid w:val="00DB31C8"/>
    <w:rsid w:val="00DD5086"/>
    <w:rsid w:val="00DE0C9C"/>
    <w:rsid w:val="00E07307"/>
    <w:rsid w:val="00E3039A"/>
    <w:rsid w:val="00E51ADD"/>
    <w:rsid w:val="00E54149"/>
    <w:rsid w:val="00E65DBD"/>
    <w:rsid w:val="00E90009"/>
    <w:rsid w:val="00EA3C54"/>
    <w:rsid w:val="00EA698E"/>
    <w:rsid w:val="00EC7C7A"/>
    <w:rsid w:val="00ED0E54"/>
    <w:rsid w:val="00EF2320"/>
    <w:rsid w:val="00EF2D8D"/>
    <w:rsid w:val="00F06393"/>
    <w:rsid w:val="00F138C3"/>
    <w:rsid w:val="00F36723"/>
    <w:rsid w:val="00F37D9B"/>
    <w:rsid w:val="00F4179D"/>
    <w:rsid w:val="00F43BFC"/>
    <w:rsid w:val="00F44098"/>
    <w:rsid w:val="00F650C0"/>
    <w:rsid w:val="00F65833"/>
    <w:rsid w:val="00F67179"/>
    <w:rsid w:val="00F67860"/>
    <w:rsid w:val="00FB5C6F"/>
    <w:rsid w:val="00FB6C85"/>
    <w:rsid w:val="00FD0DA5"/>
    <w:rsid w:val="00FD1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846C"/>
  <w15:docId w15:val="{875970BD-ECB2-4531-A207-CDC38E05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2D687A"/>
    <w:rPr>
      <w:b/>
      <w:bCs/>
    </w:rPr>
  </w:style>
  <w:style w:type="character" w:styleId="Hyperlink">
    <w:name w:val="Hyperlink"/>
    <w:basedOn w:val="Fontepargpadro"/>
    <w:uiPriority w:val="99"/>
    <w:unhideWhenUsed/>
    <w:rsid w:val="002D687A"/>
    <w:rPr>
      <w:color w:val="0000FF"/>
      <w:u w:val="single"/>
    </w:rPr>
  </w:style>
  <w:style w:type="character" w:styleId="nfase">
    <w:name w:val="Emphasis"/>
    <w:basedOn w:val="Fontepargpadro"/>
    <w:uiPriority w:val="20"/>
    <w:qFormat/>
    <w:rsid w:val="0070464A"/>
    <w:rPr>
      <w:i/>
      <w:iCs/>
    </w:rPr>
  </w:style>
  <w:style w:type="character" w:customStyle="1" w:styleId="MenoPendente1">
    <w:name w:val="Menção Pendente1"/>
    <w:basedOn w:val="Fontepargpadro"/>
    <w:uiPriority w:val="99"/>
    <w:semiHidden/>
    <w:unhideWhenUsed/>
    <w:rsid w:val="00C06BE3"/>
    <w:rPr>
      <w:color w:val="605E5C"/>
      <w:shd w:val="clear" w:color="auto" w:fill="E1DFDD"/>
    </w:rPr>
  </w:style>
  <w:style w:type="paragraph" w:customStyle="1" w:styleId="WW-Padro">
    <w:name w:val="WW-Padrão"/>
    <w:rsid w:val="008C4D61"/>
    <w:pPr>
      <w:widowControl w:val="0"/>
      <w:suppressAutoHyphens/>
      <w:spacing w:after="0" w:line="100" w:lineRule="atLeast"/>
    </w:pPr>
    <w:rPr>
      <w:rFonts w:ascii="Times New Roman" w:eastAsia="SimSun" w:hAnsi="Times New Roman" w:cs="Mangal"/>
      <w:sz w:val="24"/>
      <w:szCs w:val="24"/>
      <w:lang w:eastAsia="zh-CN" w:bidi="hi-IN"/>
    </w:rPr>
  </w:style>
  <w:style w:type="character" w:customStyle="1" w:styleId="Fontepargpadro1">
    <w:name w:val="Fonte parág. padrão1"/>
    <w:rsid w:val="008C4D61"/>
  </w:style>
  <w:style w:type="character" w:styleId="HiperlinkVisitado">
    <w:name w:val="FollowedHyperlink"/>
    <w:basedOn w:val="Fontepargpadro"/>
    <w:uiPriority w:val="99"/>
    <w:semiHidden/>
    <w:unhideWhenUsed/>
    <w:rsid w:val="0007126D"/>
    <w:rPr>
      <w:color w:val="800080" w:themeColor="followedHyperlink"/>
      <w:u w:val="single"/>
    </w:rPr>
  </w:style>
  <w:style w:type="character" w:customStyle="1" w:styleId="byline">
    <w:name w:val="byline"/>
    <w:basedOn w:val="Fontepargpadro"/>
    <w:rsid w:val="00691719"/>
  </w:style>
  <w:style w:type="character" w:customStyle="1" w:styleId="posted-on">
    <w:name w:val="posted-on"/>
    <w:basedOn w:val="Fontepargpadro"/>
    <w:rsid w:val="00691719"/>
  </w:style>
  <w:style w:type="character" w:styleId="MenoPendente">
    <w:name w:val="Unresolved Mention"/>
    <w:basedOn w:val="Fontepargpadro"/>
    <w:uiPriority w:val="99"/>
    <w:semiHidden/>
    <w:unhideWhenUsed/>
    <w:rsid w:val="00B2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3871">
      <w:bodyDiv w:val="1"/>
      <w:marLeft w:val="0"/>
      <w:marRight w:val="0"/>
      <w:marTop w:val="0"/>
      <w:marBottom w:val="0"/>
      <w:divBdr>
        <w:top w:val="none" w:sz="0" w:space="0" w:color="auto"/>
        <w:left w:val="none" w:sz="0" w:space="0" w:color="auto"/>
        <w:bottom w:val="none" w:sz="0" w:space="0" w:color="auto"/>
        <w:right w:val="none" w:sz="0" w:space="0" w:color="auto"/>
      </w:divBdr>
    </w:div>
    <w:div w:id="83039392">
      <w:bodyDiv w:val="1"/>
      <w:marLeft w:val="0"/>
      <w:marRight w:val="0"/>
      <w:marTop w:val="0"/>
      <w:marBottom w:val="0"/>
      <w:divBdr>
        <w:top w:val="none" w:sz="0" w:space="0" w:color="auto"/>
        <w:left w:val="none" w:sz="0" w:space="0" w:color="auto"/>
        <w:bottom w:val="none" w:sz="0" w:space="0" w:color="auto"/>
        <w:right w:val="none" w:sz="0" w:space="0" w:color="auto"/>
      </w:divBdr>
    </w:div>
    <w:div w:id="120147257">
      <w:bodyDiv w:val="1"/>
      <w:marLeft w:val="0"/>
      <w:marRight w:val="0"/>
      <w:marTop w:val="0"/>
      <w:marBottom w:val="0"/>
      <w:divBdr>
        <w:top w:val="none" w:sz="0" w:space="0" w:color="auto"/>
        <w:left w:val="none" w:sz="0" w:space="0" w:color="auto"/>
        <w:bottom w:val="none" w:sz="0" w:space="0" w:color="auto"/>
        <w:right w:val="none" w:sz="0" w:space="0" w:color="auto"/>
      </w:divBdr>
    </w:div>
    <w:div w:id="127164546">
      <w:bodyDiv w:val="1"/>
      <w:marLeft w:val="0"/>
      <w:marRight w:val="0"/>
      <w:marTop w:val="0"/>
      <w:marBottom w:val="0"/>
      <w:divBdr>
        <w:top w:val="none" w:sz="0" w:space="0" w:color="auto"/>
        <w:left w:val="none" w:sz="0" w:space="0" w:color="auto"/>
        <w:bottom w:val="none" w:sz="0" w:space="0" w:color="auto"/>
        <w:right w:val="none" w:sz="0" w:space="0" w:color="auto"/>
      </w:divBdr>
      <w:divsChild>
        <w:div w:id="835270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335622">
      <w:bodyDiv w:val="1"/>
      <w:marLeft w:val="0"/>
      <w:marRight w:val="0"/>
      <w:marTop w:val="0"/>
      <w:marBottom w:val="0"/>
      <w:divBdr>
        <w:top w:val="none" w:sz="0" w:space="0" w:color="auto"/>
        <w:left w:val="none" w:sz="0" w:space="0" w:color="auto"/>
        <w:bottom w:val="none" w:sz="0" w:space="0" w:color="auto"/>
        <w:right w:val="none" w:sz="0" w:space="0" w:color="auto"/>
      </w:divBdr>
      <w:divsChild>
        <w:div w:id="278686073">
          <w:marLeft w:val="0"/>
          <w:marRight w:val="0"/>
          <w:marTop w:val="225"/>
          <w:marBottom w:val="0"/>
          <w:divBdr>
            <w:top w:val="none" w:sz="0" w:space="0" w:color="auto"/>
            <w:left w:val="none" w:sz="0" w:space="0" w:color="auto"/>
            <w:bottom w:val="none" w:sz="0" w:space="0" w:color="auto"/>
            <w:right w:val="none" w:sz="0" w:space="0" w:color="auto"/>
          </w:divBdr>
        </w:div>
        <w:div w:id="320544021">
          <w:marLeft w:val="0"/>
          <w:marRight w:val="0"/>
          <w:marTop w:val="0"/>
          <w:marBottom w:val="0"/>
          <w:divBdr>
            <w:top w:val="none" w:sz="0" w:space="0" w:color="auto"/>
            <w:left w:val="none" w:sz="0" w:space="0" w:color="auto"/>
            <w:bottom w:val="none" w:sz="0" w:space="0" w:color="auto"/>
            <w:right w:val="none" w:sz="0" w:space="0" w:color="auto"/>
          </w:divBdr>
          <w:divsChild>
            <w:div w:id="1928153033">
              <w:marLeft w:val="0"/>
              <w:marRight w:val="0"/>
              <w:marTop w:val="0"/>
              <w:marBottom w:val="0"/>
              <w:divBdr>
                <w:top w:val="none" w:sz="0" w:space="0" w:color="auto"/>
                <w:left w:val="none" w:sz="0" w:space="0" w:color="auto"/>
                <w:bottom w:val="none" w:sz="0" w:space="0" w:color="auto"/>
                <w:right w:val="none" w:sz="0" w:space="0" w:color="auto"/>
              </w:divBdr>
            </w:div>
          </w:divsChild>
        </w:div>
        <w:div w:id="1028140673">
          <w:marLeft w:val="0"/>
          <w:marRight w:val="0"/>
          <w:marTop w:val="0"/>
          <w:marBottom w:val="150"/>
          <w:divBdr>
            <w:top w:val="none" w:sz="0" w:space="0" w:color="auto"/>
            <w:left w:val="none" w:sz="0" w:space="0" w:color="auto"/>
            <w:bottom w:val="none" w:sz="0" w:space="0" w:color="auto"/>
            <w:right w:val="none" w:sz="0" w:space="0" w:color="auto"/>
          </w:divBdr>
        </w:div>
      </w:divsChild>
    </w:div>
    <w:div w:id="588542291">
      <w:bodyDiv w:val="1"/>
      <w:marLeft w:val="0"/>
      <w:marRight w:val="0"/>
      <w:marTop w:val="0"/>
      <w:marBottom w:val="0"/>
      <w:divBdr>
        <w:top w:val="none" w:sz="0" w:space="0" w:color="auto"/>
        <w:left w:val="none" w:sz="0" w:space="0" w:color="auto"/>
        <w:bottom w:val="none" w:sz="0" w:space="0" w:color="auto"/>
        <w:right w:val="none" w:sz="0" w:space="0" w:color="auto"/>
      </w:divBdr>
    </w:div>
    <w:div w:id="638343126">
      <w:bodyDiv w:val="1"/>
      <w:marLeft w:val="0"/>
      <w:marRight w:val="0"/>
      <w:marTop w:val="0"/>
      <w:marBottom w:val="0"/>
      <w:divBdr>
        <w:top w:val="none" w:sz="0" w:space="0" w:color="auto"/>
        <w:left w:val="none" w:sz="0" w:space="0" w:color="auto"/>
        <w:bottom w:val="none" w:sz="0" w:space="0" w:color="auto"/>
        <w:right w:val="none" w:sz="0" w:space="0" w:color="auto"/>
      </w:divBdr>
      <w:divsChild>
        <w:div w:id="737096018">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971208075">
      <w:bodyDiv w:val="1"/>
      <w:marLeft w:val="0"/>
      <w:marRight w:val="0"/>
      <w:marTop w:val="0"/>
      <w:marBottom w:val="0"/>
      <w:divBdr>
        <w:top w:val="none" w:sz="0" w:space="0" w:color="auto"/>
        <w:left w:val="none" w:sz="0" w:space="0" w:color="auto"/>
        <w:bottom w:val="none" w:sz="0" w:space="0" w:color="auto"/>
        <w:right w:val="none" w:sz="0" w:space="0" w:color="auto"/>
      </w:divBdr>
    </w:div>
    <w:div w:id="972827692">
      <w:bodyDiv w:val="1"/>
      <w:marLeft w:val="0"/>
      <w:marRight w:val="0"/>
      <w:marTop w:val="0"/>
      <w:marBottom w:val="0"/>
      <w:divBdr>
        <w:top w:val="none" w:sz="0" w:space="0" w:color="auto"/>
        <w:left w:val="none" w:sz="0" w:space="0" w:color="auto"/>
        <w:bottom w:val="none" w:sz="0" w:space="0" w:color="auto"/>
        <w:right w:val="none" w:sz="0" w:space="0" w:color="auto"/>
      </w:divBdr>
    </w:div>
    <w:div w:id="1264142789">
      <w:bodyDiv w:val="1"/>
      <w:marLeft w:val="0"/>
      <w:marRight w:val="0"/>
      <w:marTop w:val="0"/>
      <w:marBottom w:val="0"/>
      <w:divBdr>
        <w:top w:val="none" w:sz="0" w:space="0" w:color="auto"/>
        <w:left w:val="none" w:sz="0" w:space="0" w:color="auto"/>
        <w:bottom w:val="none" w:sz="0" w:space="0" w:color="auto"/>
        <w:right w:val="none" w:sz="0" w:space="0" w:color="auto"/>
      </w:divBdr>
    </w:div>
    <w:div w:id="1305047066">
      <w:bodyDiv w:val="1"/>
      <w:marLeft w:val="0"/>
      <w:marRight w:val="0"/>
      <w:marTop w:val="0"/>
      <w:marBottom w:val="0"/>
      <w:divBdr>
        <w:top w:val="none" w:sz="0" w:space="0" w:color="auto"/>
        <w:left w:val="none" w:sz="0" w:space="0" w:color="auto"/>
        <w:bottom w:val="none" w:sz="0" w:space="0" w:color="auto"/>
        <w:right w:val="none" w:sz="0" w:space="0" w:color="auto"/>
      </w:divBdr>
    </w:div>
    <w:div w:id="1331056550">
      <w:bodyDiv w:val="1"/>
      <w:marLeft w:val="0"/>
      <w:marRight w:val="0"/>
      <w:marTop w:val="0"/>
      <w:marBottom w:val="0"/>
      <w:divBdr>
        <w:top w:val="none" w:sz="0" w:space="0" w:color="auto"/>
        <w:left w:val="none" w:sz="0" w:space="0" w:color="auto"/>
        <w:bottom w:val="none" w:sz="0" w:space="0" w:color="auto"/>
        <w:right w:val="none" w:sz="0" w:space="0" w:color="auto"/>
      </w:divBdr>
    </w:div>
    <w:div w:id="1667440899">
      <w:bodyDiv w:val="1"/>
      <w:marLeft w:val="0"/>
      <w:marRight w:val="0"/>
      <w:marTop w:val="0"/>
      <w:marBottom w:val="0"/>
      <w:divBdr>
        <w:top w:val="none" w:sz="0" w:space="0" w:color="auto"/>
        <w:left w:val="none" w:sz="0" w:space="0" w:color="auto"/>
        <w:bottom w:val="none" w:sz="0" w:space="0" w:color="auto"/>
        <w:right w:val="none" w:sz="0" w:space="0" w:color="auto"/>
      </w:divBdr>
    </w:div>
    <w:div w:id="1797605435">
      <w:bodyDiv w:val="1"/>
      <w:marLeft w:val="0"/>
      <w:marRight w:val="0"/>
      <w:marTop w:val="0"/>
      <w:marBottom w:val="0"/>
      <w:divBdr>
        <w:top w:val="none" w:sz="0" w:space="0" w:color="auto"/>
        <w:left w:val="none" w:sz="0" w:space="0" w:color="auto"/>
        <w:bottom w:val="none" w:sz="0" w:space="0" w:color="auto"/>
        <w:right w:val="none" w:sz="0" w:space="0" w:color="auto"/>
      </w:divBdr>
      <w:divsChild>
        <w:div w:id="100717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893112">
      <w:bodyDiv w:val="1"/>
      <w:marLeft w:val="0"/>
      <w:marRight w:val="0"/>
      <w:marTop w:val="0"/>
      <w:marBottom w:val="0"/>
      <w:divBdr>
        <w:top w:val="none" w:sz="0" w:space="0" w:color="auto"/>
        <w:left w:val="none" w:sz="0" w:space="0" w:color="auto"/>
        <w:bottom w:val="none" w:sz="0" w:space="0" w:color="auto"/>
        <w:right w:val="none" w:sz="0" w:space="0" w:color="auto"/>
      </w:divBdr>
    </w:div>
    <w:div w:id="1908681603">
      <w:bodyDiv w:val="1"/>
      <w:marLeft w:val="0"/>
      <w:marRight w:val="0"/>
      <w:marTop w:val="0"/>
      <w:marBottom w:val="0"/>
      <w:divBdr>
        <w:top w:val="none" w:sz="0" w:space="0" w:color="auto"/>
        <w:left w:val="none" w:sz="0" w:space="0" w:color="auto"/>
        <w:bottom w:val="none" w:sz="0" w:space="0" w:color="auto"/>
        <w:right w:val="none" w:sz="0" w:space="0" w:color="auto"/>
      </w:divBdr>
    </w:div>
    <w:div w:id="2022735096">
      <w:bodyDiv w:val="1"/>
      <w:marLeft w:val="0"/>
      <w:marRight w:val="0"/>
      <w:marTop w:val="0"/>
      <w:marBottom w:val="0"/>
      <w:divBdr>
        <w:top w:val="none" w:sz="0" w:space="0" w:color="auto"/>
        <w:left w:val="none" w:sz="0" w:space="0" w:color="auto"/>
        <w:bottom w:val="none" w:sz="0" w:space="0" w:color="auto"/>
        <w:right w:val="none" w:sz="0" w:space="0" w:color="auto"/>
      </w:divBdr>
    </w:div>
    <w:div w:id="2139100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28003927/artigo-217a-do-decreto-lei-n-2848-de-07-de-dezembro-de-1940" TargetMode="External"/><Relationship Id="rId13" Type="http://schemas.openxmlformats.org/officeDocument/2006/relationships/hyperlink" Target="http://www.guilhermenucci.com.br/dicas/estupro-de-vulneravel-art-217-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j.jus.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s://jornal.usp.br/atualidades/adolescentes-iniciam-vida-sexual-cada-vez-mais-cedo/" TargetMode="External"/><Relationship Id="rId10" Type="http://schemas.openxmlformats.org/officeDocument/2006/relationships/hyperlink" Target="http://www.planalto.gov.br/ccivil_03/leis/l8069.htm" TargetMode="External"/><Relationship Id="rId4" Type="http://schemas.openxmlformats.org/officeDocument/2006/relationships/settings" Target="settings.xml"/><Relationship Id="rId9" Type="http://schemas.openxmlformats.org/officeDocument/2006/relationships/hyperlink" Target="http://www.jusbrasil.com.br/legislacao/1033702/c&#243;digo-penal-decreto-lei-2848-40" TargetMode="External"/><Relationship Id="rId14" Type="http://schemas.openxmlformats.org/officeDocument/2006/relationships/hyperlink" Target="https://www.migalhas.com.br/dePeso/16,MI226455,101048-Relativizacao+de+estupro+de+vulnerave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8612-3E84-4DEB-82B5-0362A64F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7636</TotalTime>
  <Pages>20</Pages>
  <Words>6925</Words>
  <Characters>37398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64</cp:revision>
  <dcterms:created xsi:type="dcterms:W3CDTF">2019-10-22T15:14:00Z</dcterms:created>
  <dcterms:modified xsi:type="dcterms:W3CDTF">2019-11-07T14:11:00Z</dcterms:modified>
</cp:coreProperties>
</file>